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2247900" cy="495300"/>
            <wp:effectExtent t="0" r="0" b="0" l="0"/>
            <wp:docPr id="1" name="logo" descr="Logo FinanTrack" title="Logo FinanTr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before="120"/>
      </w:pPr>
      <w:r>
        <w:t xml:space="preserve">Charte graphique</w:t>
      </w:r>
    </w:p>
    <w:p>
      <w:r>
        <w:rPr>
          <w:color w:val="64748B"/>
          <w:sz w:val="21"/>
          <w:szCs w:val="21"/>
        </w:rPr>
        <w:t xml:space="preserve">FinanTrack — référentiel visuel issu du code source de l’application.</w:t>
      </w:r>
    </w:p>
    <w:p>
      <w:r>
        <w:rPr>
          <w:i/>
          <w:iCs/>
          <w:color w:val="64748B"/>
          <w:sz w:val="17"/>
          <w:szCs w:val="17"/>
        </w:rPr>
        <w:t xml:space="preserve">Document de référence · valeurs extraites de globals.css, layout.tsx, des composants UI et de package.json. Aucune valeur n’est inventée.</w:t>
      </w:r>
    </w:p>
    <w:p>
      <w:pPr>
        <w:pStyle w:val="Heading1"/>
      </w:pPr>
      <w:r>
        <w:t xml:space="preserve">1. Logo</w:t>
      </w:r>
    </w:p>
    <w:p>
      <w:r>
        <w:t xml:space="preserve">Le logo (composant </w:t>
      </w:r>
      <w:r>
        <w:rPr>
          <w:rFonts w:ascii="Consolas" w:cs="Consolas" w:eastAsia="Consolas" w:hAnsi="Consolas"/>
          <w:sz w:val="19"/>
          <w:szCs w:val="19"/>
        </w:rPr>
        <w:t xml:space="preserve">Logo.tsx</w:t>
      </w:r>
      <w:r>
        <w:t xml:space="preserve">) associe un symbole et un mot-symbole :</w:t>
      </w:r>
    </w:p>
    <w:p>
      <w:pPr>
        <w:pStyle w:val="ListParagraph"/>
        <w:numPr>
          <w:ilvl w:val="0"/>
          <w:numId w:val="2"/>
        </w:numPr>
      </w:pPr>
      <w:r>
        <w:t xml:space="preserve">Symbole : carré de 40 × 40 px, dégradé linéaire (to-bottom-right) de #38BDF8 vers #22C55E, coins arrondis « rounded-lg » (12 px), contenant l’icône TrendingUp (lucide-react) de 24 px en blanc, centrée.</w:t>
      </w:r>
    </w:p>
    <w:p>
      <w:pPr>
        <w:pStyle w:val="ListParagraph"/>
        <w:numPr>
          <w:ilvl w:val="0"/>
          <w:numId w:val="2"/>
        </w:numPr>
      </w:pPr>
      <w:r>
        <w:t xml:space="preserve">Mot-symbole : « Finan » en couleur --foreground, suivi de « track » en #38BDF8. Taille text-xl (20 px), interlettrage resserré (tracking-tight). Espace symbole / texte : 8 px.</w:t>
      </w:r>
    </w:p>
    <w:p>
      <w:pPr>
        <w:pStyle w:val="ListParagraph"/>
        <w:numPr>
          <w:ilvl w:val="0"/>
          <w:numId w:val="2"/>
        </w:numPr>
      </w:pPr>
      <w:r>
        <w:t xml:space="preserve">Le texte est optionnel (prop showText) : le symbole seul sert d’icône / favicon.</w:t>
      </w:r>
    </w:p>
    <w:p>
      <w:pPr>
        <w:spacing w:before="80"/>
      </w:pPr>
      <w:r>
        <w:rPr>
          <w:i/>
          <w:iCs/>
          <w:color w:val="64748B"/>
          <w:sz w:val="18"/>
          <w:szCs w:val="18"/>
        </w:rPr>
        <w:t xml:space="preserve">Aperçu (reproduction fidèle du composant) :</w:t>
      </w:r>
    </w:p>
    <w:p>
      <w:pPr>
        <w:spacing w:before="40"/>
      </w:pPr>
      <w:r>
        <w:drawing>
          <wp:inline distT="0" distB="0" distL="0" distR="0">
            <wp:extent cx="2857500" cy="628650"/>
            <wp:effectExtent t="0" r="0" b="0" l="0"/>
            <wp:docPr id="1" name="logo2" descr="Logo FinanTrack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Couleurs</w:t>
      </w:r>
    </w:p>
    <w:p>
      <w:r>
        <w:t xml:space="preserve">Palette définie en variables CSS dans </w:t>
      </w:r>
      <w:r>
        <w:rPr>
          <w:rFonts w:ascii="Consolas" w:cs="Consolas" w:eastAsia="Consolas" w:hAnsi="Consolas"/>
          <w:sz w:val="19"/>
          <w:szCs w:val="19"/>
        </w:rPr>
        <w:t xml:space="preserve">app/globals.css</w:t>
      </w:r>
      <w:r>
        <w:t xml:space="preserve">. L’application démarre en thème sombre par défaut (</w:t>
      </w:r>
      <w:r>
        <w:rPr>
          <w:rFonts w:ascii="Consolas" w:cs="Consolas" w:eastAsia="Consolas" w:hAnsi="Consolas"/>
          <w:sz w:val="19"/>
          <w:szCs w:val="19"/>
        </w:rPr>
        <w:t xml:space="preserve">layout.tsx</w:t>
      </w:r>
      <w:r>
        <w:t xml:space="preserve">).</w:t>
      </w:r>
    </w:p>
    <w:p>
      <w:pPr>
        <w:pStyle w:val="Heading2"/>
      </w:pPr>
      <w:r>
        <w:t xml:space="preserve">Thème clair (:root)</w:t>
      </w:r>
    </w:p>
    <w:tbl>
      <w:tblPr>
        <w:tblW w:type="dxa" w:w="9026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900"/>
        <w:gridCol w:w="2700"/>
        <w:gridCol w:w="1700"/>
        <w:gridCol w:w="3726"/>
      </w:tblGrid>
      <w:tr>
        <w:trPr>
          <w:tblHeader/>
        </w:trP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Aperçu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Variable CSS</w:t>
            </w:r>
          </w:p>
        </w:tc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Valeur</w:t>
            </w:r>
          </w:p>
        </w:tc>
        <w:tc>
          <w:tcPr>
            <w:tcW w:type="dxa" w:w="37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900"/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--background</w:t>
            </w:r>
          </w:p>
        </w:tc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#F1F5F9</w:t>
            </w:r>
          </w:p>
        </w:tc>
        <w:tc>
          <w:tcPr>
            <w:tcW w:type="dxa" w:w="37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Fond de page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--card</w:t>
            </w:r>
          </w:p>
        </w:tc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#FFFFFF</w:t>
            </w:r>
          </w:p>
        </w:tc>
        <w:tc>
          <w:tcPr>
            <w:tcW w:type="dxa" w:w="37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Surface / carte</w:t>
            </w:r>
          </w:p>
        </w:tc>
      </w:tr>
      <w:tr>
        <w:tc>
          <w:tcPr>
            <w:tcW w:type="dxa" w:w="900"/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--foreground</w:t>
            </w:r>
          </w:p>
        </w:tc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#1E293B</w:t>
            </w:r>
          </w:p>
        </w:tc>
        <w:tc>
          <w:tcPr>
            <w:tcW w:type="dxa" w:w="37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Texte principal</w:t>
            </w:r>
          </w:p>
        </w:tc>
      </w:tr>
      <w:tr>
        <w:tc>
          <w:tcPr>
            <w:tcW w:type="dxa" w:w="900"/>
            <w:shd w:fill="6474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--muted-foreground</w:t>
            </w:r>
          </w:p>
        </w:tc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#64748B</w:t>
            </w:r>
          </w:p>
        </w:tc>
        <w:tc>
          <w:tcPr>
            <w:tcW w:type="dxa" w:w="37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Texte secondaire</w:t>
            </w:r>
          </w:p>
        </w:tc>
      </w:tr>
      <w:tr>
        <w:tc>
          <w:tcPr>
            <w:tcW w:type="dxa" w:w="900"/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--border / --muted</w:t>
            </w:r>
          </w:p>
        </w:tc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#E2E8F0</w:t>
            </w:r>
          </w:p>
        </w:tc>
        <w:tc>
          <w:tcPr>
            <w:tcW w:type="dxa" w:w="37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Bordures, éléments atténués</w:t>
            </w:r>
          </w:p>
        </w:tc>
      </w:tr>
      <w:tr>
        <w:tc>
          <w:tcPr>
            <w:tcW w:type="dxa" w:w="900"/>
            <w:shd w:fill="38BD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--primary / --accent / --ring</w:t>
            </w:r>
          </w:p>
        </w:tc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#38BDF8</w:t>
            </w:r>
          </w:p>
        </w:tc>
        <w:tc>
          <w:tcPr>
            <w:tcW w:type="dxa" w:w="37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Couleur principale, accent, focus</w:t>
            </w:r>
          </w:p>
        </w:tc>
      </w:tr>
      <w:tr>
        <w:tc>
          <w:tcPr>
            <w:tcW w:type="dxa" w:w="900"/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--primary-foreground</w:t>
            </w:r>
          </w:p>
        </w:tc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#0F172A</w:t>
            </w:r>
          </w:p>
        </w:tc>
        <w:tc>
          <w:tcPr>
            <w:tcW w:type="dxa" w:w="37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Texte sur fond primaire</w:t>
            </w:r>
          </w:p>
        </w:tc>
      </w:tr>
      <w:tr>
        <w:tc>
          <w:tcPr>
            <w:tcW w:type="dxa" w:w="900"/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--success</w:t>
            </w:r>
          </w:p>
        </w:tc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#22C55E</w:t>
            </w:r>
          </w:p>
        </w:tc>
        <w:tc>
          <w:tcPr>
            <w:tcW w:type="dxa" w:w="37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Succès / valeur positive</w:t>
            </w:r>
          </w:p>
        </w:tc>
      </w:tr>
      <w:tr>
        <w:tc>
          <w:tcPr>
            <w:tcW w:type="dxa" w:w="900"/>
            <w:shd w:fill="F59E0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--warning</w:t>
            </w:r>
          </w:p>
        </w:tc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#F59E0B</w:t>
            </w:r>
          </w:p>
        </w:tc>
        <w:tc>
          <w:tcPr>
            <w:tcW w:type="dxa" w:w="37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Avertissement</w:t>
            </w:r>
          </w:p>
        </w:tc>
      </w:tr>
      <w:tr>
        <w:tc>
          <w:tcPr>
            <w:tcW w:type="dxa" w:w="900"/>
            <w:shd w:fill="EF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--destructive</w:t>
            </w:r>
          </w:p>
        </w:tc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#EF4444</w:t>
            </w:r>
          </w:p>
        </w:tc>
        <w:tc>
          <w:tcPr>
            <w:tcW w:type="dxa" w:w="37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Erreur / suppression</w:t>
            </w:r>
          </w:p>
        </w:tc>
      </w:tr>
    </w:tbl>
    <w:p>
      <w:pPr>
        <w:pStyle w:val="Heading2"/>
      </w:pPr>
      <w:r>
        <w:t xml:space="preserve">Thème sombre (.dark)</w:t>
      </w:r>
    </w:p>
    <w:tbl>
      <w:tblPr>
        <w:tblW w:type="dxa" w:w="9026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900"/>
        <w:gridCol w:w="2700"/>
        <w:gridCol w:w="1700"/>
        <w:gridCol w:w="3726"/>
      </w:tblGrid>
      <w:tr>
        <w:trPr>
          <w:tblHeader/>
        </w:trP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Aperçu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Variable CSS</w:t>
            </w:r>
          </w:p>
        </w:tc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Valeur</w:t>
            </w:r>
          </w:p>
        </w:tc>
        <w:tc>
          <w:tcPr>
            <w:tcW w:type="dxa" w:w="37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900"/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--background</w:t>
            </w:r>
          </w:p>
        </w:tc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#0F172A</w:t>
            </w:r>
          </w:p>
        </w:tc>
        <w:tc>
          <w:tcPr>
            <w:tcW w:type="dxa" w:w="37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Fond de page</w:t>
            </w:r>
          </w:p>
        </w:tc>
      </w:tr>
      <w:tr>
        <w:tc>
          <w:tcPr>
            <w:tcW w:type="dxa" w:w="900"/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--card</w:t>
            </w:r>
          </w:p>
        </w:tc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#1E293B</w:t>
            </w:r>
          </w:p>
        </w:tc>
        <w:tc>
          <w:tcPr>
            <w:tcW w:type="dxa" w:w="37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Surface / carte</w:t>
            </w:r>
          </w:p>
        </w:tc>
      </w:tr>
      <w:tr>
        <w:tc>
          <w:tcPr>
            <w:tcW w:type="dxa" w:w="900"/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--foreground</w:t>
            </w:r>
          </w:p>
        </w:tc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#F1F5F9</w:t>
            </w:r>
          </w:p>
        </w:tc>
        <w:tc>
          <w:tcPr>
            <w:tcW w:type="dxa" w:w="37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Texte principal</w:t>
            </w:r>
          </w:p>
        </w:tc>
      </w:tr>
      <w:tr>
        <w:tc>
          <w:tcPr>
            <w:tcW w:type="dxa" w:w="900"/>
            <w:shd w:fill="94A3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--muted-foreground</w:t>
            </w:r>
          </w:p>
        </w:tc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#94A3B8</w:t>
            </w:r>
          </w:p>
        </w:tc>
        <w:tc>
          <w:tcPr>
            <w:tcW w:type="dxa" w:w="37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Texte secondaire</w:t>
            </w:r>
          </w:p>
        </w:tc>
      </w:tr>
      <w:tr>
        <w:tc>
          <w:tcPr>
            <w:tcW w:type="dxa" w:w="900"/>
            <w:shd w:fill="33415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--border / --muted</w:t>
            </w:r>
          </w:p>
        </w:tc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#334155</w:t>
            </w:r>
          </w:p>
        </w:tc>
        <w:tc>
          <w:tcPr>
            <w:tcW w:type="dxa" w:w="37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Bordures, éléments atténués</w:t>
            </w:r>
          </w:p>
        </w:tc>
      </w:tr>
      <w:tr>
        <w:tc>
          <w:tcPr>
            <w:tcW w:type="dxa" w:w="900"/>
            <w:shd w:fill="38BD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--primary</w:t>
            </w:r>
          </w:p>
        </w:tc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#38BDF8</w:t>
            </w:r>
          </w:p>
        </w:tc>
        <w:tc>
          <w:tcPr>
            <w:tcW w:type="dxa" w:w="37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Couleur principale (identique)</w:t>
            </w:r>
          </w:p>
        </w:tc>
      </w:tr>
    </w:tbl>
    <w:p>
      <w:pPr>
        <w:pStyle w:val="Heading2"/>
      </w:pPr>
      <w:r>
        <w:t xml:space="preserve">Palette graphiques (data-viz)</w:t>
      </w:r>
    </w:p>
    <w:tbl>
      <w:tblPr>
        <w:tblW w:type="dxa" w:w="9026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900"/>
        <w:gridCol w:w="2700"/>
        <w:gridCol w:w="1700"/>
        <w:gridCol w:w="3726"/>
      </w:tblGrid>
      <w:tr>
        <w:trPr>
          <w:tblHeader/>
        </w:trPr>
        <w:tc>
          <w:tcPr>
            <w:tcW w:type="dxa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Aperçu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Variable CSS</w:t>
            </w:r>
          </w:p>
        </w:tc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Valeur</w:t>
            </w:r>
          </w:p>
        </w:tc>
        <w:tc>
          <w:tcPr>
            <w:tcW w:type="dxa" w:w="37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900"/>
            <w:shd w:fill="38BD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--chart-1</w:t>
            </w:r>
          </w:p>
        </w:tc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#38BDF8</w:t>
            </w:r>
          </w:p>
        </w:tc>
        <w:tc>
          <w:tcPr>
            <w:tcW w:type="dxa" w:w="37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Série 1</w:t>
            </w:r>
          </w:p>
        </w:tc>
      </w:tr>
      <w:tr>
        <w:tc>
          <w:tcPr>
            <w:tcW w:type="dxa" w:w="900"/>
            <w:shd w:fill="22C55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--chart-2</w:t>
            </w:r>
          </w:p>
        </w:tc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#22C55E</w:t>
            </w:r>
          </w:p>
        </w:tc>
        <w:tc>
          <w:tcPr>
            <w:tcW w:type="dxa" w:w="37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Série 2</w:t>
            </w:r>
          </w:p>
        </w:tc>
      </w:tr>
      <w:tr>
        <w:tc>
          <w:tcPr>
            <w:tcW w:type="dxa" w:w="900"/>
            <w:shd w:fill="8B5C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--chart-3</w:t>
            </w:r>
          </w:p>
        </w:tc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#8B5CF6</w:t>
            </w:r>
          </w:p>
        </w:tc>
        <w:tc>
          <w:tcPr>
            <w:tcW w:type="dxa" w:w="37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Série 3</w:t>
            </w:r>
          </w:p>
        </w:tc>
      </w:tr>
      <w:tr>
        <w:tc>
          <w:tcPr>
            <w:tcW w:type="dxa" w:w="900"/>
            <w:shd w:fill="F59E0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--chart-4</w:t>
            </w:r>
          </w:p>
        </w:tc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#F59E0B</w:t>
            </w:r>
          </w:p>
        </w:tc>
        <w:tc>
          <w:tcPr>
            <w:tcW w:type="dxa" w:w="37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Série 4</w:t>
            </w:r>
          </w:p>
        </w:tc>
      </w:tr>
      <w:tr>
        <w:tc>
          <w:tcPr>
            <w:tcW w:type="dxa" w:w="900"/>
            <w:shd w:fill="EF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--chart-5</w:t>
            </w:r>
          </w:p>
        </w:tc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#EF4444</w:t>
            </w:r>
          </w:p>
        </w:tc>
        <w:tc>
          <w:tcPr>
            <w:tcW w:type="dxa" w:w="37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Série 5</w:t>
            </w:r>
          </w:p>
        </w:tc>
      </w:tr>
    </w:tbl>
    <w:p>
      <w:pPr>
        <w:pStyle w:val="Heading1"/>
      </w:pPr>
      <w:r>
        <w:t xml:space="preserve">3. Typographie</w:t>
      </w:r>
    </w:p>
    <w:p>
      <w:pPr>
        <w:pStyle w:val="ListParagraph"/>
        <w:numPr>
          <w:ilvl w:val="0"/>
          <w:numId w:val="2"/>
        </w:numPr>
      </w:pPr>
      <w:r>
        <w:t xml:space="preserve">Corps de texte : Inter, avec repli système — -apple-system, BlinkMacSystemFont, « Segoe UI », Roboto, sans-serif (globals.css).</w:t>
      </w:r>
    </w:p>
    <w:p>
      <w:pPr>
        <w:pStyle w:val="ListParagraph"/>
        <w:numPr>
          <w:ilvl w:val="0"/>
          <w:numId w:val="2"/>
        </w:numPr>
      </w:pPr>
      <w:r>
        <w:t xml:space="preserve">Geist et Geist Mono : chargées via next/font/google et exposées en variables --font-geist-sans et --font-geist-mono (layout.tsx).</w:t>
      </w:r>
    </w:p>
    <w:p>
      <w:pPr>
        <w:pStyle w:val="ListParagraph"/>
        <w:numPr>
          <w:ilvl w:val="0"/>
          <w:numId w:val="2"/>
        </w:numPr>
      </w:pPr>
      <w:r>
        <w:t xml:space="preserve">Graisses définies : Normal 400 (--font-weight-normal) et Medium 500 (--font-weight-medium). Les titres utilisent Medium 500.</w:t>
      </w:r>
    </w:p>
    <w:p>
      <w:pPr>
        <w:spacing w:before="80"/>
      </w:pPr>
      <w:r>
        <w:rPr>
          <w:i/>
          <w:iCs/>
          <w:color w:val="64748B"/>
          <w:sz w:val="18"/>
          <w:szCs w:val="18"/>
        </w:rPr>
        <w:t xml:space="preserve">Échelle typographique (base 16 px, interligne 1.5) :</w:t>
      </w:r>
    </w:p>
    <w:tbl>
      <w:tblPr>
        <w:tblW w:type="dxa" w:w="9026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4026"/>
        <w:gridCol w:w="2900"/>
        <w:gridCol w:w="2100"/>
      </w:tblGrid>
      <w:tr>
        <w:trPr>
          <w:tblHeader/>
        </w:trPr>
        <w:tc>
          <w:tcPr>
            <w:tcW w:type="dxa" w:w="40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Élément</w:t>
            </w:r>
          </w:p>
        </w:tc>
        <w:tc>
          <w:tcPr>
            <w:tcW w:type="dxa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Taille</w:t>
            </w:r>
          </w:p>
        </w:tc>
        <w:tc>
          <w:tcPr>
            <w:tcW w:type="dxa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Graisse</w:t>
            </w:r>
          </w:p>
        </w:tc>
      </w:tr>
      <w:tr>
        <w:tc>
          <w:tcPr>
            <w:tcW w:type="dxa" w:w="40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H1 — titre de page</w:t>
            </w:r>
          </w:p>
        </w:tc>
        <w:tc>
          <w:tcPr>
            <w:tcW w:type="dxa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text-2xl · 24 px</w:t>
            </w:r>
          </w:p>
        </w:tc>
        <w:tc>
          <w:tcPr>
            <w:tcW w:type="dxa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 500</w:t>
            </w:r>
          </w:p>
        </w:tc>
      </w:tr>
      <w:tr>
        <w:tc>
          <w:tcPr>
            <w:tcW w:type="dxa" w:w="40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H2 — section</w:t>
            </w:r>
          </w:p>
        </w:tc>
        <w:tc>
          <w:tcPr>
            <w:tcW w:type="dxa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text-xl · 20 px</w:t>
            </w:r>
          </w:p>
        </w:tc>
        <w:tc>
          <w:tcPr>
            <w:tcW w:type="dxa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 500</w:t>
            </w:r>
          </w:p>
        </w:tc>
      </w:tr>
      <w:tr>
        <w:tc>
          <w:tcPr>
            <w:tcW w:type="dxa" w:w="40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H3 — sous-section</w:t>
            </w:r>
          </w:p>
        </w:tc>
        <w:tc>
          <w:tcPr>
            <w:tcW w:type="dxa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text-lg · 18 px</w:t>
            </w:r>
          </w:p>
        </w:tc>
        <w:tc>
          <w:tcPr>
            <w:tcW w:type="dxa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 500</w:t>
            </w:r>
          </w:p>
        </w:tc>
      </w:tr>
      <w:tr>
        <w:tc>
          <w:tcPr>
            <w:tcW w:type="dxa" w:w="40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H4 — titre de bloc</w:t>
            </w:r>
          </w:p>
        </w:tc>
        <w:tc>
          <w:tcPr>
            <w:tcW w:type="dxa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text-base · 16 px</w:t>
            </w:r>
          </w:p>
        </w:tc>
        <w:tc>
          <w:tcPr>
            <w:tcW w:type="dxa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 500</w:t>
            </w:r>
          </w:p>
        </w:tc>
      </w:tr>
      <w:tr>
        <w:tc>
          <w:tcPr>
            <w:tcW w:type="dxa" w:w="40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Paragraphe</w:t>
            </w:r>
          </w:p>
        </w:tc>
        <w:tc>
          <w:tcPr>
            <w:tcW w:type="dxa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text-base · 16 px</w:t>
            </w:r>
          </w:p>
        </w:tc>
        <w:tc>
          <w:tcPr>
            <w:tcW w:type="dxa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Normal 400</w:t>
            </w:r>
          </w:p>
        </w:tc>
      </w:tr>
      <w:tr>
        <w:tc>
          <w:tcPr>
            <w:tcW w:type="dxa" w:w="40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Label / Bouton</w:t>
            </w:r>
          </w:p>
        </w:tc>
        <w:tc>
          <w:tcPr>
            <w:tcW w:type="dxa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text-base · 16 px</w:t>
            </w:r>
          </w:p>
        </w:tc>
        <w:tc>
          <w:tcPr>
            <w:tcW w:type="dxa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 500</w:t>
            </w:r>
          </w:p>
        </w:tc>
      </w:tr>
    </w:tbl>
    <w:p>
      <w:pPr>
        <w:pStyle w:val="Heading1"/>
      </w:pPr>
      <w:r>
        <w:t xml:space="preserve">4. Iconographie</w:t>
      </w:r>
    </w:p>
    <w:p>
      <w:r>
        <w:t xml:space="preserve">Bibliothèque unique : </w:t>
      </w:r>
      <w:r>
        <w:rPr>
          <w:rFonts w:ascii="Consolas" w:cs="Consolas" w:eastAsia="Consolas" w:hAnsi="Consolas"/>
          <w:sz w:val="19"/>
          <w:szCs w:val="19"/>
        </w:rPr>
        <w:t xml:space="preserve">lucide-react</w:t>
      </w:r>
      <w:r>
        <w:t xml:space="preserve"> (v0.548). Style trait, épaisseur 2 px, couleur héritée du texte courant.</w:t>
      </w:r>
    </w:p>
    <w:p>
      <w:r>
        <w:rPr>
          <w:i/>
          <w:iCs/>
          <w:color w:val="64748B"/>
          <w:sz w:val="18"/>
          <w:szCs w:val="18"/>
        </w:rPr>
        <w:t xml:space="preserve">Icônes réellement utilisées dans l’application :</w:t>
      </w:r>
    </w:p>
    <w:p>
      <w:pPr>
        <w:pStyle w:val="ListParagraph"/>
        <w:numPr>
          <w:ilvl w:val="0"/>
          <w:numId w:val="2"/>
        </w:numPr>
      </w:pPr>
      <w:r>
        <w:t xml:space="preserve">Navigation / layout : LayoutDashboard, TrendingUp, Calculator, ChartCandlestick, Wallet, Settings, Menu, X.</w:t>
      </w:r>
    </w:p>
    <w:p>
      <w:pPr>
        <w:pStyle w:val="ListParagraph"/>
        <w:numPr>
          <w:ilvl w:val="0"/>
          <w:numId w:val="2"/>
        </w:numPr>
      </w:pPr>
      <w:r>
        <w:t xml:space="preserve">Tableau de bord : DollarSign, Activity, Target, TrendingUp, TrendingDown.</w:t>
      </w:r>
    </w:p>
    <w:p>
      <w:pPr>
        <w:pStyle w:val="ListParagraph"/>
        <w:numPr>
          <w:ilvl w:val="0"/>
          <w:numId w:val="2"/>
        </w:numPr>
      </w:pPr>
      <w:r>
        <w:t xml:space="preserve">Compte / thème : User, UserRoundCog, Moon, Sun, Check.</w:t>
      </w:r>
    </w:p>
    <w:p>
      <w:pPr>
        <w:pStyle w:val="ListParagraph"/>
        <w:numPr>
          <w:ilvl w:val="0"/>
          <w:numId w:val="2"/>
        </w:numPr>
      </w:pPr>
      <w:r>
        <w:t xml:space="preserve">Page d’accueil : TrendingUp, BarChart3, Calculator.</w:t>
      </w:r>
    </w:p>
    <w:p>
      <w:pPr>
        <w:pStyle w:val="Heading1"/>
      </w:pPr>
      <w:r>
        <w:t xml:space="preserve">5. Composants d’interface</w:t>
      </w:r>
    </w:p>
    <w:p>
      <w:r>
        <w:t xml:space="preserve">Composants de type shadcn/ui bâtis sur Radix UI, complétés par daisyUI v5 (plugin Tailwind CSS v4) sur la page d’accueil.</w:t>
      </w:r>
    </w:p>
    <w:p>
      <w:r>
        <w:rPr>
          <w:i/>
          <w:iCs/>
          <w:color w:val="64748B"/>
          <w:sz w:val="18"/>
          <w:szCs w:val="18"/>
        </w:rPr>
        <w:t xml:space="preserve">Composants présents (app/components/ui) :</w:t>
      </w:r>
    </w:p>
    <w:p>
      <w:pPr>
        <w:pStyle w:val="ListParagraph"/>
        <w:numPr>
          <w:ilvl w:val="0"/>
          <w:numId w:val="2"/>
        </w:numPr>
      </w:pPr>
      <w:r>
        <w:t xml:space="preserve">Alert Dialog, Avatar, Badge, Button, Card, Dialog, Dropdown Menu, Input, Label, Progress, Sonner (notifications toast), Tabs.</w:t>
      </w:r>
    </w:p>
    <w:p>
      <w:pPr>
        <w:pStyle w:val="Heading2"/>
      </w:pPr>
      <w:r>
        <w:t xml:space="preserve">Boutons (button.tsx)</w:t>
      </w:r>
    </w:p>
    <w:p>
      <w:pPr>
        <w:pStyle w:val="ListParagraph"/>
        <w:numPr>
          <w:ilvl w:val="0"/>
          <w:numId w:val="2"/>
        </w:numPr>
      </w:pPr>
      <w:r>
        <w:t xml:space="preserve">Variantes : default (fond --primary, texte --primary-foreground), secondary, destructive, outline, ghost, link.</w:t>
      </w:r>
    </w:p>
    <w:p>
      <w:pPr>
        <w:pStyle w:val="ListParagraph"/>
        <w:numPr>
          <w:ilvl w:val="0"/>
          <w:numId w:val="2"/>
        </w:numPr>
      </w:pPr>
      <w:r>
        <w:t xml:space="preserve">Tailles : sm (h 32 px), default (h 36 px), lg (h 40 px), icon (36 × 36 px). Coins « rounded-md ».</w:t>
      </w:r>
    </w:p>
    <w:p>
      <w:pPr>
        <w:pStyle w:val="ListParagraph"/>
        <w:numPr>
          <w:ilvl w:val="0"/>
          <w:numId w:val="2"/>
        </w:numPr>
      </w:pPr>
      <w:r>
        <w:t xml:space="preserve">Cas particuliers du code : bouton « Connexion » en bg-blue-400 (#60A5FA) ; élément de menu actif de la barre latérale en #38BDF8, texte blanc.</w:t>
      </w:r>
    </w:p>
    <w:p>
      <w:pPr>
        <w:pStyle w:val="Heading2"/>
      </w:pPr>
      <w:r>
        <w:t xml:space="preserve">Rayons de bordure</w:t>
      </w:r>
    </w:p>
    <w:p>
      <w:r>
        <w:t xml:space="preserve">Base </w:t>
      </w:r>
      <w:r>
        <w:rPr>
          <w:rFonts w:ascii="Consolas" w:cs="Consolas" w:eastAsia="Consolas" w:hAnsi="Consolas"/>
          <w:sz w:val="19"/>
          <w:szCs w:val="19"/>
        </w:rPr>
        <w:t xml:space="preserve">--radius : 0.75rem (12 px)</w:t>
      </w:r>
      <w:r>
        <w:t xml:space="preserve">, déclinée :</w:t>
      </w:r>
    </w:p>
    <w:tbl>
      <w:tblPr>
        <w:tblW w:type="dxa" w:w="9026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3026"/>
        <w:gridCol w:w="3000"/>
        <w:gridCol w:w="3000"/>
      </w:tblGrid>
      <w:tr>
        <w:trPr>
          <w:tblHeader/>
        </w:trPr>
        <w:tc>
          <w:tcPr>
            <w:tcW w:type="dxa" w:w="30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Token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Valeur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Calcul</w:t>
            </w:r>
          </w:p>
        </w:tc>
      </w:tr>
      <w:tr>
        <w:tc>
          <w:tcPr>
            <w:tcW w:type="dxa" w:w="30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radius-sm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 px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--radius − 4 px</w:t>
            </w:r>
          </w:p>
        </w:tc>
      </w:tr>
      <w:tr>
        <w:tc>
          <w:tcPr>
            <w:tcW w:type="dxa" w:w="30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radius-md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 px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--radius − 2 px</w:t>
            </w:r>
          </w:p>
        </w:tc>
      </w:tr>
      <w:tr>
        <w:tc>
          <w:tcPr>
            <w:tcW w:type="dxa" w:w="30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radius-lg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 px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--radius</w:t>
            </w:r>
          </w:p>
        </w:tc>
      </w:tr>
      <w:tr>
        <w:tc>
          <w:tcPr>
            <w:tcW w:type="dxa" w:w="30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radius-xl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 px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--radius + 4 px</w:t>
            </w:r>
          </w:p>
        </w:tc>
      </w:tr>
    </w:tbl>
    <w:p>
      <w:pPr>
        <w:pStyle w:val="Heading1"/>
      </w:pPr>
      <w:r>
        <w:t xml:space="preserve">6. Stack technique (référence)</w:t>
      </w:r>
    </w:p>
    <w:p>
      <w:pPr>
        <w:pStyle w:val="ListParagraph"/>
        <w:numPr>
          <w:ilvl w:val="0"/>
          <w:numId w:val="2"/>
        </w:numPr>
      </w:pPr>
      <w:r>
        <w:t xml:space="preserve">Framework : Next.js 16 · React 19.</w:t>
      </w:r>
    </w:p>
    <w:p>
      <w:pPr>
        <w:pStyle w:val="ListParagraph"/>
        <w:numPr>
          <w:ilvl w:val="0"/>
          <w:numId w:val="2"/>
        </w:numPr>
      </w:pPr>
      <w:r>
        <w:t xml:space="preserve">Styles : Tailwind CSS v4 · daisyUI v5.</w:t>
      </w:r>
    </w:p>
    <w:p>
      <w:pPr>
        <w:pStyle w:val="ListParagraph"/>
        <w:numPr>
          <w:ilvl w:val="0"/>
          <w:numId w:val="2"/>
        </w:numPr>
      </w:pPr>
      <w:r>
        <w:t xml:space="preserve">Composants : Radix UI · class-variance-authority · tailwind-merge.</w:t>
      </w:r>
    </w:p>
    <w:p>
      <w:pPr>
        <w:pStyle w:val="ListParagraph"/>
        <w:numPr>
          <w:ilvl w:val="0"/>
          <w:numId w:val="2"/>
        </w:numPr>
      </w:pPr>
      <w:r>
        <w:t xml:space="preserve">Icônes : lucide-react · Graphiques : Recharts · Notifications : Sonner.</w:t>
      </w:r>
    </w:p>
    <w:p>
      <w:pPr>
        <w:pStyle w:val="ListParagraph"/>
        <w:numPr>
          <w:ilvl w:val="0"/>
          <w:numId w:val="2"/>
        </w:numPr>
      </w:pPr>
      <w:r>
        <w:t xml:space="preserve">Données : Prisma 7 · PostgreSQL.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303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0F172A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38BDF8" w:sz="6" w:space="6"/>
      </w:pBdr>
      <w:spacing w:after="140" w:before="320"/>
      <w:outlineLvl w:val="0"/>
    </w:pPr>
    <w:rPr>
      <w:rFonts w:ascii="Arial" w:cs="Arial" w:eastAsia="Arial" w:hAnsi="Arial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E293B"/>
      <w:sz w:val="24"/>
      <w:szCs w:val="24"/>
    </w:rPr>
  </w:style>
  <w:style w:type="paragraph" w:styleId="Caption">
    <w:name w:val="Caption"/>
    <w:basedOn w:val="Normal"/>
    <w:next w:val="Normal"/>
    <w:rPr>
      <w:rFonts w:ascii="Arial" w:cs="Arial" w:eastAsia="Arial" w:hAnsi="Arial"/>
      <w:i/>
      <w:iCs/>
      <w:color w:val="64748B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fe3a990f3a3c31d3cd063dc5add0ba14a69bd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FinanTrack</dc:creator>
  <cp:lastModifiedBy>Un-named</cp:lastModifiedBy>
  <cp:revision>1</cp:revision>
  <dcterms:created xsi:type="dcterms:W3CDTF">2026-06-15T14:53:15.779Z</dcterms:created>
  <dcterms:modified xsi:type="dcterms:W3CDTF">2026-06-15T14:53:15.779Z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