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C05E" w14:textId="77777777" w:rsidR="00F851CC" w:rsidRDefault="00F851CC" w:rsidP="00F851CC">
      <w:pPr>
        <w:pStyle w:val="Brezrazmikov"/>
        <w:jc w:val="center"/>
      </w:pPr>
      <w:r>
        <w:t>UNIVERZA V LJUBLJANI</w:t>
      </w:r>
    </w:p>
    <w:p w14:paraId="088BCABE" w14:textId="77777777" w:rsidR="00F851CC" w:rsidRDefault="00F851CC" w:rsidP="00F851CC">
      <w:pPr>
        <w:pStyle w:val="Brezrazmikov"/>
        <w:jc w:val="center"/>
      </w:pPr>
    </w:p>
    <w:p w14:paraId="75ED8069" w14:textId="77777777" w:rsidR="00F851CC" w:rsidRDefault="00F851CC" w:rsidP="00F851CC">
      <w:pPr>
        <w:pStyle w:val="Brezrazmikov"/>
        <w:jc w:val="center"/>
      </w:pPr>
      <w:r>
        <w:t>FAKULTETA ZA MATEMATIKO IN FIZIKO</w:t>
      </w:r>
    </w:p>
    <w:p w14:paraId="33642E7C" w14:textId="77777777" w:rsidR="00F851CC" w:rsidRDefault="00F851CC" w:rsidP="00F851CC">
      <w:pPr>
        <w:pStyle w:val="Brezrazmikov"/>
        <w:jc w:val="center"/>
      </w:pPr>
    </w:p>
    <w:p w14:paraId="25582C15" w14:textId="77777777" w:rsidR="00F851CC" w:rsidRDefault="00F851CC" w:rsidP="00F851CC">
      <w:pPr>
        <w:pStyle w:val="Brezrazmikov"/>
        <w:jc w:val="center"/>
      </w:pPr>
      <w:r>
        <w:t>Finančna matematika – 1. stopnja</w:t>
      </w:r>
    </w:p>
    <w:p w14:paraId="429FDDB9" w14:textId="77777777" w:rsidR="00F851CC" w:rsidRPr="00290CA6" w:rsidRDefault="00F851CC" w:rsidP="00F851CC">
      <w:pPr>
        <w:pStyle w:val="Brezrazmikov"/>
        <w:jc w:val="center"/>
      </w:pPr>
    </w:p>
    <w:p w14:paraId="0A09CF9D" w14:textId="77777777" w:rsidR="00F851CC" w:rsidRPr="00290CA6" w:rsidRDefault="00F851CC" w:rsidP="00F851CC">
      <w:pPr>
        <w:pStyle w:val="Brezrazmikov"/>
        <w:jc w:val="center"/>
      </w:pPr>
    </w:p>
    <w:p w14:paraId="356E5F80" w14:textId="77777777" w:rsidR="00F851CC" w:rsidRPr="00290CA6" w:rsidRDefault="00F851CC" w:rsidP="00F851CC">
      <w:pPr>
        <w:pStyle w:val="Brezrazmikov"/>
        <w:jc w:val="center"/>
      </w:pPr>
    </w:p>
    <w:p w14:paraId="66528472" w14:textId="77777777" w:rsidR="00F851CC" w:rsidRPr="00290CA6" w:rsidRDefault="00F851CC" w:rsidP="00F851CC">
      <w:pPr>
        <w:pStyle w:val="Brezrazmikov"/>
        <w:jc w:val="center"/>
      </w:pPr>
    </w:p>
    <w:p w14:paraId="06AFE62E" w14:textId="77777777" w:rsidR="00F851CC" w:rsidRPr="00290CA6" w:rsidRDefault="00F851CC" w:rsidP="00F851CC">
      <w:pPr>
        <w:pStyle w:val="Brezrazmikov"/>
        <w:jc w:val="center"/>
      </w:pPr>
    </w:p>
    <w:p w14:paraId="251E213E" w14:textId="77777777" w:rsidR="00F851CC" w:rsidRPr="00290CA6" w:rsidRDefault="00F851CC" w:rsidP="00F851CC">
      <w:pPr>
        <w:pStyle w:val="Brezrazmikov"/>
        <w:jc w:val="center"/>
      </w:pPr>
    </w:p>
    <w:p w14:paraId="0FEE19A6" w14:textId="77777777" w:rsidR="00F851CC" w:rsidRPr="00290CA6" w:rsidRDefault="00F851CC" w:rsidP="00F851CC">
      <w:pPr>
        <w:pStyle w:val="Brezrazmikov"/>
        <w:jc w:val="center"/>
      </w:pPr>
    </w:p>
    <w:p w14:paraId="3C5AABC7" w14:textId="77777777" w:rsidR="00F851CC" w:rsidRPr="00290CA6" w:rsidRDefault="00F851CC" w:rsidP="00F851CC">
      <w:pPr>
        <w:pStyle w:val="Brezrazmikov"/>
        <w:jc w:val="center"/>
      </w:pPr>
      <w:bookmarkStart w:id="0" w:name="_GoBack"/>
      <w:bookmarkEnd w:id="0"/>
    </w:p>
    <w:p w14:paraId="7D7CCD27" w14:textId="77777777" w:rsidR="00F851CC" w:rsidRPr="00290CA6" w:rsidRDefault="00F851CC" w:rsidP="00F851CC">
      <w:pPr>
        <w:pStyle w:val="Brezrazmikov"/>
        <w:jc w:val="center"/>
      </w:pPr>
      <w:r w:rsidRPr="00290CA6">
        <w:t>Klemen Hovnik</w:t>
      </w:r>
    </w:p>
    <w:p w14:paraId="37D74588" w14:textId="77777777" w:rsidR="00F851CC" w:rsidRPr="00290CA6" w:rsidRDefault="00F851CC" w:rsidP="00F851CC">
      <w:pPr>
        <w:pStyle w:val="Brezrazmikov"/>
        <w:jc w:val="center"/>
      </w:pPr>
    </w:p>
    <w:p w14:paraId="58934FB1" w14:textId="77777777" w:rsidR="00F851CC" w:rsidRPr="00290CA6" w:rsidRDefault="00F851CC" w:rsidP="00F851CC">
      <w:pPr>
        <w:pStyle w:val="Brezrazmikov"/>
        <w:jc w:val="center"/>
      </w:pPr>
    </w:p>
    <w:p w14:paraId="2665189D" w14:textId="77777777" w:rsidR="00F851CC" w:rsidRPr="00290CA6" w:rsidRDefault="00F851CC" w:rsidP="00F851CC">
      <w:pPr>
        <w:pStyle w:val="Brezrazmikov"/>
        <w:jc w:val="center"/>
        <w:rPr>
          <w:b/>
          <w:bCs/>
          <w:sz w:val="28"/>
          <w:szCs w:val="28"/>
        </w:rPr>
      </w:pPr>
      <w:r w:rsidRPr="00290CA6">
        <w:rPr>
          <w:b/>
          <w:bCs/>
          <w:sz w:val="28"/>
          <w:szCs w:val="28"/>
        </w:rPr>
        <w:t>Vrednotenje delnice družbe Gorenje d. d.</w:t>
      </w:r>
    </w:p>
    <w:p w14:paraId="0F6DF450" w14:textId="77777777" w:rsidR="00F851CC" w:rsidRPr="00290CA6" w:rsidRDefault="00F851CC" w:rsidP="00F851CC">
      <w:pPr>
        <w:pStyle w:val="Brezrazmikov"/>
        <w:jc w:val="center"/>
        <w:rPr>
          <w:b/>
          <w:bCs/>
          <w:sz w:val="28"/>
          <w:szCs w:val="28"/>
        </w:rPr>
      </w:pPr>
      <w:r w:rsidRPr="00290CA6">
        <w:rPr>
          <w:b/>
          <w:bCs/>
          <w:sz w:val="28"/>
          <w:szCs w:val="28"/>
        </w:rPr>
        <w:t>v kontekstu prevzema s strani</w:t>
      </w:r>
    </w:p>
    <w:p w14:paraId="08425A29" w14:textId="77777777" w:rsidR="00F851CC" w:rsidRPr="00290CA6" w:rsidRDefault="00F851CC" w:rsidP="00F851CC">
      <w:pPr>
        <w:pStyle w:val="Brezrazmikov"/>
        <w:jc w:val="center"/>
        <w:rPr>
          <w:b/>
          <w:bCs/>
          <w:sz w:val="28"/>
          <w:szCs w:val="28"/>
        </w:rPr>
      </w:pPr>
      <w:r w:rsidRPr="00290CA6">
        <w:rPr>
          <w:b/>
          <w:bCs/>
          <w:sz w:val="28"/>
          <w:szCs w:val="28"/>
        </w:rPr>
        <w:t xml:space="preserve">kitajske družbe </w:t>
      </w:r>
      <w:proofErr w:type="spellStart"/>
      <w:r w:rsidRPr="00290CA6">
        <w:rPr>
          <w:b/>
          <w:bCs/>
          <w:sz w:val="28"/>
          <w:szCs w:val="28"/>
        </w:rPr>
        <w:t>Hisense</w:t>
      </w:r>
      <w:proofErr w:type="spellEnd"/>
    </w:p>
    <w:p w14:paraId="74899A1A" w14:textId="77777777" w:rsidR="00F851CC" w:rsidRPr="00290CA6" w:rsidRDefault="00F851CC" w:rsidP="00F851CC">
      <w:pPr>
        <w:pStyle w:val="Brezrazmikov"/>
        <w:jc w:val="center"/>
      </w:pPr>
    </w:p>
    <w:p w14:paraId="5DE9D506" w14:textId="77777777" w:rsidR="00F851CC" w:rsidRPr="00290CA6" w:rsidRDefault="00F851CC" w:rsidP="00F851CC">
      <w:pPr>
        <w:pStyle w:val="Brezrazmikov"/>
        <w:jc w:val="center"/>
      </w:pPr>
      <w:r w:rsidRPr="00290CA6">
        <w:t>Diplomsko delo</w:t>
      </w:r>
    </w:p>
    <w:p w14:paraId="6E9E3180" w14:textId="77777777" w:rsidR="00F851CC" w:rsidRPr="00290CA6" w:rsidRDefault="00F851CC" w:rsidP="00F851CC">
      <w:pPr>
        <w:pStyle w:val="Brezrazmikov"/>
        <w:jc w:val="center"/>
      </w:pPr>
    </w:p>
    <w:p w14:paraId="45DDF209" w14:textId="77777777" w:rsidR="00F851CC" w:rsidRPr="00290CA6" w:rsidRDefault="00F851CC" w:rsidP="00F851CC">
      <w:pPr>
        <w:pStyle w:val="Brezrazmikov"/>
        <w:jc w:val="center"/>
      </w:pPr>
    </w:p>
    <w:p w14:paraId="6E9B2AE5" w14:textId="77777777" w:rsidR="00F851CC" w:rsidRPr="00290CA6" w:rsidRDefault="00F851CC" w:rsidP="00F851CC">
      <w:pPr>
        <w:pStyle w:val="Brezrazmikov"/>
        <w:jc w:val="center"/>
      </w:pPr>
    </w:p>
    <w:p w14:paraId="51C9750C" w14:textId="77777777" w:rsidR="00F851CC" w:rsidRPr="00290CA6" w:rsidRDefault="00F851CC" w:rsidP="00F851CC">
      <w:pPr>
        <w:pStyle w:val="Brezrazmikov"/>
        <w:jc w:val="center"/>
      </w:pPr>
    </w:p>
    <w:p w14:paraId="389C2FE4" w14:textId="77777777" w:rsidR="00F851CC" w:rsidRPr="00290CA6" w:rsidRDefault="00F851CC" w:rsidP="00F851CC">
      <w:pPr>
        <w:pStyle w:val="Brezrazmikov"/>
        <w:jc w:val="center"/>
      </w:pPr>
    </w:p>
    <w:p w14:paraId="5AE61232" w14:textId="77777777" w:rsidR="00F851CC" w:rsidRPr="00290CA6" w:rsidRDefault="00F851CC" w:rsidP="00F851CC">
      <w:pPr>
        <w:pStyle w:val="Brezrazmikov"/>
        <w:jc w:val="center"/>
      </w:pPr>
    </w:p>
    <w:p w14:paraId="4754F63C" w14:textId="77777777" w:rsidR="00F851CC" w:rsidRPr="00290CA6" w:rsidRDefault="00F851CC" w:rsidP="00F851CC">
      <w:pPr>
        <w:pStyle w:val="Brezrazmikov"/>
        <w:jc w:val="center"/>
      </w:pPr>
    </w:p>
    <w:p w14:paraId="21772F1F" w14:textId="77777777" w:rsidR="00F851CC" w:rsidRPr="00290CA6" w:rsidRDefault="00F851CC" w:rsidP="00F851CC">
      <w:pPr>
        <w:pStyle w:val="Brezrazmikov"/>
        <w:jc w:val="center"/>
      </w:pPr>
    </w:p>
    <w:p w14:paraId="74576B23" w14:textId="77777777" w:rsidR="00F851CC" w:rsidRPr="00290CA6" w:rsidRDefault="00F851CC" w:rsidP="00F851CC">
      <w:pPr>
        <w:pStyle w:val="Brezrazmikov"/>
        <w:jc w:val="center"/>
      </w:pPr>
    </w:p>
    <w:p w14:paraId="58B6045E" w14:textId="77777777" w:rsidR="00F851CC" w:rsidRPr="00290CA6" w:rsidRDefault="00F851CC" w:rsidP="00F851CC">
      <w:pPr>
        <w:pStyle w:val="Brezrazmikov"/>
        <w:jc w:val="center"/>
      </w:pPr>
    </w:p>
    <w:p w14:paraId="59D25E4B" w14:textId="77777777" w:rsidR="00F851CC" w:rsidRPr="00290CA6" w:rsidRDefault="00F851CC" w:rsidP="00F851CC">
      <w:pPr>
        <w:pStyle w:val="Brezrazmikov"/>
        <w:jc w:val="center"/>
      </w:pPr>
    </w:p>
    <w:p w14:paraId="76783C68" w14:textId="77777777" w:rsidR="00F851CC" w:rsidRPr="00290CA6" w:rsidRDefault="00F851CC" w:rsidP="00F851CC">
      <w:pPr>
        <w:pStyle w:val="Brezrazmikov"/>
        <w:jc w:val="center"/>
      </w:pPr>
    </w:p>
    <w:p w14:paraId="7DB267D3" w14:textId="77777777" w:rsidR="00F851CC" w:rsidRPr="00290CA6" w:rsidRDefault="00F851CC" w:rsidP="00F851CC">
      <w:pPr>
        <w:pStyle w:val="Brezrazmikov"/>
        <w:jc w:val="center"/>
      </w:pPr>
    </w:p>
    <w:p w14:paraId="40460835" w14:textId="77777777" w:rsidR="00F851CC" w:rsidRPr="00290CA6" w:rsidRDefault="00F851CC" w:rsidP="00F851CC">
      <w:pPr>
        <w:pStyle w:val="Brezrazmikov"/>
        <w:jc w:val="center"/>
      </w:pPr>
    </w:p>
    <w:p w14:paraId="59B5AB26" w14:textId="77777777" w:rsidR="00F851CC" w:rsidRPr="00290CA6" w:rsidRDefault="00F851CC" w:rsidP="00F851CC">
      <w:pPr>
        <w:pStyle w:val="Brezrazmikov"/>
        <w:jc w:val="center"/>
      </w:pPr>
    </w:p>
    <w:p w14:paraId="2973BF1A" w14:textId="77777777" w:rsidR="00F851CC" w:rsidRPr="00290CA6" w:rsidRDefault="00F851CC" w:rsidP="00F851CC">
      <w:pPr>
        <w:pStyle w:val="Brezrazmikov"/>
        <w:jc w:val="center"/>
      </w:pPr>
    </w:p>
    <w:p w14:paraId="58770A4E" w14:textId="77777777" w:rsidR="00F851CC" w:rsidRPr="00290CA6" w:rsidRDefault="00F851CC" w:rsidP="00F851CC">
      <w:pPr>
        <w:pStyle w:val="Brezrazmikov"/>
        <w:jc w:val="center"/>
      </w:pPr>
    </w:p>
    <w:p w14:paraId="69D34593" w14:textId="77777777" w:rsidR="00F851CC" w:rsidRPr="00290CA6" w:rsidRDefault="00F851CC" w:rsidP="00F851CC">
      <w:pPr>
        <w:pStyle w:val="Brezrazmikov"/>
        <w:jc w:val="center"/>
      </w:pPr>
      <w:r w:rsidRPr="00290CA6">
        <w:t>Ljubljana, 2019</w:t>
      </w:r>
    </w:p>
    <w:p w14:paraId="6921002D" w14:textId="77777777" w:rsidR="00F851CC" w:rsidRDefault="00F851CC" w:rsidP="00F851CC">
      <w:pPr>
        <w:pStyle w:val="Brezrazmikov"/>
        <w:jc w:val="center"/>
      </w:pPr>
    </w:p>
    <w:p w14:paraId="3210AE24" w14:textId="77777777" w:rsidR="00F851CC" w:rsidRDefault="00F851CC" w:rsidP="00F851CC">
      <w:pPr>
        <w:pStyle w:val="Brezrazmikov"/>
        <w:jc w:val="center"/>
      </w:pPr>
      <w:r>
        <w:lastRenderedPageBreak/>
        <w:t>UNIVERZA V LJUBLJANI</w:t>
      </w:r>
    </w:p>
    <w:p w14:paraId="44F57538" w14:textId="77777777" w:rsidR="00F851CC" w:rsidRDefault="00F851CC" w:rsidP="00F851CC">
      <w:pPr>
        <w:pStyle w:val="Brezrazmikov"/>
        <w:jc w:val="center"/>
      </w:pPr>
    </w:p>
    <w:p w14:paraId="179EAC87" w14:textId="77777777" w:rsidR="00F851CC" w:rsidRDefault="00F851CC" w:rsidP="00F851CC">
      <w:pPr>
        <w:pStyle w:val="Brezrazmikov"/>
        <w:jc w:val="center"/>
      </w:pPr>
      <w:r>
        <w:t>FAKULTETA ZA MATEMATIKO IN FIZIKO</w:t>
      </w:r>
    </w:p>
    <w:p w14:paraId="3D4D7FF3" w14:textId="77777777" w:rsidR="00F851CC" w:rsidRDefault="00F851CC" w:rsidP="00F851CC">
      <w:pPr>
        <w:pStyle w:val="Brezrazmikov"/>
        <w:jc w:val="center"/>
      </w:pPr>
    </w:p>
    <w:p w14:paraId="61325D00" w14:textId="77777777" w:rsidR="00F851CC" w:rsidRDefault="00F851CC" w:rsidP="00F851CC">
      <w:pPr>
        <w:pStyle w:val="Brezrazmikov"/>
        <w:jc w:val="center"/>
      </w:pPr>
      <w:r>
        <w:t>Finančna matematika – 1. stopnja</w:t>
      </w:r>
    </w:p>
    <w:p w14:paraId="6426AD07" w14:textId="77777777" w:rsidR="00F851CC" w:rsidRDefault="00F851CC" w:rsidP="00F851CC">
      <w:pPr>
        <w:pStyle w:val="Brezrazmikov"/>
        <w:jc w:val="center"/>
      </w:pPr>
    </w:p>
    <w:p w14:paraId="3AC8D231" w14:textId="77777777" w:rsidR="00F851CC" w:rsidRDefault="00F851CC" w:rsidP="00F851CC">
      <w:pPr>
        <w:pStyle w:val="Brezrazmikov"/>
        <w:jc w:val="center"/>
      </w:pPr>
    </w:p>
    <w:p w14:paraId="453463D0" w14:textId="77777777" w:rsidR="00F851CC" w:rsidRDefault="00F851CC" w:rsidP="00F851CC">
      <w:pPr>
        <w:pStyle w:val="Brezrazmikov"/>
        <w:jc w:val="center"/>
      </w:pPr>
    </w:p>
    <w:p w14:paraId="05E5FD61" w14:textId="77777777" w:rsidR="00F851CC" w:rsidRDefault="00F851CC" w:rsidP="00F851CC">
      <w:pPr>
        <w:pStyle w:val="Brezrazmikov"/>
        <w:jc w:val="center"/>
      </w:pPr>
    </w:p>
    <w:p w14:paraId="63362B68" w14:textId="77777777" w:rsidR="00F851CC" w:rsidRDefault="00F851CC" w:rsidP="00F851CC">
      <w:pPr>
        <w:pStyle w:val="Brezrazmikov"/>
        <w:jc w:val="center"/>
      </w:pPr>
    </w:p>
    <w:p w14:paraId="302C2553" w14:textId="77777777" w:rsidR="00F851CC" w:rsidRDefault="00F851CC" w:rsidP="00F851CC">
      <w:pPr>
        <w:pStyle w:val="Brezrazmikov"/>
        <w:jc w:val="center"/>
      </w:pPr>
    </w:p>
    <w:p w14:paraId="28A0B440" w14:textId="77777777" w:rsidR="00F851CC" w:rsidRDefault="00F851CC" w:rsidP="00F851CC">
      <w:pPr>
        <w:pStyle w:val="Brezrazmikov"/>
        <w:jc w:val="center"/>
      </w:pPr>
    </w:p>
    <w:p w14:paraId="382FBF96" w14:textId="77777777" w:rsidR="00F851CC" w:rsidRDefault="00F851CC" w:rsidP="00F851CC">
      <w:pPr>
        <w:pStyle w:val="Brezrazmikov"/>
        <w:jc w:val="center"/>
      </w:pPr>
    </w:p>
    <w:p w14:paraId="1AD5AA25" w14:textId="77777777" w:rsidR="00F851CC" w:rsidRDefault="00F851CC" w:rsidP="00F851CC">
      <w:pPr>
        <w:pStyle w:val="Brezrazmikov"/>
        <w:jc w:val="center"/>
      </w:pPr>
      <w:r>
        <w:t>Klemen Hovnik</w:t>
      </w:r>
    </w:p>
    <w:p w14:paraId="11ED2051" w14:textId="77777777" w:rsidR="00F851CC" w:rsidRDefault="00F851CC" w:rsidP="00F851CC">
      <w:pPr>
        <w:pStyle w:val="Brezrazmikov"/>
        <w:jc w:val="center"/>
      </w:pPr>
    </w:p>
    <w:p w14:paraId="50FD72DB" w14:textId="77777777" w:rsidR="00F851CC" w:rsidRDefault="00F851CC" w:rsidP="00F851CC">
      <w:pPr>
        <w:pStyle w:val="Brezrazmikov"/>
        <w:jc w:val="center"/>
      </w:pPr>
    </w:p>
    <w:p w14:paraId="262C1493" w14:textId="77777777" w:rsidR="00F851CC" w:rsidRPr="00290CA6" w:rsidRDefault="00F851CC" w:rsidP="00F851CC">
      <w:pPr>
        <w:pStyle w:val="Brezrazmikov"/>
        <w:jc w:val="center"/>
        <w:rPr>
          <w:b/>
          <w:bCs/>
          <w:sz w:val="28"/>
          <w:szCs w:val="28"/>
        </w:rPr>
      </w:pPr>
      <w:r w:rsidRPr="00290CA6">
        <w:rPr>
          <w:b/>
          <w:bCs/>
          <w:sz w:val="28"/>
          <w:szCs w:val="28"/>
        </w:rPr>
        <w:t>Vrednotenje delnice družbe Gorenje d. d.</w:t>
      </w:r>
    </w:p>
    <w:p w14:paraId="041E1D27" w14:textId="77777777" w:rsidR="00F851CC" w:rsidRPr="00290CA6" w:rsidRDefault="00F851CC" w:rsidP="00F851CC">
      <w:pPr>
        <w:pStyle w:val="Brezrazmikov"/>
        <w:jc w:val="center"/>
        <w:rPr>
          <w:b/>
          <w:bCs/>
          <w:sz w:val="28"/>
          <w:szCs w:val="28"/>
        </w:rPr>
      </w:pPr>
      <w:r w:rsidRPr="00290CA6">
        <w:rPr>
          <w:b/>
          <w:bCs/>
          <w:sz w:val="28"/>
          <w:szCs w:val="28"/>
        </w:rPr>
        <w:t>v kontekstu prevzema s strani</w:t>
      </w:r>
    </w:p>
    <w:p w14:paraId="12511B2A" w14:textId="77777777" w:rsidR="00F851CC" w:rsidRPr="00290CA6" w:rsidRDefault="00F851CC" w:rsidP="00F851CC">
      <w:pPr>
        <w:pStyle w:val="Brezrazmikov"/>
        <w:jc w:val="center"/>
        <w:rPr>
          <w:b/>
          <w:bCs/>
          <w:sz w:val="28"/>
          <w:szCs w:val="28"/>
        </w:rPr>
      </w:pPr>
      <w:r w:rsidRPr="00290CA6">
        <w:rPr>
          <w:b/>
          <w:bCs/>
          <w:sz w:val="28"/>
          <w:szCs w:val="28"/>
        </w:rPr>
        <w:t xml:space="preserve">kitajske družbe </w:t>
      </w:r>
      <w:proofErr w:type="spellStart"/>
      <w:r w:rsidRPr="00290CA6">
        <w:rPr>
          <w:b/>
          <w:bCs/>
          <w:sz w:val="28"/>
          <w:szCs w:val="28"/>
        </w:rPr>
        <w:t>Hisense</w:t>
      </w:r>
      <w:proofErr w:type="spellEnd"/>
    </w:p>
    <w:p w14:paraId="4C8BE45D" w14:textId="77777777" w:rsidR="00F851CC" w:rsidRDefault="00F851CC" w:rsidP="00F851CC">
      <w:pPr>
        <w:pStyle w:val="Brezrazmikov"/>
        <w:jc w:val="center"/>
      </w:pPr>
    </w:p>
    <w:p w14:paraId="2DC48FEA" w14:textId="77777777" w:rsidR="00F851CC" w:rsidRPr="000977F9" w:rsidRDefault="00F851CC" w:rsidP="00F851CC">
      <w:pPr>
        <w:pStyle w:val="Brezrazmikov"/>
        <w:jc w:val="center"/>
      </w:pPr>
      <w:r>
        <w:t>Diplomsko delo</w:t>
      </w:r>
    </w:p>
    <w:p w14:paraId="68D1CC76" w14:textId="77777777" w:rsidR="00F851CC" w:rsidRDefault="00F851CC" w:rsidP="00F851CC">
      <w:pPr>
        <w:pStyle w:val="Brezrazmikov"/>
        <w:jc w:val="center"/>
      </w:pPr>
    </w:p>
    <w:p w14:paraId="539DBD82" w14:textId="77777777" w:rsidR="00F851CC" w:rsidRDefault="00F851CC" w:rsidP="00F851CC">
      <w:pPr>
        <w:pStyle w:val="Brezrazmikov"/>
        <w:jc w:val="center"/>
      </w:pPr>
    </w:p>
    <w:p w14:paraId="657BFA9E" w14:textId="77777777" w:rsidR="00F851CC" w:rsidRPr="00C46F2A" w:rsidRDefault="00F851CC" w:rsidP="00F851CC">
      <w:pPr>
        <w:pStyle w:val="Brezrazmikov"/>
        <w:jc w:val="center"/>
      </w:pPr>
      <w:r w:rsidRPr="00C46F2A">
        <w:t>M</w:t>
      </w:r>
      <w:r>
        <w:t>entor</w:t>
      </w:r>
      <w:r w:rsidRPr="00C46F2A">
        <w:t>: doc. dr. Matjaž Črnigoj</w:t>
      </w:r>
    </w:p>
    <w:p w14:paraId="604A69CC" w14:textId="77777777" w:rsidR="00F851CC" w:rsidRDefault="00F851CC" w:rsidP="00F851CC">
      <w:pPr>
        <w:pStyle w:val="Brezrazmikov"/>
        <w:jc w:val="center"/>
      </w:pPr>
    </w:p>
    <w:p w14:paraId="21C98E41" w14:textId="77777777" w:rsidR="00F851CC" w:rsidRDefault="00F851CC" w:rsidP="00F851CC">
      <w:pPr>
        <w:pStyle w:val="Brezrazmikov"/>
        <w:jc w:val="center"/>
      </w:pPr>
    </w:p>
    <w:p w14:paraId="4C63109B" w14:textId="77777777" w:rsidR="00F851CC" w:rsidRDefault="00F851CC" w:rsidP="00F851CC">
      <w:pPr>
        <w:pStyle w:val="Brezrazmikov"/>
        <w:jc w:val="center"/>
      </w:pPr>
    </w:p>
    <w:p w14:paraId="0F80DE9B" w14:textId="77777777" w:rsidR="00F851CC" w:rsidRDefault="00F851CC" w:rsidP="00F851CC">
      <w:pPr>
        <w:pStyle w:val="Brezrazmikov"/>
        <w:tabs>
          <w:tab w:val="left" w:pos="4052"/>
        </w:tabs>
        <w:jc w:val="center"/>
      </w:pPr>
    </w:p>
    <w:p w14:paraId="5DE8A10C" w14:textId="77777777" w:rsidR="00F851CC" w:rsidRDefault="00F851CC" w:rsidP="00F851CC">
      <w:pPr>
        <w:pStyle w:val="Brezrazmikov"/>
        <w:jc w:val="center"/>
      </w:pPr>
    </w:p>
    <w:p w14:paraId="407720CD" w14:textId="77777777" w:rsidR="00F851CC" w:rsidRDefault="00F851CC" w:rsidP="00F851CC">
      <w:pPr>
        <w:pStyle w:val="Brezrazmikov"/>
        <w:jc w:val="center"/>
      </w:pPr>
    </w:p>
    <w:p w14:paraId="35323157" w14:textId="77777777" w:rsidR="00F851CC" w:rsidRDefault="00F851CC" w:rsidP="00F851CC">
      <w:pPr>
        <w:pStyle w:val="Brezrazmikov"/>
        <w:jc w:val="center"/>
      </w:pPr>
    </w:p>
    <w:p w14:paraId="619B9A6A" w14:textId="77777777" w:rsidR="00F851CC" w:rsidRDefault="00F851CC" w:rsidP="00F851CC">
      <w:pPr>
        <w:pStyle w:val="Brezrazmikov"/>
        <w:jc w:val="center"/>
      </w:pPr>
    </w:p>
    <w:p w14:paraId="297FBD1C" w14:textId="77777777" w:rsidR="00F851CC" w:rsidRDefault="00F851CC" w:rsidP="00F851CC">
      <w:pPr>
        <w:pStyle w:val="Brezrazmikov"/>
        <w:jc w:val="center"/>
      </w:pPr>
    </w:p>
    <w:p w14:paraId="2486A487" w14:textId="77777777" w:rsidR="00F851CC" w:rsidRDefault="00F851CC" w:rsidP="00F851CC">
      <w:pPr>
        <w:pStyle w:val="Brezrazmikov"/>
        <w:jc w:val="center"/>
      </w:pPr>
    </w:p>
    <w:p w14:paraId="5C62A236" w14:textId="77777777" w:rsidR="00F851CC" w:rsidRDefault="00F851CC" w:rsidP="00F851CC">
      <w:pPr>
        <w:pStyle w:val="Brezrazmikov"/>
        <w:jc w:val="center"/>
      </w:pPr>
    </w:p>
    <w:p w14:paraId="4EF5E348" w14:textId="77777777" w:rsidR="00F851CC" w:rsidRDefault="00F851CC" w:rsidP="00F851CC">
      <w:pPr>
        <w:pStyle w:val="Brezrazmikov"/>
        <w:jc w:val="center"/>
      </w:pPr>
    </w:p>
    <w:p w14:paraId="4A1D300D" w14:textId="77777777" w:rsidR="00F851CC" w:rsidRDefault="00F851CC" w:rsidP="00F851CC">
      <w:pPr>
        <w:pStyle w:val="Brezrazmikov"/>
        <w:jc w:val="center"/>
      </w:pPr>
    </w:p>
    <w:p w14:paraId="5CC935F7" w14:textId="77777777" w:rsidR="00F851CC" w:rsidRDefault="00F851CC" w:rsidP="00F851CC">
      <w:pPr>
        <w:pStyle w:val="Brezrazmikov"/>
        <w:jc w:val="center"/>
      </w:pPr>
    </w:p>
    <w:p w14:paraId="2E283D5E" w14:textId="77777777" w:rsidR="00F851CC" w:rsidRDefault="00F851CC" w:rsidP="00F851CC">
      <w:pPr>
        <w:pStyle w:val="Brezrazmikov"/>
        <w:jc w:val="center"/>
      </w:pPr>
      <w:r>
        <w:t>Ljubljana, 2019</w:t>
      </w:r>
    </w:p>
    <w:p w14:paraId="58C7038F" w14:textId="77777777" w:rsidR="00F851CC" w:rsidRPr="00C46F2A" w:rsidRDefault="00F851CC" w:rsidP="005E2C10">
      <w:pPr>
        <w:rPr>
          <w:rFonts w:cs="Times New Roman"/>
          <w:b/>
          <w:bCs/>
          <w:szCs w:val="24"/>
        </w:rPr>
      </w:pPr>
    </w:p>
    <w:p w14:paraId="65E05891" w14:textId="77777777" w:rsidR="00F851CC" w:rsidRDefault="00F851CC" w:rsidP="00F851CC">
      <w:pPr>
        <w:pStyle w:val="Brezrazmikov"/>
        <w:sectPr w:rsidR="00F851CC" w:rsidSect="007A6126">
          <w:pgSz w:w="12242" w:h="15842" w:code="1"/>
          <w:pgMar w:top="1418" w:right="1418" w:bottom="1418" w:left="1418" w:header="709" w:footer="709" w:gutter="0"/>
          <w:pgNumType w:fmt="lowerRoman" w:start="1"/>
          <w:cols w:space="708"/>
          <w:titlePg/>
          <w:docGrid w:linePitch="360"/>
        </w:sectPr>
      </w:pPr>
    </w:p>
    <w:p w14:paraId="6AB2A7C9" w14:textId="77777777" w:rsidR="00F851CC" w:rsidRDefault="00F851CC" w:rsidP="00F851CC">
      <w:pPr>
        <w:pStyle w:val="Brezrazmikov"/>
        <w:rPr>
          <w:b/>
          <w:bCs/>
          <w:sz w:val="28"/>
          <w:szCs w:val="28"/>
        </w:rPr>
      </w:pPr>
      <w:r w:rsidRPr="00290CA6">
        <w:rPr>
          <w:b/>
          <w:bCs/>
          <w:sz w:val="28"/>
          <w:szCs w:val="28"/>
        </w:rPr>
        <w:lastRenderedPageBreak/>
        <w:t>Vrednotenje delnice družbe Gorenje d. d.</w:t>
      </w:r>
      <w:r>
        <w:rPr>
          <w:b/>
          <w:bCs/>
          <w:sz w:val="28"/>
          <w:szCs w:val="28"/>
        </w:rPr>
        <w:t xml:space="preserve"> </w:t>
      </w:r>
      <w:r w:rsidRPr="00290CA6">
        <w:rPr>
          <w:b/>
          <w:bCs/>
          <w:sz w:val="28"/>
          <w:szCs w:val="28"/>
        </w:rPr>
        <w:t>v kontekstu prevzema s strani</w:t>
      </w:r>
      <w:r>
        <w:rPr>
          <w:b/>
          <w:bCs/>
          <w:sz w:val="28"/>
          <w:szCs w:val="28"/>
        </w:rPr>
        <w:t xml:space="preserve"> </w:t>
      </w:r>
      <w:r w:rsidRPr="00290CA6">
        <w:rPr>
          <w:b/>
          <w:bCs/>
          <w:sz w:val="28"/>
          <w:szCs w:val="28"/>
        </w:rPr>
        <w:t xml:space="preserve">kitajske družbe </w:t>
      </w:r>
      <w:proofErr w:type="spellStart"/>
      <w:r w:rsidRPr="00290CA6">
        <w:rPr>
          <w:b/>
          <w:bCs/>
          <w:sz w:val="28"/>
          <w:szCs w:val="28"/>
        </w:rPr>
        <w:t>Hisense</w:t>
      </w:r>
      <w:proofErr w:type="spellEnd"/>
    </w:p>
    <w:p w14:paraId="62DBC68C" w14:textId="77777777" w:rsidR="00F851CC" w:rsidRPr="004A52A8" w:rsidRDefault="00F851CC" w:rsidP="00F851CC">
      <w:pPr>
        <w:pStyle w:val="Brezrazmikov"/>
      </w:pPr>
    </w:p>
    <w:p w14:paraId="245CE4B8" w14:textId="77777777" w:rsidR="00F851CC" w:rsidRDefault="00F851CC" w:rsidP="0008500D">
      <w:pPr>
        <w:pStyle w:val="Brezrazmikov"/>
        <w:jc w:val="center"/>
        <w:rPr>
          <w:b/>
          <w:bCs/>
          <w:sz w:val="28"/>
          <w:szCs w:val="28"/>
        </w:rPr>
      </w:pPr>
      <w:r>
        <w:rPr>
          <w:b/>
          <w:bCs/>
          <w:sz w:val="28"/>
          <w:szCs w:val="28"/>
        </w:rPr>
        <w:t>Povzetek</w:t>
      </w:r>
    </w:p>
    <w:p w14:paraId="1ABF23FD" w14:textId="77777777" w:rsidR="00F851CC" w:rsidRPr="004A52A8" w:rsidRDefault="00F851CC" w:rsidP="00F851CC">
      <w:pPr>
        <w:pStyle w:val="Brezrazmikov"/>
      </w:pPr>
    </w:p>
    <w:p w14:paraId="31D45CC7" w14:textId="77777777" w:rsidR="00F851CC" w:rsidRDefault="00F851CC" w:rsidP="00F851CC">
      <w:pPr>
        <w:pStyle w:val="Brezrazmikov"/>
        <w:rPr>
          <w:lang w:eastAsia="sl-SI"/>
        </w:rPr>
      </w:pPr>
      <w:r>
        <w:rPr>
          <w:lang w:eastAsia="sl-SI"/>
        </w:rPr>
        <w:t xml:space="preserve">Glavna cilja diplomskega dela sta oceniti vrednost delnice družbe Gorenja, d. d., v letu 2017 ter raziskati, zakaj je kitajski investitor za eno delnico plačal dvakratnik njene cene. Ugotovil sem, da mora biti </w:t>
      </w:r>
      <w:r w:rsidRPr="004A52A8">
        <w:t>ocenjevalec</w:t>
      </w:r>
      <w:r>
        <w:rPr>
          <w:lang w:eastAsia="sl-SI"/>
        </w:rPr>
        <w:t xml:space="preserve"> pri vrednotenju podjetja po metodi diskontiranih denarnih tokov zelo pozoren pri napovedi prihodnjega poslovanja podjetja, saj že manjše razlike povzročijo velike spremembe v končni vrednosti kapitala. Po svojih izračunih sem ugotovil, da je bila v letu 2017 cena ene delnice podjetja Gorenje vredna 5,49 EUR, kar je dvakrat manj, kot je zanjo odštela družba </w:t>
      </w:r>
      <w:proofErr w:type="spellStart"/>
      <w:r>
        <w:rPr>
          <w:lang w:eastAsia="sl-SI"/>
        </w:rPr>
        <w:t>Hisense</w:t>
      </w:r>
      <w:proofErr w:type="spellEnd"/>
      <w:r>
        <w:rPr>
          <w:lang w:eastAsia="sl-SI"/>
        </w:rPr>
        <w:t xml:space="preserve">. Ta je v sredini leta 2018 prevzela podjetje Gorenje z odkupom vseh delnic po ceni 12 EUR. Videli smo, da je precejšna razlika v ceni delnice, če njeno vrednost ocenjujemo glede na manjšinskega ali večinskega lastnika. Večinski lastnik bi namreč zaradi prevzema kontrole v podjetju lahko izkoristil dodatne donose oz. sinergije iz podjetja z optimizacijo stroškov ter spremembo poslovanja. </w:t>
      </w:r>
    </w:p>
    <w:p w14:paraId="3AF81D27" w14:textId="77777777" w:rsidR="00F851CC" w:rsidRPr="004A52A8" w:rsidRDefault="00F851CC" w:rsidP="00F851CC">
      <w:pPr>
        <w:pStyle w:val="Brezrazmikov"/>
      </w:pPr>
    </w:p>
    <w:p w14:paraId="5B83395B" w14:textId="77777777" w:rsidR="00F851CC" w:rsidRPr="001D6776" w:rsidRDefault="00F851CC" w:rsidP="00F851CC">
      <w:pPr>
        <w:pStyle w:val="Brezrazmikov"/>
      </w:pPr>
      <w:r w:rsidRPr="001D6776">
        <w:rPr>
          <w:b/>
          <w:bCs/>
        </w:rPr>
        <w:t>Ključne besede</w:t>
      </w:r>
      <w:r w:rsidRPr="001D6776">
        <w:t xml:space="preserve">: </w:t>
      </w:r>
      <w:r>
        <w:t>v</w:t>
      </w:r>
      <w:r w:rsidRPr="001D6776">
        <w:t>rednotenje delnice, diskontirani denarni tok, sinergije</w:t>
      </w:r>
      <w:r>
        <w:t xml:space="preserve">, </w:t>
      </w:r>
      <w:r w:rsidRPr="001D6776">
        <w:t>analiza,</w:t>
      </w:r>
      <w:r>
        <w:t xml:space="preserve"> kontrolna premija,</w:t>
      </w:r>
      <w:r w:rsidRPr="001D6776">
        <w:t xml:space="preserve"> Gorenje, </w:t>
      </w:r>
      <w:proofErr w:type="spellStart"/>
      <w:r w:rsidRPr="001D6776">
        <w:t>Hisense</w:t>
      </w:r>
      <w:proofErr w:type="spellEnd"/>
    </w:p>
    <w:p w14:paraId="543C503E" w14:textId="77777777" w:rsidR="00F851CC" w:rsidRDefault="00F851CC" w:rsidP="00F851CC">
      <w:pPr>
        <w:pStyle w:val="Brezrazmikov"/>
      </w:pPr>
    </w:p>
    <w:p w14:paraId="28DF41DA" w14:textId="77777777" w:rsidR="00F851CC" w:rsidRPr="00BE4AC9" w:rsidRDefault="00F851CC" w:rsidP="00F851CC">
      <w:pPr>
        <w:pStyle w:val="Brezrazmikov"/>
        <w:rPr>
          <w:b/>
          <w:bCs/>
          <w:sz w:val="28"/>
          <w:szCs w:val="28"/>
          <w:lang w:val="en-GB"/>
        </w:rPr>
      </w:pPr>
      <w:r w:rsidRPr="00BE4AC9">
        <w:rPr>
          <w:b/>
          <w:bCs/>
          <w:sz w:val="28"/>
          <w:szCs w:val="28"/>
          <w:lang w:val="en-GB"/>
        </w:rPr>
        <w:t>Gorenje share valuation in the context of</w:t>
      </w:r>
      <w:r w:rsidR="006B1D0C">
        <w:rPr>
          <w:b/>
          <w:bCs/>
          <w:sz w:val="28"/>
          <w:szCs w:val="28"/>
          <w:lang w:val="en-GB"/>
        </w:rPr>
        <w:t xml:space="preserve"> a </w:t>
      </w:r>
      <w:r w:rsidRPr="00BE4AC9">
        <w:rPr>
          <w:b/>
          <w:bCs/>
          <w:sz w:val="28"/>
          <w:szCs w:val="28"/>
          <w:lang w:val="en-GB"/>
        </w:rPr>
        <w:t>takeover by Chinese company Hisense</w:t>
      </w:r>
    </w:p>
    <w:p w14:paraId="17EE0E2E" w14:textId="77777777" w:rsidR="00F851CC" w:rsidRPr="00BE4AC9" w:rsidRDefault="00F851CC" w:rsidP="00F851CC">
      <w:pPr>
        <w:pStyle w:val="Brezrazmikov"/>
        <w:rPr>
          <w:lang w:val="en-GB"/>
        </w:rPr>
      </w:pPr>
    </w:p>
    <w:p w14:paraId="22A2C737" w14:textId="77777777" w:rsidR="00F851CC" w:rsidRPr="00BE4AC9" w:rsidRDefault="00F851CC" w:rsidP="0008500D">
      <w:pPr>
        <w:pStyle w:val="Brezrazmikov"/>
        <w:jc w:val="center"/>
        <w:rPr>
          <w:b/>
          <w:bCs/>
          <w:sz w:val="28"/>
          <w:szCs w:val="28"/>
          <w:lang w:val="en-GB"/>
        </w:rPr>
      </w:pPr>
      <w:r w:rsidRPr="00BE4AC9">
        <w:rPr>
          <w:b/>
          <w:bCs/>
          <w:sz w:val="28"/>
          <w:szCs w:val="28"/>
          <w:lang w:val="en-GB"/>
        </w:rPr>
        <w:t>Abstract</w:t>
      </w:r>
    </w:p>
    <w:p w14:paraId="59C14DEA" w14:textId="77777777" w:rsidR="00F851CC" w:rsidRPr="004A52A8" w:rsidRDefault="00F851CC" w:rsidP="00F851CC">
      <w:pPr>
        <w:pStyle w:val="Brezrazmikov"/>
      </w:pPr>
    </w:p>
    <w:p w14:paraId="67D6E80A" w14:textId="77777777" w:rsidR="00F851CC" w:rsidRPr="00EB62F5" w:rsidRDefault="00F851CC" w:rsidP="00F851CC">
      <w:pPr>
        <w:pStyle w:val="Brezrazmikov"/>
        <w:rPr>
          <w:lang w:val="en-GB" w:eastAsia="sl-SI"/>
        </w:rPr>
      </w:pPr>
      <w:r w:rsidRPr="00EB62F5">
        <w:rPr>
          <w:lang w:val="en-GB" w:eastAsia="sl-SI"/>
        </w:rPr>
        <w:t xml:space="preserve">The aim of this dissertation is to evaluate the value of </w:t>
      </w:r>
      <w:proofErr w:type="spellStart"/>
      <w:r>
        <w:rPr>
          <w:lang w:val="en-GB" w:eastAsia="sl-SI"/>
        </w:rPr>
        <w:t>Gorenje’s</w:t>
      </w:r>
      <w:proofErr w:type="spellEnd"/>
      <w:r>
        <w:rPr>
          <w:lang w:val="en-GB" w:eastAsia="sl-SI"/>
        </w:rPr>
        <w:t xml:space="preserve"> share</w:t>
      </w:r>
      <w:r w:rsidRPr="00EB62F5">
        <w:rPr>
          <w:lang w:val="en-GB" w:eastAsia="sl-SI"/>
        </w:rPr>
        <w:t xml:space="preserve"> in 2017 and to examine why the Chinese investor paid</w:t>
      </w:r>
      <w:r>
        <w:rPr>
          <w:lang w:val="en-GB" w:eastAsia="sl-SI"/>
        </w:rPr>
        <w:t xml:space="preserve"> twice as </w:t>
      </w:r>
      <w:r w:rsidR="002C3884">
        <w:rPr>
          <w:lang w:val="en-GB" w:eastAsia="sl-SI"/>
        </w:rPr>
        <w:t>much</w:t>
      </w:r>
      <w:r>
        <w:rPr>
          <w:lang w:val="en-GB" w:eastAsia="sl-SI"/>
        </w:rPr>
        <w:t xml:space="preserve"> for </w:t>
      </w:r>
      <w:r w:rsidR="002C3884">
        <w:rPr>
          <w:lang w:val="en-GB" w:eastAsia="sl-SI"/>
        </w:rPr>
        <w:t>the</w:t>
      </w:r>
      <w:r>
        <w:rPr>
          <w:lang w:val="en-GB" w:eastAsia="sl-SI"/>
        </w:rPr>
        <w:t xml:space="preserve"> share</w:t>
      </w:r>
      <w:r w:rsidRPr="00EB62F5">
        <w:rPr>
          <w:lang w:val="en-GB" w:eastAsia="sl-SI"/>
        </w:rPr>
        <w:t xml:space="preserve">. I came to a conclusion </w:t>
      </w:r>
      <w:r>
        <w:rPr>
          <w:lang w:val="en-GB" w:eastAsia="sl-SI"/>
        </w:rPr>
        <w:t>t</w:t>
      </w:r>
      <w:r w:rsidRPr="00EB62F5">
        <w:rPr>
          <w:lang w:val="en-GB" w:eastAsia="sl-SI"/>
        </w:rPr>
        <w:t xml:space="preserve">hat when valuing a company using the discounted cash flow method, the appraiser needs to be very careful in predicting the future business of the company, since even minor differences </w:t>
      </w:r>
      <w:r>
        <w:rPr>
          <w:lang w:val="en-GB" w:eastAsia="sl-SI"/>
        </w:rPr>
        <w:t xml:space="preserve">can </w:t>
      </w:r>
      <w:r w:rsidRPr="00EB62F5">
        <w:rPr>
          <w:lang w:val="en-GB" w:eastAsia="sl-SI"/>
        </w:rPr>
        <w:t>cause major changes in the final value of equity.</w:t>
      </w:r>
      <w:r>
        <w:rPr>
          <w:lang w:val="en-GB" w:eastAsia="sl-SI"/>
        </w:rPr>
        <w:t xml:space="preserve"> </w:t>
      </w:r>
      <w:r w:rsidRPr="00EB62F5">
        <w:rPr>
          <w:lang w:val="en-GB" w:eastAsia="sl-SI"/>
        </w:rPr>
        <w:t xml:space="preserve">According to my calculations, the value of equity per </w:t>
      </w:r>
      <w:proofErr w:type="spellStart"/>
      <w:r w:rsidRPr="00EB62F5">
        <w:rPr>
          <w:lang w:val="en-GB" w:eastAsia="sl-SI"/>
        </w:rPr>
        <w:t>Gorenje's</w:t>
      </w:r>
      <w:proofErr w:type="spellEnd"/>
      <w:r w:rsidRPr="00EB62F5">
        <w:rPr>
          <w:lang w:val="en-GB" w:eastAsia="sl-SI"/>
        </w:rPr>
        <w:t xml:space="preserve"> share was 5,49 EUR in 2017, which is</w:t>
      </w:r>
      <w:r>
        <w:rPr>
          <w:lang w:val="en-GB" w:eastAsia="sl-SI"/>
        </w:rPr>
        <w:t xml:space="preserve"> half as many Hisense group paid for the share. In the mid – 2018 Hisense corporation took over Gorenje with the successful takeover bid of 12 EUR per share. </w:t>
      </w:r>
      <w:r w:rsidRPr="00EB62F5">
        <w:rPr>
          <w:lang w:val="en-GB" w:eastAsia="sl-SI"/>
        </w:rPr>
        <w:t>Thus</w:t>
      </w:r>
      <w:r>
        <w:rPr>
          <w:lang w:val="en-GB" w:eastAsia="sl-SI"/>
        </w:rPr>
        <w:t xml:space="preserve">, </w:t>
      </w:r>
      <w:r w:rsidRPr="00EB62F5">
        <w:rPr>
          <w:lang w:val="en-GB" w:eastAsia="sl-SI"/>
        </w:rPr>
        <w:t>we have seen that there is a significant difference in the price of a share</w:t>
      </w:r>
      <w:r>
        <w:rPr>
          <w:lang w:val="en-GB" w:eastAsia="sl-SI"/>
        </w:rPr>
        <w:t>,</w:t>
      </w:r>
      <w:r w:rsidRPr="00EB62F5">
        <w:rPr>
          <w:lang w:val="en-GB" w:eastAsia="sl-SI"/>
        </w:rPr>
        <w:t xml:space="preserve"> if it</w:t>
      </w:r>
      <w:r>
        <w:rPr>
          <w:lang w:val="en-GB" w:eastAsia="sl-SI"/>
        </w:rPr>
        <w:t xml:space="preserve"> i</w:t>
      </w:r>
      <w:r w:rsidRPr="00EB62F5">
        <w:rPr>
          <w:lang w:val="en-GB" w:eastAsia="sl-SI"/>
        </w:rPr>
        <w:t xml:space="preserve">s </w:t>
      </w:r>
      <w:r w:rsidR="002C3884" w:rsidRPr="002C3884">
        <w:rPr>
          <w:lang w:val="en-GB" w:eastAsia="sl-SI"/>
        </w:rPr>
        <w:t xml:space="preserve">determined </w:t>
      </w:r>
      <w:r w:rsidRPr="00EB62F5">
        <w:rPr>
          <w:lang w:val="en-GB" w:eastAsia="sl-SI"/>
        </w:rPr>
        <w:t xml:space="preserve">by a minority or majority owner. </w:t>
      </w:r>
      <w:r w:rsidRPr="00FF611E">
        <w:rPr>
          <w:lang w:val="en-GB" w:eastAsia="sl-SI"/>
        </w:rPr>
        <w:t>The majority owner would be able to</w:t>
      </w:r>
      <w:r>
        <w:rPr>
          <w:lang w:val="en-GB" w:eastAsia="sl-SI"/>
        </w:rPr>
        <w:t xml:space="preserve"> </w:t>
      </w:r>
      <w:r w:rsidRPr="00FF611E">
        <w:rPr>
          <w:lang w:val="en-GB" w:eastAsia="sl-SI"/>
        </w:rPr>
        <w:t>take</w:t>
      </w:r>
      <w:r>
        <w:rPr>
          <w:lang w:val="en-GB" w:eastAsia="sl-SI"/>
        </w:rPr>
        <w:t xml:space="preserve"> </w:t>
      </w:r>
      <w:r w:rsidRPr="00FF611E">
        <w:rPr>
          <w:lang w:val="en-GB" w:eastAsia="sl-SI"/>
        </w:rPr>
        <w:t xml:space="preserve">control of the company </w:t>
      </w:r>
      <w:r>
        <w:rPr>
          <w:lang w:val="en-GB" w:eastAsia="sl-SI"/>
        </w:rPr>
        <w:t>and use the</w:t>
      </w:r>
      <w:r w:rsidRPr="00FF611E">
        <w:rPr>
          <w:lang w:val="en-GB" w:eastAsia="sl-SI"/>
        </w:rPr>
        <w:t xml:space="preserve"> advantage of additional synergy returns from the company by optimizing costs and changing business operations</w:t>
      </w:r>
      <w:r>
        <w:rPr>
          <w:lang w:val="en-GB" w:eastAsia="sl-SI"/>
        </w:rPr>
        <w:t>.</w:t>
      </w:r>
    </w:p>
    <w:p w14:paraId="3A90C643" w14:textId="77777777" w:rsidR="00F851CC" w:rsidRPr="004A52A8" w:rsidRDefault="00F851CC" w:rsidP="00F851CC">
      <w:pPr>
        <w:pStyle w:val="Brezrazmikov"/>
      </w:pPr>
    </w:p>
    <w:p w14:paraId="5F12D121" w14:textId="77777777" w:rsidR="00F851CC" w:rsidRPr="001D6776" w:rsidRDefault="00F851CC" w:rsidP="00F851CC">
      <w:pPr>
        <w:pStyle w:val="Brezrazmikov"/>
      </w:pPr>
      <w:proofErr w:type="spellStart"/>
      <w:r w:rsidRPr="004A52A8">
        <w:rPr>
          <w:b/>
          <w:bCs/>
        </w:rPr>
        <w:t>Math</w:t>
      </w:r>
      <w:proofErr w:type="spellEnd"/>
      <w:r w:rsidRPr="004A52A8">
        <w:rPr>
          <w:b/>
          <w:bCs/>
        </w:rPr>
        <w:t xml:space="preserve">. Subj. </w:t>
      </w:r>
      <w:proofErr w:type="spellStart"/>
      <w:r w:rsidRPr="004A52A8">
        <w:rPr>
          <w:b/>
          <w:bCs/>
        </w:rPr>
        <w:t>Class</w:t>
      </w:r>
      <w:proofErr w:type="spellEnd"/>
      <w:r w:rsidRPr="004A52A8">
        <w:rPr>
          <w:b/>
          <w:bCs/>
        </w:rPr>
        <w:t>. (2010):</w:t>
      </w:r>
      <w:r w:rsidRPr="001D6776">
        <w:t xml:space="preserve"> </w:t>
      </w:r>
      <w:r w:rsidRPr="004A52A8">
        <w:t>91G50</w:t>
      </w:r>
    </w:p>
    <w:p w14:paraId="6FEDC231" w14:textId="77777777" w:rsidR="00F851CC" w:rsidRDefault="00F851CC" w:rsidP="00F851CC">
      <w:pPr>
        <w:pStyle w:val="Brezrazmikov"/>
      </w:pPr>
      <w:proofErr w:type="spellStart"/>
      <w:r w:rsidRPr="001D6776">
        <w:rPr>
          <w:b/>
          <w:bCs/>
        </w:rPr>
        <w:t>Key</w:t>
      </w:r>
      <w:proofErr w:type="spellEnd"/>
      <w:r w:rsidRPr="001D6776">
        <w:rPr>
          <w:b/>
          <w:bCs/>
        </w:rPr>
        <w:t xml:space="preserve"> </w:t>
      </w:r>
      <w:proofErr w:type="spellStart"/>
      <w:r w:rsidRPr="001D6776">
        <w:rPr>
          <w:b/>
          <w:bCs/>
        </w:rPr>
        <w:t>words</w:t>
      </w:r>
      <w:proofErr w:type="spellEnd"/>
      <w:r w:rsidRPr="001D6776">
        <w:rPr>
          <w:b/>
          <w:bCs/>
        </w:rPr>
        <w:t xml:space="preserve">: </w:t>
      </w:r>
      <w:r w:rsidR="007A6126">
        <w:t>b</w:t>
      </w:r>
      <w:r w:rsidRPr="001D6776">
        <w:t xml:space="preserve">usiness </w:t>
      </w:r>
      <w:proofErr w:type="spellStart"/>
      <w:r w:rsidRPr="001D6776">
        <w:t>evaluation</w:t>
      </w:r>
      <w:proofErr w:type="spellEnd"/>
      <w:r w:rsidRPr="001D6776">
        <w:t xml:space="preserve">, </w:t>
      </w:r>
      <w:proofErr w:type="spellStart"/>
      <w:r w:rsidRPr="001D6776">
        <w:t>synergy</w:t>
      </w:r>
      <w:proofErr w:type="spellEnd"/>
      <w:r w:rsidRPr="001D6776">
        <w:t xml:space="preserve">, </w:t>
      </w:r>
      <w:proofErr w:type="spellStart"/>
      <w:r w:rsidRPr="001D6776">
        <w:t>discounted</w:t>
      </w:r>
      <w:proofErr w:type="spellEnd"/>
      <w:r w:rsidRPr="001D6776">
        <w:t xml:space="preserve"> </w:t>
      </w:r>
      <w:proofErr w:type="spellStart"/>
      <w:r w:rsidRPr="001D6776">
        <w:t>cash</w:t>
      </w:r>
      <w:proofErr w:type="spellEnd"/>
      <w:r w:rsidRPr="001D6776">
        <w:t xml:space="preserve"> </w:t>
      </w:r>
      <w:proofErr w:type="spellStart"/>
      <w:r w:rsidRPr="001D6776">
        <w:t>flow</w:t>
      </w:r>
      <w:proofErr w:type="spellEnd"/>
      <w:r w:rsidRPr="001D6776">
        <w:t xml:space="preserve">, </w:t>
      </w:r>
      <w:proofErr w:type="spellStart"/>
      <w:r w:rsidRPr="001D6776">
        <w:t>analysis</w:t>
      </w:r>
      <w:proofErr w:type="spellEnd"/>
      <w:r w:rsidRPr="001D6776">
        <w:t xml:space="preserve">, </w:t>
      </w:r>
      <w:proofErr w:type="spellStart"/>
      <w:r w:rsidRPr="001D6776">
        <w:t>acquistion</w:t>
      </w:r>
      <w:proofErr w:type="spellEnd"/>
      <w:r w:rsidRPr="001D6776">
        <w:t xml:space="preserve"> </w:t>
      </w:r>
      <w:proofErr w:type="spellStart"/>
      <w:r w:rsidRPr="001D6776">
        <w:t>premium</w:t>
      </w:r>
      <w:proofErr w:type="spellEnd"/>
      <w:r w:rsidRPr="001D6776">
        <w:t xml:space="preserve">, Gorenje, </w:t>
      </w:r>
      <w:proofErr w:type="spellStart"/>
      <w:r w:rsidRPr="001D6776">
        <w:t>Hisense</w:t>
      </w:r>
      <w:proofErr w:type="spellEnd"/>
    </w:p>
    <w:sdt>
      <w:sdtPr>
        <w:rPr>
          <w:rFonts w:cstheme="minorBidi"/>
          <w:szCs w:val="22"/>
        </w:rPr>
        <w:id w:val="-674575242"/>
        <w:docPartObj>
          <w:docPartGallery w:val="Table of Contents"/>
          <w:docPartUnique/>
        </w:docPartObj>
      </w:sdtPr>
      <w:sdtEndPr/>
      <w:sdtContent>
        <w:p w14:paraId="0F3FBE86" w14:textId="77777777" w:rsidR="005E2C10" w:rsidRPr="00841436" w:rsidRDefault="005E2C10" w:rsidP="005E2C10">
          <w:pPr>
            <w:pStyle w:val="Brezrazmikov"/>
            <w:rPr>
              <w:b/>
              <w:bCs/>
            </w:rPr>
          </w:pPr>
          <w:r w:rsidRPr="00841436">
            <w:rPr>
              <w:b/>
              <w:bCs/>
            </w:rPr>
            <w:t xml:space="preserve">      Kazalo vsebine</w:t>
          </w:r>
        </w:p>
        <w:p w14:paraId="1B7CE3BD" w14:textId="77777777" w:rsidR="005E2C10" w:rsidRPr="00841436" w:rsidRDefault="005E2C10" w:rsidP="005E2C10">
          <w:pPr>
            <w:pStyle w:val="Brezrazmikov"/>
          </w:pPr>
        </w:p>
        <w:p w14:paraId="7541B6FC" w14:textId="50D54420" w:rsidR="00472378" w:rsidRDefault="005E2C10">
          <w:pPr>
            <w:pStyle w:val="Kazalovsebine1"/>
            <w:tabs>
              <w:tab w:val="left" w:pos="440"/>
              <w:tab w:val="right" w:leader="dot" w:pos="9396"/>
            </w:tabs>
            <w:rPr>
              <w:rFonts w:asciiTheme="minorHAnsi" w:eastAsiaTheme="minorEastAsia" w:hAnsiTheme="minorHAnsi"/>
              <w:noProof/>
              <w:sz w:val="22"/>
            </w:rPr>
          </w:pPr>
          <w:r w:rsidRPr="00841436">
            <w:rPr>
              <w:rFonts w:cs="Times New Roman"/>
              <w:szCs w:val="24"/>
            </w:rPr>
            <w:fldChar w:fldCharType="begin"/>
          </w:r>
          <w:r w:rsidRPr="00841436">
            <w:rPr>
              <w:rFonts w:cs="Times New Roman"/>
              <w:szCs w:val="24"/>
            </w:rPr>
            <w:instrText xml:space="preserve"> TOC \o "1-3" \h \z \u </w:instrText>
          </w:r>
          <w:r w:rsidRPr="00841436">
            <w:rPr>
              <w:rFonts w:cs="Times New Roman"/>
              <w:szCs w:val="24"/>
            </w:rPr>
            <w:fldChar w:fldCharType="separate"/>
          </w:r>
          <w:hyperlink w:anchor="_Toc18964852" w:history="1">
            <w:r w:rsidR="00472378" w:rsidRPr="00160DED">
              <w:rPr>
                <w:rStyle w:val="Hiperpovezava"/>
                <w:noProof/>
              </w:rPr>
              <w:t>1</w:t>
            </w:r>
            <w:r w:rsidR="00472378">
              <w:rPr>
                <w:rFonts w:asciiTheme="minorHAnsi" w:eastAsiaTheme="minorEastAsia" w:hAnsiTheme="minorHAnsi"/>
                <w:noProof/>
                <w:sz w:val="22"/>
              </w:rPr>
              <w:tab/>
            </w:r>
            <w:r w:rsidR="00472378" w:rsidRPr="00160DED">
              <w:rPr>
                <w:rStyle w:val="Hiperpovezava"/>
                <w:noProof/>
              </w:rPr>
              <w:t>Uvod</w:t>
            </w:r>
            <w:r w:rsidR="00472378">
              <w:rPr>
                <w:noProof/>
                <w:webHidden/>
              </w:rPr>
              <w:tab/>
            </w:r>
            <w:r w:rsidR="00472378">
              <w:rPr>
                <w:noProof/>
                <w:webHidden/>
              </w:rPr>
              <w:fldChar w:fldCharType="begin"/>
            </w:r>
            <w:r w:rsidR="00472378">
              <w:rPr>
                <w:noProof/>
                <w:webHidden/>
              </w:rPr>
              <w:instrText xml:space="preserve"> PAGEREF _Toc18964852 \h </w:instrText>
            </w:r>
            <w:r w:rsidR="00472378">
              <w:rPr>
                <w:noProof/>
                <w:webHidden/>
              </w:rPr>
            </w:r>
            <w:r w:rsidR="00472378">
              <w:rPr>
                <w:noProof/>
                <w:webHidden/>
              </w:rPr>
              <w:fldChar w:fldCharType="separate"/>
            </w:r>
            <w:r w:rsidR="00472378">
              <w:rPr>
                <w:noProof/>
                <w:webHidden/>
              </w:rPr>
              <w:t>1</w:t>
            </w:r>
            <w:r w:rsidR="00472378">
              <w:rPr>
                <w:noProof/>
                <w:webHidden/>
              </w:rPr>
              <w:fldChar w:fldCharType="end"/>
            </w:r>
          </w:hyperlink>
        </w:p>
        <w:p w14:paraId="7515E8DD" w14:textId="022E529B"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53" w:history="1">
            <w:r w:rsidR="00472378" w:rsidRPr="00160DED">
              <w:rPr>
                <w:rStyle w:val="Hiperpovezava"/>
                <w:noProof/>
              </w:rPr>
              <w:t>2</w:t>
            </w:r>
            <w:r w:rsidR="00472378">
              <w:rPr>
                <w:rFonts w:asciiTheme="minorHAnsi" w:eastAsiaTheme="minorEastAsia" w:hAnsiTheme="minorHAnsi"/>
                <w:noProof/>
                <w:sz w:val="22"/>
              </w:rPr>
              <w:tab/>
            </w:r>
            <w:r w:rsidR="00472378" w:rsidRPr="00160DED">
              <w:rPr>
                <w:rStyle w:val="Hiperpovezava"/>
                <w:noProof/>
              </w:rPr>
              <w:t>Metode dela</w:t>
            </w:r>
            <w:r w:rsidR="00472378">
              <w:rPr>
                <w:noProof/>
                <w:webHidden/>
              </w:rPr>
              <w:tab/>
            </w:r>
            <w:r w:rsidR="00472378">
              <w:rPr>
                <w:noProof/>
                <w:webHidden/>
              </w:rPr>
              <w:fldChar w:fldCharType="begin"/>
            </w:r>
            <w:r w:rsidR="00472378">
              <w:rPr>
                <w:noProof/>
                <w:webHidden/>
              </w:rPr>
              <w:instrText xml:space="preserve"> PAGEREF _Toc18964853 \h </w:instrText>
            </w:r>
            <w:r w:rsidR="00472378">
              <w:rPr>
                <w:noProof/>
                <w:webHidden/>
              </w:rPr>
            </w:r>
            <w:r w:rsidR="00472378">
              <w:rPr>
                <w:noProof/>
                <w:webHidden/>
              </w:rPr>
              <w:fldChar w:fldCharType="separate"/>
            </w:r>
            <w:r w:rsidR="00472378">
              <w:rPr>
                <w:noProof/>
                <w:webHidden/>
              </w:rPr>
              <w:t>1</w:t>
            </w:r>
            <w:r w:rsidR="00472378">
              <w:rPr>
                <w:noProof/>
                <w:webHidden/>
              </w:rPr>
              <w:fldChar w:fldCharType="end"/>
            </w:r>
          </w:hyperlink>
        </w:p>
        <w:p w14:paraId="64936849" w14:textId="1398D2C8"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54" w:history="1">
            <w:r w:rsidR="00472378" w:rsidRPr="00160DED">
              <w:rPr>
                <w:rStyle w:val="Hiperpovezava"/>
                <w:noProof/>
              </w:rPr>
              <w:t>2.1</w:t>
            </w:r>
            <w:r w:rsidR="00472378">
              <w:rPr>
                <w:rFonts w:asciiTheme="minorHAnsi" w:eastAsiaTheme="minorEastAsia" w:hAnsiTheme="minorHAnsi"/>
                <w:noProof/>
                <w:sz w:val="22"/>
              </w:rPr>
              <w:tab/>
            </w:r>
            <w:r w:rsidR="00472378" w:rsidRPr="00160DED">
              <w:rPr>
                <w:rStyle w:val="Hiperpovezava"/>
                <w:noProof/>
              </w:rPr>
              <w:t>Metoda diskontiranih denarnih tokov</w:t>
            </w:r>
            <w:r w:rsidR="00472378">
              <w:rPr>
                <w:noProof/>
                <w:webHidden/>
              </w:rPr>
              <w:tab/>
            </w:r>
            <w:r w:rsidR="00472378">
              <w:rPr>
                <w:noProof/>
                <w:webHidden/>
              </w:rPr>
              <w:fldChar w:fldCharType="begin"/>
            </w:r>
            <w:r w:rsidR="00472378">
              <w:rPr>
                <w:noProof/>
                <w:webHidden/>
              </w:rPr>
              <w:instrText xml:space="preserve"> PAGEREF _Toc18964854 \h </w:instrText>
            </w:r>
            <w:r w:rsidR="00472378">
              <w:rPr>
                <w:noProof/>
                <w:webHidden/>
              </w:rPr>
            </w:r>
            <w:r w:rsidR="00472378">
              <w:rPr>
                <w:noProof/>
                <w:webHidden/>
              </w:rPr>
              <w:fldChar w:fldCharType="separate"/>
            </w:r>
            <w:r w:rsidR="00472378">
              <w:rPr>
                <w:noProof/>
                <w:webHidden/>
              </w:rPr>
              <w:t>1</w:t>
            </w:r>
            <w:r w:rsidR="00472378">
              <w:rPr>
                <w:noProof/>
                <w:webHidden/>
              </w:rPr>
              <w:fldChar w:fldCharType="end"/>
            </w:r>
          </w:hyperlink>
        </w:p>
        <w:p w14:paraId="0614980F" w14:textId="7802540E"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55" w:history="1">
            <w:r w:rsidR="00472378" w:rsidRPr="00160DED">
              <w:rPr>
                <w:rStyle w:val="Hiperpovezava"/>
                <w:noProof/>
                <w:lang w:eastAsia="sl-SI"/>
              </w:rPr>
              <w:t>2.1.1</w:t>
            </w:r>
            <w:r w:rsidR="00472378">
              <w:rPr>
                <w:rFonts w:asciiTheme="minorHAnsi" w:eastAsiaTheme="minorEastAsia" w:hAnsiTheme="minorHAnsi"/>
                <w:noProof/>
                <w:sz w:val="22"/>
              </w:rPr>
              <w:tab/>
            </w:r>
            <w:r w:rsidR="00472378" w:rsidRPr="00160DED">
              <w:rPr>
                <w:rStyle w:val="Hiperpovezava"/>
                <w:noProof/>
                <w:lang w:eastAsia="sl-SI"/>
              </w:rPr>
              <w:t>Prosti denarni tok podjetju</w:t>
            </w:r>
            <w:r w:rsidR="00472378">
              <w:rPr>
                <w:noProof/>
                <w:webHidden/>
              </w:rPr>
              <w:tab/>
            </w:r>
            <w:r w:rsidR="00472378">
              <w:rPr>
                <w:noProof/>
                <w:webHidden/>
              </w:rPr>
              <w:fldChar w:fldCharType="begin"/>
            </w:r>
            <w:r w:rsidR="00472378">
              <w:rPr>
                <w:noProof/>
                <w:webHidden/>
              </w:rPr>
              <w:instrText xml:space="preserve"> PAGEREF _Toc18964855 \h </w:instrText>
            </w:r>
            <w:r w:rsidR="00472378">
              <w:rPr>
                <w:noProof/>
                <w:webHidden/>
              </w:rPr>
            </w:r>
            <w:r w:rsidR="00472378">
              <w:rPr>
                <w:noProof/>
                <w:webHidden/>
              </w:rPr>
              <w:fldChar w:fldCharType="separate"/>
            </w:r>
            <w:r w:rsidR="00472378">
              <w:rPr>
                <w:noProof/>
                <w:webHidden/>
              </w:rPr>
              <w:t>2</w:t>
            </w:r>
            <w:r w:rsidR="00472378">
              <w:rPr>
                <w:noProof/>
                <w:webHidden/>
              </w:rPr>
              <w:fldChar w:fldCharType="end"/>
            </w:r>
          </w:hyperlink>
        </w:p>
        <w:p w14:paraId="5F1A1B43" w14:textId="79AB387F"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56" w:history="1">
            <w:r w:rsidR="00472378" w:rsidRPr="00160DED">
              <w:rPr>
                <w:rStyle w:val="Hiperpovezava"/>
                <w:noProof/>
              </w:rPr>
              <w:t>2.1.2</w:t>
            </w:r>
            <w:r w:rsidR="00472378">
              <w:rPr>
                <w:rFonts w:asciiTheme="minorHAnsi" w:eastAsiaTheme="minorEastAsia" w:hAnsiTheme="minorHAnsi"/>
                <w:noProof/>
                <w:sz w:val="22"/>
              </w:rPr>
              <w:tab/>
            </w:r>
            <w:r w:rsidR="00472378" w:rsidRPr="00160DED">
              <w:rPr>
                <w:rStyle w:val="Hiperpovezava"/>
                <w:noProof/>
              </w:rPr>
              <w:t>Sedanja vrednost</w:t>
            </w:r>
            <w:r w:rsidR="00472378">
              <w:rPr>
                <w:noProof/>
                <w:webHidden/>
              </w:rPr>
              <w:tab/>
            </w:r>
            <w:r w:rsidR="00472378">
              <w:rPr>
                <w:noProof/>
                <w:webHidden/>
              </w:rPr>
              <w:fldChar w:fldCharType="begin"/>
            </w:r>
            <w:r w:rsidR="00472378">
              <w:rPr>
                <w:noProof/>
                <w:webHidden/>
              </w:rPr>
              <w:instrText xml:space="preserve"> PAGEREF _Toc18964856 \h </w:instrText>
            </w:r>
            <w:r w:rsidR="00472378">
              <w:rPr>
                <w:noProof/>
                <w:webHidden/>
              </w:rPr>
            </w:r>
            <w:r w:rsidR="00472378">
              <w:rPr>
                <w:noProof/>
                <w:webHidden/>
              </w:rPr>
              <w:fldChar w:fldCharType="separate"/>
            </w:r>
            <w:r w:rsidR="00472378">
              <w:rPr>
                <w:noProof/>
                <w:webHidden/>
              </w:rPr>
              <w:t>2</w:t>
            </w:r>
            <w:r w:rsidR="00472378">
              <w:rPr>
                <w:noProof/>
                <w:webHidden/>
              </w:rPr>
              <w:fldChar w:fldCharType="end"/>
            </w:r>
          </w:hyperlink>
        </w:p>
        <w:p w14:paraId="0794D2CD" w14:textId="5A53A835"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57" w:history="1">
            <w:r w:rsidR="00472378" w:rsidRPr="00160DED">
              <w:rPr>
                <w:rStyle w:val="Hiperpovezava"/>
                <w:noProof/>
              </w:rPr>
              <w:t>2.1.3</w:t>
            </w:r>
            <w:r w:rsidR="00472378">
              <w:rPr>
                <w:rFonts w:asciiTheme="minorHAnsi" w:eastAsiaTheme="minorEastAsia" w:hAnsiTheme="minorHAnsi"/>
                <w:noProof/>
                <w:sz w:val="22"/>
              </w:rPr>
              <w:tab/>
            </w:r>
            <w:r w:rsidR="00472378" w:rsidRPr="00160DED">
              <w:rPr>
                <w:rStyle w:val="Hiperpovezava"/>
                <w:noProof/>
              </w:rPr>
              <w:t>Preostala vrednost</w:t>
            </w:r>
            <w:r w:rsidR="00472378">
              <w:rPr>
                <w:noProof/>
                <w:webHidden/>
              </w:rPr>
              <w:tab/>
            </w:r>
            <w:r w:rsidR="00472378">
              <w:rPr>
                <w:noProof/>
                <w:webHidden/>
              </w:rPr>
              <w:fldChar w:fldCharType="begin"/>
            </w:r>
            <w:r w:rsidR="00472378">
              <w:rPr>
                <w:noProof/>
                <w:webHidden/>
              </w:rPr>
              <w:instrText xml:space="preserve"> PAGEREF _Toc18964857 \h </w:instrText>
            </w:r>
            <w:r w:rsidR="00472378">
              <w:rPr>
                <w:noProof/>
                <w:webHidden/>
              </w:rPr>
            </w:r>
            <w:r w:rsidR="00472378">
              <w:rPr>
                <w:noProof/>
                <w:webHidden/>
              </w:rPr>
              <w:fldChar w:fldCharType="separate"/>
            </w:r>
            <w:r w:rsidR="00472378">
              <w:rPr>
                <w:noProof/>
                <w:webHidden/>
              </w:rPr>
              <w:t>2</w:t>
            </w:r>
            <w:r w:rsidR="00472378">
              <w:rPr>
                <w:noProof/>
                <w:webHidden/>
              </w:rPr>
              <w:fldChar w:fldCharType="end"/>
            </w:r>
          </w:hyperlink>
        </w:p>
        <w:p w14:paraId="7367C6CE" w14:textId="4DCEF3B5"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58" w:history="1">
            <w:r w:rsidR="00472378" w:rsidRPr="00160DED">
              <w:rPr>
                <w:rStyle w:val="Hiperpovezava"/>
                <w:noProof/>
                <w:lang w:eastAsia="sl-SI"/>
              </w:rPr>
              <w:t>2.1.4</w:t>
            </w:r>
            <w:r w:rsidR="00472378">
              <w:rPr>
                <w:rFonts w:asciiTheme="minorHAnsi" w:eastAsiaTheme="minorEastAsia" w:hAnsiTheme="minorHAnsi"/>
                <w:noProof/>
                <w:sz w:val="22"/>
              </w:rPr>
              <w:tab/>
            </w:r>
            <w:r w:rsidR="00472378" w:rsidRPr="00160DED">
              <w:rPr>
                <w:rStyle w:val="Hiperpovezava"/>
                <w:noProof/>
                <w:lang w:eastAsia="sl-SI"/>
              </w:rPr>
              <w:t>Diskontna stopnja</w:t>
            </w:r>
            <w:r w:rsidR="00472378">
              <w:rPr>
                <w:noProof/>
                <w:webHidden/>
              </w:rPr>
              <w:tab/>
            </w:r>
            <w:r w:rsidR="00472378">
              <w:rPr>
                <w:noProof/>
                <w:webHidden/>
              </w:rPr>
              <w:fldChar w:fldCharType="begin"/>
            </w:r>
            <w:r w:rsidR="00472378">
              <w:rPr>
                <w:noProof/>
                <w:webHidden/>
              </w:rPr>
              <w:instrText xml:space="preserve"> PAGEREF _Toc18964858 \h </w:instrText>
            </w:r>
            <w:r w:rsidR="00472378">
              <w:rPr>
                <w:noProof/>
                <w:webHidden/>
              </w:rPr>
            </w:r>
            <w:r w:rsidR="00472378">
              <w:rPr>
                <w:noProof/>
                <w:webHidden/>
              </w:rPr>
              <w:fldChar w:fldCharType="separate"/>
            </w:r>
            <w:r w:rsidR="00472378">
              <w:rPr>
                <w:noProof/>
                <w:webHidden/>
              </w:rPr>
              <w:t>3</w:t>
            </w:r>
            <w:r w:rsidR="00472378">
              <w:rPr>
                <w:noProof/>
                <w:webHidden/>
              </w:rPr>
              <w:fldChar w:fldCharType="end"/>
            </w:r>
          </w:hyperlink>
        </w:p>
        <w:p w14:paraId="6F42BFD9" w14:textId="644253B0"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59" w:history="1">
            <w:r w:rsidR="00472378" w:rsidRPr="00160DED">
              <w:rPr>
                <w:rStyle w:val="Hiperpovezava"/>
                <w:noProof/>
              </w:rPr>
              <w:t>3</w:t>
            </w:r>
            <w:r w:rsidR="00472378">
              <w:rPr>
                <w:rFonts w:asciiTheme="minorHAnsi" w:eastAsiaTheme="minorEastAsia" w:hAnsiTheme="minorHAnsi"/>
                <w:noProof/>
                <w:sz w:val="22"/>
              </w:rPr>
              <w:tab/>
            </w:r>
            <w:r w:rsidR="00472378" w:rsidRPr="00160DED">
              <w:rPr>
                <w:rStyle w:val="Hiperpovezava"/>
                <w:noProof/>
              </w:rPr>
              <w:t>Predstavitev Skupine Gorenje</w:t>
            </w:r>
            <w:r w:rsidR="00472378">
              <w:rPr>
                <w:noProof/>
                <w:webHidden/>
              </w:rPr>
              <w:tab/>
            </w:r>
            <w:r w:rsidR="00472378">
              <w:rPr>
                <w:noProof/>
                <w:webHidden/>
              </w:rPr>
              <w:fldChar w:fldCharType="begin"/>
            </w:r>
            <w:r w:rsidR="00472378">
              <w:rPr>
                <w:noProof/>
                <w:webHidden/>
              </w:rPr>
              <w:instrText xml:space="preserve"> PAGEREF _Toc18964859 \h </w:instrText>
            </w:r>
            <w:r w:rsidR="00472378">
              <w:rPr>
                <w:noProof/>
                <w:webHidden/>
              </w:rPr>
            </w:r>
            <w:r w:rsidR="00472378">
              <w:rPr>
                <w:noProof/>
                <w:webHidden/>
              </w:rPr>
              <w:fldChar w:fldCharType="separate"/>
            </w:r>
            <w:r w:rsidR="00472378">
              <w:rPr>
                <w:noProof/>
                <w:webHidden/>
              </w:rPr>
              <w:t>6</w:t>
            </w:r>
            <w:r w:rsidR="00472378">
              <w:rPr>
                <w:noProof/>
                <w:webHidden/>
              </w:rPr>
              <w:fldChar w:fldCharType="end"/>
            </w:r>
          </w:hyperlink>
        </w:p>
        <w:p w14:paraId="6EC6E123" w14:textId="14C3FE70"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0" w:history="1">
            <w:r w:rsidR="00472378" w:rsidRPr="00160DED">
              <w:rPr>
                <w:rStyle w:val="Hiperpovezava"/>
                <w:noProof/>
              </w:rPr>
              <w:t>3.1</w:t>
            </w:r>
            <w:r w:rsidR="00472378">
              <w:rPr>
                <w:rFonts w:asciiTheme="minorHAnsi" w:eastAsiaTheme="minorEastAsia" w:hAnsiTheme="minorHAnsi"/>
                <w:noProof/>
                <w:sz w:val="22"/>
              </w:rPr>
              <w:tab/>
            </w:r>
            <w:r w:rsidR="00472378" w:rsidRPr="00160DED">
              <w:rPr>
                <w:rStyle w:val="Hiperpovezava"/>
                <w:noProof/>
              </w:rPr>
              <w:t>Zgodovina in nastanek</w:t>
            </w:r>
            <w:r w:rsidR="00472378">
              <w:rPr>
                <w:noProof/>
                <w:webHidden/>
              </w:rPr>
              <w:tab/>
            </w:r>
            <w:r w:rsidR="00472378">
              <w:rPr>
                <w:noProof/>
                <w:webHidden/>
              </w:rPr>
              <w:fldChar w:fldCharType="begin"/>
            </w:r>
            <w:r w:rsidR="00472378">
              <w:rPr>
                <w:noProof/>
                <w:webHidden/>
              </w:rPr>
              <w:instrText xml:space="preserve"> PAGEREF _Toc18964860 \h </w:instrText>
            </w:r>
            <w:r w:rsidR="00472378">
              <w:rPr>
                <w:noProof/>
                <w:webHidden/>
              </w:rPr>
            </w:r>
            <w:r w:rsidR="00472378">
              <w:rPr>
                <w:noProof/>
                <w:webHidden/>
              </w:rPr>
              <w:fldChar w:fldCharType="separate"/>
            </w:r>
            <w:r w:rsidR="00472378">
              <w:rPr>
                <w:noProof/>
                <w:webHidden/>
              </w:rPr>
              <w:t>6</w:t>
            </w:r>
            <w:r w:rsidR="00472378">
              <w:rPr>
                <w:noProof/>
                <w:webHidden/>
              </w:rPr>
              <w:fldChar w:fldCharType="end"/>
            </w:r>
          </w:hyperlink>
        </w:p>
        <w:p w14:paraId="5EB7FEEA" w14:textId="4C73D267"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1" w:history="1">
            <w:r w:rsidR="00472378" w:rsidRPr="00160DED">
              <w:rPr>
                <w:rStyle w:val="Hiperpovezava"/>
                <w:noProof/>
              </w:rPr>
              <w:t>3.2</w:t>
            </w:r>
            <w:r w:rsidR="00472378">
              <w:rPr>
                <w:rFonts w:asciiTheme="minorHAnsi" w:eastAsiaTheme="minorEastAsia" w:hAnsiTheme="minorHAnsi"/>
                <w:noProof/>
                <w:sz w:val="22"/>
              </w:rPr>
              <w:tab/>
            </w:r>
            <w:r w:rsidR="00472378" w:rsidRPr="00160DED">
              <w:rPr>
                <w:rStyle w:val="Hiperpovezava"/>
                <w:noProof/>
              </w:rPr>
              <w:t>Gorenje danes</w:t>
            </w:r>
            <w:r w:rsidR="00472378">
              <w:rPr>
                <w:noProof/>
                <w:webHidden/>
              </w:rPr>
              <w:tab/>
            </w:r>
            <w:r w:rsidR="00472378">
              <w:rPr>
                <w:noProof/>
                <w:webHidden/>
              </w:rPr>
              <w:fldChar w:fldCharType="begin"/>
            </w:r>
            <w:r w:rsidR="00472378">
              <w:rPr>
                <w:noProof/>
                <w:webHidden/>
              </w:rPr>
              <w:instrText xml:space="preserve"> PAGEREF _Toc18964861 \h </w:instrText>
            </w:r>
            <w:r w:rsidR="00472378">
              <w:rPr>
                <w:noProof/>
                <w:webHidden/>
              </w:rPr>
            </w:r>
            <w:r w:rsidR="00472378">
              <w:rPr>
                <w:noProof/>
                <w:webHidden/>
              </w:rPr>
              <w:fldChar w:fldCharType="separate"/>
            </w:r>
            <w:r w:rsidR="00472378">
              <w:rPr>
                <w:noProof/>
                <w:webHidden/>
              </w:rPr>
              <w:t>7</w:t>
            </w:r>
            <w:r w:rsidR="00472378">
              <w:rPr>
                <w:noProof/>
                <w:webHidden/>
              </w:rPr>
              <w:fldChar w:fldCharType="end"/>
            </w:r>
          </w:hyperlink>
        </w:p>
        <w:p w14:paraId="53BB32F2" w14:textId="15B2F0B2"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2" w:history="1">
            <w:r w:rsidR="00472378" w:rsidRPr="00160DED">
              <w:rPr>
                <w:rStyle w:val="Hiperpovezava"/>
                <w:noProof/>
              </w:rPr>
              <w:t>3.3</w:t>
            </w:r>
            <w:r w:rsidR="00472378">
              <w:rPr>
                <w:rFonts w:asciiTheme="minorHAnsi" w:eastAsiaTheme="minorEastAsia" w:hAnsiTheme="minorHAnsi"/>
                <w:noProof/>
                <w:sz w:val="22"/>
              </w:rPr>
              <w:tab/>
            </w:r>
            <w:r w:rsidR="00472378" w:rsidRPr="00160DED">
              <w:rPr>
                <w:rStyle w:val="Hiperpovezava"/>
                <w:noProof/>
              </w:rPr>
              <w:t>Lastniška struktura</w:t>
            </w:r>
            <w:r w:rsidR="00472378">
              <w:rPr>
                <w:noProof/>
                <w:webHidden/>
              </w:rPr>
              <w:tab/>
            </w:r>
            <w:r w:rsidR="00472378">
              <w:rPr>
                <w:noProof/>
                <w:webHidden/>
              </w:rPr>
              <w:fldChar w:fldCharType="begin"/>
            </w:r>
            <w:r w:rsidR="00472378">
              <w:rPr>
                <w:noProof/>
                <w:webHidden/>
              </w:rPr>
              <w:instrText xml:space="preserve"> PAGEREF _Toc18964862 \h </w:instrText>
            </w:r>
            <w:r w:rsidR="00472378">
              <w:rPr>
                <w:noProof/>
                <w:webHidden/>
              </w:rPr>
            </w:r>
            <w:r w:rsidR="00472378">
              <w:rPr>
                <w:noProof/>
                <w:webHidden/>
              </w:rPr>
              <w:fldChar w:fldCharType="separate"/>
            </w:r>
            <w:r w:rsidR="00472378">
              <w:rPr>
                <w:noProof/>
                <w:webHidden/>
              </w:rPr>
              <w:t>7</w:t>
            </w:r>
            <w:r w:rsidR="00472378">
              <w:rPr>
                <w:noProof/>
                <w:webHidden/>
              </w:rPr>
              <w:fldChar w:fldCharType="end"/>
            </w:r>
          </w:hyperlink>
        </w:p>
        <w:p w14:paraId="4F9E42E2" w14:textId="230EB965"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3" w:history="1">
            <w:r w:rsidR="00472378" w:rsidRPr="00160DED">
              <w:rPr>
                <w:rStyle w:val="Hiperpovezava"/>
                <w:noProof/>
              </w:rPr>
              <w:t>3.4</w:t>
            </w:r>
            <w:r w:rsidR="00472378">
              <w:rPr>
                <w:rFonts w:asciiTheme="minorHAnsi" w:eastAsiaTheme="minorEastAsia" w:hAnsiTheme="minorHAnsi"/>
                <w:noProof/>
                <w:sz w:val="22"/>
              </w:rPr>
              <w:tab/>
            </w:r>
            <w:r w:rsidR="00472378" w:rsidRPr="00160DED">
              <w:rPr>
                <w:rStyle w:val="Hiperpovezava"/>
                <w:noProof/>
              </w:rPr>
              <w:t>Delnica GRVG</w:t>
            </w:r>
            <w:r w:rsidR="00472378">
              <w:rPr>
                <w:noProof/>
                <w:webHidden/>
              </w:rPr>
              <w:tab/>
            </w:r>
            <w:r w:rsidR="00472378">
              <w:rPr>
                <w:noProof/>
                <w:webHidden/>
              </w:rPr>
              <w:fldChar w:fldCharType="begin"/>
            </w:r>
            <w:r w:rsidR="00472378">
              <w:rPr>
                <w:noProof/>
                <w:webHidden/>
              </w:rPr>
              <w:instrText xml:space="preserve"> PAGEREF _Toc18964863 \h </w:instrText>
            </w:r>
            <w:r w:rsidR="00472378">
              <w:rPr>
                <w:noProof/>
                <w:webHidden/>
              </w:rPr>
            </w:r>
            <w:r w:rsidR="00472378">
              <w:rPr>
                <w:noProof/>
                <w:webHidden/>
              </w:rPr>
              <w:fldChar w:fldCharType="separate"/>
            </w:r>
            <w:r w:rsidR="00472378">
              <w:rPr>
                <w:noProof/>
                <w:webHidden/>
              </w:rPr>
              <w:t>8</w:t>
            </w:r>
            <w:r w:rsidR="00472378">
              <w:rPr>
                <w:noProof/>
                <w:webHidden/>
              </w:rPr>
              <w:fldChar w:fldCharType="end"/>
            </w:r>
          </w:hyperlink>
        </w:p>
        <w:p w14:paraId="0578B132" w14:textId="2FB73170"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64" w:history="1">
            <w:r w:rsidR="00472378" w:rsidRPr="00160DED">
              <w:rPr>
                <w:rStyle w:val="Hiperpovezava"/>
                <w:noProof/>
              </w:rPr>
              <w:t>4</w:t>
            </w:r>
            <w:r w:rsidR="00472378">
              <w:rPr>
                <w:rFonts w:asciiTheme="minorHAnsi" w:eastAsiaTheme="minorEastAsia" w:hAnsiTheme="minorHAnsi"/>
                <w:noProof/>
                <w:sz w:val="22"/>
              </w:rPr>
              <w:tab/>
            </w:r>
            <w:r w:rsidR="00472378" w:rsidRPr="00160DED">
              <w:rPr>
                <w:rStyle w:val="Hiperpovezava"/>
                <w:noProof/>
              </w:rPr>
              <w:t>Predstavitev panoge</w:t>
            </w:r>
            <w:r w:rsidR="00472378">
              <w:rPr>
                <w:noProof/>
                <w:webHidden/>
              </w:rPr>
              <w:tab/>
            </w:r>
            <w:r w:rsidR="00472378">
              <w:rPr>
                <w:noProof/>
                <w:webHidden/>
              </w:rPr>
              <w:fldChar w:fldCharType="begin"/>
            </w:r>
            <w:r w:rsidR="00472378">
              <w:rPr>
                <w:noProof/>
                <w:webHidden/>
              </w:rPr>
              <w:instrText xml:space="preserve"> PAGEREF _Toc18964864 \h </w:instrText>
            </w:r>
            <w:r w:rsidR="00472378">
              <w:rPr>
                <w:noProof/>
                <w:webHidden/>
              </w:rPr>
            </w:r>
            <w:r w:rsidR="00472378">
              <w:rPr>
                <w:noProof/>
                <w:webHidden/>
              </w:rPr>
              <w:fldChar w:fldCharType="separate"/>
            </w:r>
            <w:r w:rsidR="00472378">
              <w:rPr>
                <w:noProof/>
                <w:webHidden/>
              </w:rPr>
              <w:t>8</w:t>
            </w:r>
            <w:r w:rsidR="00472378">
              <w:rPr>
                <w:noProof/>
                <w:webHidden/>
              </w:rPr>
              <w:fldChar w:fldCharType="end"/>
            </w:r>
          </w:hyperlink>
        </w:p>
        <w:p w14:paraId="02327D85" w14:textId="0EFD55F0"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5" w:history="1">
            <w:r w:rsidR="00472378" w:rsidRPr="00160DED">
              <w:rPr>
                <w:rStyle w:val="Hiperpovezava"/>
                <w:noProof/>
              </w:rPr>
              <w:t>4.1</w:t>
            </w:r>
            <w:r w:rsidR="00472378">
              <w:rPr>
                <w:rFonts w:asciiTheme="minorHAnsi" w:eastAsiaTheme="minorEastAsia" w:hAnsiTheme="minorHAnsi"/>
                <w:noProof/>
                <w:sz w:val="22"/>
              </w:rPr>
              <w:tab/>
            </w:r>
            <w:r w:rsidR="00472378" w:rsidRPr="00160DED">
              <w:rPr>
                <w:rStyle w:val="Hiperpovezava"/>
                <w:noProof/>
              </w:rPr>
              <w:t>Analiza panoge, v kateri posluje Gorenje</w:t>
            </w:r>
            <w:r w:rsidR="00472378">
              <w:rPr>
                <w:noProof/>
                <w:webHidden/>
              </w:rPr>
              <w:tab/>
            </w:r>
            <w:r w:rsidR="00472378">
              <w:rPr>
                <w:noProof/>
                <w:webHidden/>
              </w:rPr>
              <w:fldChar w:fldCharType="begin"/>
            </w:r>
            <w:r w:rsidR="00472378">
              <w:rPr>
                <w:noProof/>
                <w:webHidden/>
              </w:rPr>
              <w:instrText xml:space="preserve"> PAGEREF _Toc18964865 \h </w:instrText>
            </w:r>
            <w:r w:rsidR="00472378">
              <w:rPr>
                <w:noProof/>
                <w:webHidden/>
              </w:rPr>
            </w:r>
            <w:r w:rsidR="00472378">
              <w:rPr>
                <w:noProof/>
                <w:webHidden/>
              </w:rPr>
              <w:fldChar w:fldCharType="separate"/>
            </w:r>
            <w:r w:rsidR="00472378">
              <w:rPr>
                <w:noProof/>
                <w:webHidden/>
              </w:rPr>
              <w:t>9</w:t>
            </w:r>
            <w:r w:rsidR="00472378">
              <w:rPr>
                <w:noProof/>
                <w:webHidden/>
              </w:rPr>
              <w:fldChar w:fldCharType="end"/>
            </w:r>
          </w:hyperlink>
        </w:p>
        <w:p w14:paraId="66060D30" w14:textId="2D2E79EC"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66" w:history="1">
            <w:r w:rsidR="00472378" w:rsidRPr="00160DED">
              <w:rPr>
                <w:rStyle w:val="Hiperpovezava"/>
                <w:noProof/>
              </w:rPr>
              <w:t>5</w:t>
            </w:r>
            <w:r w:rsidR="00472378">
              <w:rPr>
                <w:rFonts w:asciiTheme="minorHAnsi" w:eastAsiaTheme="minorEastAsia" w:hAnsiTheme="minorHAnsi"/>
                <w:noProof/>
                <w:sz w:val="22"/>
              </w:rPr>
              <w:tab/>
            </w:r>
            <w:r w:rsidR="00472378" w:rsidRPr="00160DED">
              <w:rPr>
                <w:rStyle w:val="Hiperpovezava"/>
                <w:noProof/>
              </w:rPr>
              <w:t>Analiza poslovanja Skupine Gorenje</w:t>
            </w:r>
            <w:r w:rsidR="00472378">
              <w:rPr>
                <w:noProof/>
                <w:webHidden/>
              </w:rPr>
              <w:tab/>
            </w:r>
            <w:r w:rsidR="00472378">
              <w:rPr>
                <w:noProof/>
                <w:webHidden/>
              </w:rPr>
              <w:fldChar w:fldCharType="begin"/>
            </w:r>
            <w:r w:rsidR="00472378">
              <w:rPr>
                <w:noProof/>
                <w:webHidden/>
              </w:rPr>
              <w:instrText xml:space="preserve"> PAGEREF _Toc18964866 \h </w:instrText>
            </w:r>
            <w:r w:rsidR="00472378">
              <w:rPr>
                <w:noProof/>
                <w:webHidden/>
              </w:rPr>
            </w:r>
            <w:r w:rsidR="00472378">
              <w:rPr>
                <w:noProof/>
                <w:webHidden/>
              </w:rPr>
              <w:fldChar w:fldCharType="separate"/>
            </w:r>
            <w:r w:rsidR="00472378">
              <w:rPr>
                <w:noProof/>
                <w:webHidden/>
              </w:rPr>
              <w:t>9</w:t>
            </w:r>
            <w:r w:rsidR="00472378">
              <w:rPr>
                <w:noProof/>
                <w:webHidden/>
              </w:rPr>
              <w:fldChar w:fldCharType="end"/>
            </w:r>
          </w:hyperlink>
        </w:p>
        <w:p w14:paraId="1134DB49" w14:textId="3A58515B"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67" w:history="1">
            <w:r w:rsidR="00472378" w:rsidRPr="00160DED">
              <w:rPr>
                <w:rStyle w:val="Hiperpovezava"/>
                <w:noProof/>
              </w:rPr>
              <w:t>5.1</w:t>
            </w:r>
            <w:r w:rsidR="00472378">
              <w:rPr>
                <w:rFonts w:asciiTheme="minorHAnsi" w:eastAsiaTheme="minorEastAsia" w:hAnsiTheme="minorHAnsi"/>
                <w:noProof/>
                <w:sz w:val="22"/>
              </w:rPr>
              <w:tab/>
            </w:r>
            <w:r w:rsidR="00472378" w:rsidRPr="00160DED">
              <w:rPr>
                <w:rStyle w:val="Hiperpovezava"/>
                <w:noProof/>
              </w:rPr>
              <w:t>Prihodki od prodaje, stroški in dobiček</w:t>
            </w:r>
            <w:r w:rsidR="00472378">
              <w:rPr>
                <w:noProof/>
                <w:webHidden/>
              </w:rPr>
              <w:tab/>
            </w:r>
            <w:r w:rsidR="00472378">
              <w:rPr>
                <w:noProof/>
                <w:webHidden/>
              </w:rPr>
              <w:fldChar w:fldCharType="begin"/>
            </w:r>
            <w:r w:rsidR="00472378">
              <w:rPr>
                <w:noProof/>
                <w:webHidden/>
              </w:rPr>
              <w:instrText xml:space="preserve"> PAGEREF _Toc18964867 \h </w:instrText>
            </w:r>
            <w:r w:rsidR="00472378">
              <w:rPr>
                <w:noProof/>
                <w:webHidden/>
              </w:rPr>
            </w:r>
            <w:r w:rsidR="00472378">
              <w:rPr>
                <w:noProof/>
                <w:webHidden/>
              </w:rPr>
              <w:fldChar w:fldCharType="separate"/>
            </w:r>
            <w:r w:rsidR="00472378">
              <w:rPr>
                <w:noProof/>
                <w:webHidden/>
              </w:rPr>
              <w:t>9</w:t>
            </w:r>
            <w:r w:rsidR="00472378">
              <w:rPr>
                <w:noProof/>
                <w:webHidden/>
              </w:rPr>
              <w:fldChar w:fldCharType="end"/>
            </w:r>
          </w:hyperlink>
        </w:p>
        <w:p w14:paraId="33CD38C4" w14:textId="2079A914"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68" w:history="1">
            <w:r w:rsidR="00472378" w:rsidRPr="00160DED">
              <w:rPr>
                <w:rStyle w:val="Hiperpovezava"/>
                <w:noProof/>
              </w:rPr>
              <w:t>5.1.1</w:t>
            </w:r>
            <w:r w:rsidR="00472378">
              <w:rPr>
                <w:rFonts w:asciiTheme="minorHAnsi" w:eastAsiaTheme="minorEastAsia" w:hAnsiTheme="minorHAnsi"/>
                <w:noProof/>
                <w:sz w:val="22"/>
              </w:rPr>
              <w:tab/>
            </w:r>
            <w:r w:rsidR="00472378" w:rsidRPr="00160DED">
              <w:rPr>
                <w:rStyle w:val="Hiperpovezava"/>
                <w:noProof/>
              </w:rPr>
              <w:t>Prihodki od prodaje</w:t>
            </w:r>
            <w:r w:rsidR="00472378">
              <w:rPr>
                <w:noProof/>
                <w:webHidden/>
              </w:rPr>
              <w:tab/>
            </w:r>
            <w:r w:rsidR="00472378">
              <w:rPr>
                <w:noProof/>
                <w:webHidden/>
              </w:rPr>
              <w:fldChar w:fldCharType="begin"/>
            </w:r>
            <w:r w:rsidR="00472378">
              <w:rPr>
                <w:noProof/>
                <w:webHidden/>
              </w:rPr>
              <w:instrText xml:space="preserve"> PAGEREF _Toc18964868 \h </w:instrText>
            </w:r>
            <w:r w:rsidR="00472378">
              <w:rPr>
                <w:noProof/>
                <w:webHidden/>
              </w:rPr>
            </w:r>
            <w:r w:rsidR="00472378">
              <w:rPr>
                <w:noProof/>
                <w:webHidden/>
              </w:rPr>
              <w:fldChar w:fldCharType="separate"/>
            </w:r>
            <w:r w:rsidR="00472378">
              <w:rPr>
                <w:noProof/>
                <w:webHidden/>
              </w:rPr>
              <w:t>9</w:t>
            </w:r>
            <w:r w:rsidR="00472378">
              <w:rPr>
                <w:noProof/>
                <w:webHidden/>
              </w:rPr>
              <w:fldChar w:fldCharType="end"/>
            </w:r>
          </w:hyperlink>
        </w:p>
        <w:p w14:paraId="63078859" w14:textId="69E3DF27"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69" w:history="1">
            <w:r w:rsidR="00472378" w:rsidRPr="00160DED">
              <w:rPr>
                <w:rStyle w:val="Hiperpovezava"/>
                <w:noProof/>
              </w:rPr>
              <w:t>5.1.2</w:t>
            </w:r>
            <w:r w:rsidR="00472378">
              <w:rPr>
                <w:rFonts w:asciiTheme="minorHAnsi" w:eastAsiaTheme="minorEastAsia" w:hAnsiTheme="minorHAnsi"/>
                <w:noProof/>
                <w:sz w:val="22"/>
              </w:rPr>
              <w:tab/>
            </w:r>
            <w:r w:rsidR="00472378" w:rsidRPr="00160DED">
              <w:rPr>
                <w:rStyle w:val="Hiperpovezava"/>
                <w:noProof/>
              </w:rPr>
              <w:t>Celotni stroški</w:t>
            </w:r>
            <w:r w:rsidR="00472378">
              <w:rPr>
                <w:noProof/>
                <w:webHidden/>
              </w:rPr>
              <w:tab/>
            </w:r>
            <w:r w:rsidR="00472378">
              <w:rPr>
                <w:noProof/>
                <w:webHidden/>
              </w:rPr>
              <w:fldChar w:fldCharType="begin"/>
            </w:r>
            <w:r w:rsidR="00472378">
              <w:rPr>
                <w:noProof/>
                <w:webHidden/>
              </w:rPr>
              <w:instrText xml:space="preserve"> PAGEREF _Toc18964869 \h </w:instrText>
            </w:r>
            <w:r w:rsidR="00472378">
              <w:rPr>
                <w:noProof/>
                <w:webHidden/>
              </w:rPr>
            </w:r>
            <w:r w:rsidR="00472378">
              <w:rPr>
                <w:noProof/>
                <w:webHidden/>
              </w:rPr>
              <w:fldChar w:fldCharType="separate"/>
            </w:r>
            <w:r w:rsidR="00472378">
              <w:rPr>
                <w:noProof/>
                <w:webHidden/>
              </w:rPr>
              <w:t>10</w:t>
            </w:r>
            <w:r w:rsidR="00472378">
              <w:rPr>
                <w:noProof/>
                <w:webHidden/>
              </w:rPr>
              <w:fldChar w:fldCharType="end"/>
            </w:r>
          </w:hyperlink>
        </w:p>
        <w:p w14:paraId="3306B3AC" w14:textId="1B198836"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70" w:history="1">
            <w:r w:rsidR="00472378" w:rsidRPr="00160DED">
              <w:rPr>
                <w:rStyle w:val="Hiperpovezava"/>
                <w:noProof/>
              </w:rPr>
              <w:t>5.1.3</w:t>
            </w:r>
            <w:r w:rsidR="00472378">
              <w:rPr>
                <w:rFonts w:asciiTheme="minorHAnsi" w:eastAsiaTheme="minorEastAsia" w:hAnsiTheme="minorHAnsi"/>
                <w:noProof/>
                <w:sz w:val="22"/>
              </w:rPr>
              <w:tab/>
            </w:r>
            <w:r w:rsidR="00472378" w:rsidRPr="00160DED">
              <w:rPr>
                <w:rStyle w:val="Hiperpovezava"/>
                <w:noProof/>
              </w:rPr>
              <w:t>EBITDA marža</w:t>
            </w:r>
            <w:r w:rsidR="00472378">
              <w:rPr>
                <w:noProof/>
                <w:webHidden/>
              </w:rPr>
              <w:tab/>
            </w:r>
            <w:r w:rsidR="00472378">
              <w:rPr>
                <w:noProof/>
                <w:webHidden/>
              </w:rPr>
              <w:fldChar w:fldCharType="begin"/>
            </w:r>
            <w:r w:rsidR="00472378">
              <w:rPr>
                <w:noProof/>
                <w:webHidden/>
              </w:rPr>
              <w:instrText xml:space="preserve"> PAGEREF _Toc18964870 \h </w:instrText>
            </w:r>
            <w:r w:rsidR="00472378">
              <w:rPr>
                <w:noProof/>
                <w:webHidden/>
              </w:rPr>
            </w:r>
            <w:r w:rsidR="00472378">
              <w:rPr>
                <w:noProof/>
                <w:webHidden/>
              </w:rPr>
              <w:fldChar w:fldCharType="separate"/>
            </w:r>
            <w:r w:rsidR="00472378">
              <w:rPr>
                <w:noProof/>
                <w:webHidden/>
              </w:rPr>
              <w:t>12</w:t>
            </w:r>
            <w:r w:rsidR="00472378">
              <w:rPr>
                <w:noProof/>
                <w:webHidden/>
              </w:rPr>
              <w:fldChar w:fldCharType="end"/>
            </w:r>
          </w:hyperlink>
        </w:p>
        <w:p w14:paraId="23279232" w14:textId="68C82CE6"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71" w:history="1">
            <w:r w:rsidR="00472378" w:rsidRPr="00160DED">
              <w:rPr>
                <w:rStyle w:val="Hiperpovezava"/>
                <w:noProof/>
              </w:rPr>
              <w:t>5.2</w:t>
            </w:r>
            <w:r w:rsidR="00472378">
              <w:rPr>
                <w:rFonts w:asciiTheme="minorHAnsi" w:eastAsiaTheme="minorEastAsia" w:hAnsiTheme="minorHAnsi"/>
                <w:noProof/>
                <w:sz w:val="22"/>
              </w:rPr>
              <w:tab/>
            </w:r>
            <w:r w:rsidR="00472378" w:rsidRPr="00160DED">
              <w:rPr>
                <w:rStyle w:val="Hiperpovezava"/>
                <w:noProof/>
              </w:rPr>
              <w:t>Sredstva in neto obratni kapital</w:t>
            </w:r>
            <w:r w:rsidR="00472378">
              <w:rPr>
                <w:noProof/>
                <w:webHidden/>
              </w:rPr>
              <w:tab/>
            </w:r>
            <w:r w:rsidR="00472378">
              <w:rPr>
                <w:noProof/>
                <w:webHidden/>
              </w:rPr>
              <w:fldChar w:fldCharType="begin"/>
            </w:r>
            <w:r w:rsidR="00472378">
              <w:rPr>
                <w:noProof/>
                <w:webHidden/>
              </w:rPr>
              <w:instrText xml:space="preserve"> PAGEREF _Toc18964871 \h </w:instrText>
            </w:r>
            <w:r w:rsidR="00472378">
              <w:rPr>
                <w:noProof/>
                <w:webHidden/>
              </w:rPr>
            </w:r>
            <w:r w:rsidR="00472378">
              <w:rPr>
                <w:noProof/>
                <w:webHidden/>
              </w:rPr>
              <w:fldChar w:fldCharType="separate"/>
            </w:r>
            <w:r w:rsidR="00472378">
              <w:rPr>
                <w:noProof/>
                <w:webHidden/>
              </w:rPr>
              <w:t>13</w:t>
            </w:r>
            <w:r w:rsidR="00472378">
              <w:rPr>
                <w:noProof/>
                <w:webHidden/>
              </w:rPr>
              <w:fldChar w:fldCharType="end"/>
            </w:r>
          </w:hyperlink>
        </w:p>
        <w:p w14:paraId="4020514B" w14:textId="6AF5C16A"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72" w:history="1">
            <w:r w:rsidR="00472378" w:rsidRPr="00160DED">
              <w:rPr>
                <w:rStyle w:val="Hiperpovezava"/>
                <w:noProof/>
              </w:rPr>
              <w:t>5.3</w:t>
            </w:r>
            <w:r w:rsidR="00472378">
              <w:rPr>
                <w:rFonts w:asciiTheme="minorHAnsi" w:eastAsiaTheme="minorEastAsia" w:hAnsiTheme="minorHAnsi"/>
                <w:noProof/>
                <w:sz w:val="22"/>
              </w:rPr>
              <w:tab/>
            </w:r>
            <w:r w:rsidR="00472378" w:rsidRPr="00160DED">
              <w:rPr>
                <w:rStyle w:val="Hiperpovezava"/>
                <w:noProof/>
              </w:rPr>
              <w:t>Financiranje</w:t>
            </w:r>
            <w:r w:rsidR="00472378">
              <w:rPr>
                <w:noProof/>
                <w:webHidden/>
              </w:rPr>
              <w:tab/>
            </w:r>
            <w:r w:rsidR="00472378">
              <w:rPr>
                <w:noProof/>
                <w:webHidden/>
              </w:rPr>
              <w:fldChar w:fldCharType="begin"/>
            </w:r>
            <w:r w:rsidR="00472378">
              <w:rPr>
                <w:noProof/>
                <w:webHidden/>
              </w:rPr>
              <w:instrText xml:space="preserve"> PAGEREF _Toc18964872 \h </w:instrText>
            </w:r>
            <w:r w:rsidR="00472378">
              <w:rPr>
                <w:noProof/>
                <w:webHidden/>
              </w:rPr>
            </w:r>
            <w:r w:rsidR="00472378">
              <w:rPr>
                <w:noProof/>
                <w:webHidden/>
              </w:rPr>
              <w:fldChar w:fldCharType="separate"/>
            </w:r>
            <w:r w:rsidR="00472378">
              <w:rPr>
                <w:noProof/>
                <w:webHidden/>
              </w:rPr>
              <w:t>15</w:t>
            </w:r>
            <w:r w:rsidR="00472378">
              <w:rPr>
                <w:noProof/>
                <w:webHidden/>
              </w:rPr>
              <w:fldChar w:fldCharType="end"/>
            </w:r>
          </w:hyperlink>
        </w:p>
        <w:p w14:paraId="32DB8EE0" w14:textId="04E55A14"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73" w:history="1">
            <w:r w:rsidR="00472378" w:rsidRPr="00160DED">
              <w:rPr>
                <w:rStyle w:val="Hiperpovezava"/>
                <w:noProof/>
              </w:rPr>
              <w:t>6</w:t>
            </w:r>
            <w:r w:rsidR="00472378">
              <w:rPr>
                <w:rFonts w:asciiTheme="minorHAnsi" w:eastAsiaTheme="minorEastAsia" w:hAnsiTheme="minorHAnsi"/>
                <w:noProof/>
                <w:sz w:val="22"/>
              </w:rPr>
              <w:tab/>
            </w:r>
            <w:r w:rsidR="00472378" w:rsidRPr="00160DED">
              <w:rPr>
                <w:rStyle w:val="Hiperpovezava"/>
                <w:noProof/>
              </w:rPr>
              <w:t>Napoved poslovanja Skupine Gorenje za ocenjevano obdobje in izračun FCFF</w:t>
            </w:r>
            <w:r w:rsidR="00472378">
              <w:rPr>
                <w:noProof/>
                <w:webHidden/>
              </w:rPr>
              <w:tab/>
            </w:r>
            <w:r w:rsidR="00472378">
              <w:rPr>
                <w:noProof/>
                <w:webHidden/>
              </w:rPr>
              <w:fldChar w:fldCharType="begin"/>
            </w:r>
            <w:r w:rsidR="00472378">
              <w:rPr>
                <w:noProof/>
                <w:webHidden/>
              </w:rPr>
              <w:instrText xml:space="preserve"> PAGEREF _Toc18964873 \h </w:instrText>
            </w:r>
            <w:r w:rsidR="00472378">
              <w:rPr>
                <w:noProof/>
                <w:webHidden/>
              </w:rPr>
            </w:r>
            <w:r w:rsidR="00472378">
              <w:rPr>
                <w:noProof/>
                <w:webHidden/>
              </w:rPr>
              <w:fldChar w:fldCharType="separate"/>
            </w:r>
            <w:r w:rsidR="00472378">
              <w:rPr>
                <w:noProof/>
                <w:webHidden/>
              </w:rPr>
              <w:t>17</w:t>
            </w:r>
            <w:r w:rsidR="00472378">
              <w:rPr>
                <w:noProof/>
                <w:webHidden/>
              </w:rPr>
              <w:fldChar w:fldCharType="end"/>
            </w:r>
          </w:hyperlink>
        </w:p>
        <w:p w14:paraId="2C04FF0B" w14:textId="35B7522B"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74" w:history="1">
            <w:r w:rsidR="00472378" w:rsidRPr="00160DED">
              <w:rPr>
                <w:rStyle w:val="Hiperpovezava"/>
                <w:noProof/>
              </w:rPr>
              <w:t>6.1</w:t>
            </w:r>
            <w:r w:rsidR="00472378">
              <w:rPr>
                <w:rFonts w:asciiTheme="minorHAnsi" w:eastAsiaTheme="minorEastAsia" w:hAnsiTheme="minorHAnsi"/>
                <w:noProof/>
                <w:sz w:val="22"/>
              </w:rPr>
              <w:tab/>
            </w:r>
            <w:r w:rsidR="00472378" w:rsidRPr="00160DED">
              <w:rPr>
                <w:rStyle w:val="Hiperpovezava"/>
                <w:noProof/>
              </w:rPr>
              <w:t>Napoved poslovnih prihodkov</w:t>
            </w:r>
            <w:r w:rsidR="00472378">
              <w:rPr>
                <w:noProof/>
                <w:webHidden/>
              </w:rPr>
              <w:tab/>
            </w:r>
            <w:r w:rsidR="00472378">
              <w:rPr>
                <w:noProof/>
                <w:webHidden/>
              </w:rPr>
              <w:fldChar w:fldCharType="begin"/>
            </w:r>
            <w:r w:rsidR="00472378">
              <w:rPr>
                <w:noProof/>
                <w:webHidden/>
              </w:rPr>
              <w:instrText xml:space="preserve"> PAGEREF _Toc18964874 \h </w:instrText>
            </w:r>
            <w:r w:rsidR="00472378">
              <w:rPr>
                <w:noProof/>
                <w:webHidden/>
              </w:rPr>
            </w:r>
            <w:r w:rsidR="00472378">
              <w:rPr>
                <w:noProof/>
                <w:webHidden/>
              </w:rPr>
              <w:fldChar w:fldCharType="separate"/>
            </w:r>
            <w:r w:rsidR="00472378">
              <w:rPr>
                <w:noProof/>
                <w:webHidden/>
              </w:rPr>
              <w:t>17</w:t>
            </w:r>
            <w:r w:rsidR="00472378">
              <w:rPr>
                <w:noProof/>
                <w:webHidden/>
              </w:rPr>
              <w:fldChar w:fldCharType="end"/>
            </w:r>
          </w:hyperlink>
        </w:p>
        <w:p w14:paraId="56B91067" w14:textId="0EE7F6B9"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75" w:history="1">
            <w:r w:rsidR="00472378" w:rsidRPr="00160DED">
              <w:rPr>
                <w:rStyle w:val="Hiperpovezava"/>
                <w:noProof/>
              </w:rPr>
              <w:t>6.2</w:t>
            </w:r>
            <w:r w:rsidR="00472378">
              <w:rPr>
                <w:rFonts w:asciiTheme="minorHAnsi" w:eastAsiaTheme="minorEastAsia" w:hAnsiTheme="minorHAnsi"/>
                <w:noProof/>
                <w:sz w:val="22"/>
              </w:rPr>
              <w:tab/>
            </w:r>
            <w:r w:rsidR="00472378" w:rsidRPr="00160DED">
              <w:rPr>
                <w:rStyle w:val="Hiperpovezava"/>
                <w:noProof/>
              </w:rPr>
              <w:t>Napoved odhodkov</w:t>
            </w:r>
            <w:r w:rsidR="00472378">
              <w:rPr>
                <w:noProof/>
                <w:webHidden/>
              </w:rPr>
              <w:tab/>
            </w:r>
            <w:r w:rsidR="00472378">
              <w:rPr>
                <w:noProof/>
                <w:webHidden/>
              </w:rPr>
              <w:fldChar w:fldCharType="begin"/>
            </w:r>
            <w:r w:rsidR="00472378">
              <w:rPr>
                <w:noProof/>
                <w:webHidden/>
              </w:rPr>
              <w:instrText xml:space="preserve"> PAGEREF _Toc18964875 \h </w:instrText>
            </w:r>
            <w:r w:rsidR="00472378">
              <w:rPr>
                <w:noProof/>
                <w:webHidden/>
              </w:rPr>
            </w:r>
            <w:r w:rsidR="00472378">
              <w:rPr>
                <w:noProof/>
                <w:webHidden/>
              </w:rPr>
              <w:fldChar w:fldCharType="separate"/>
            </w:r>
            <w:r w:rsidR="00472378">
              <w:rPr>
                <w:noProof/>
                <w:webHidden/>
              </w:rPr>
              <w:t>18</w:t>
            </w:r>
            <w:r w:rsidR="00472378">
              <w:rPr>
                <w:noProof/>
                <w:webHidden/>
              </w:rPr>
              <w:fldChar w:fldCharType="end"/>
            </w:r>
          </w:hyperlink>
        </w:p>
        <w:p w14:paraId="14B71D3B" w14:textId="6FBFC369"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76" w:history="1">
            <w:r w:rsidR="00472378" w:rsidRPr="00160DED">
              <w:rPr>
                <w:rStyle w:val="Hiperpovezava"/>
                <w:noProof/>
              </w:rPr>
              <w:t>6.2.1</w:t>
            </w:r>
            <w:r w:rsidR="00472378">
              <w:rPr>
                <w:rFonts w:asciiTheme="minorHAnsi" w:eastAsiaTheme="minorEastAsia" w:hAnsiTheme="minorHAnsi"/>
                <w:noProof/>
                <w:sz w:val="22"/>
              </w:rPr>
              <w:tab/>
            </w:r>
            <w:r w:rsidR="00472378" w:rsidRPr="00160DED">
              <w:rPr>
                <w:rStyle w:val="Hiperpovezava"/>
                <w:noProof/>
              </w:rPr>
              <w:t>Stroški blaga materiala in storitev</w:t>
            </w:r>
            <w:r w:rsidR="00472378">
              <w:rPr>
                <w:noProof/>
                <w:webHidden/>
              </w:rPr>
              <w:tab/>
            </w:r>
            <w:r w:rsidR="00472378">
              <w:rPr>
                <w:noProof/>
                <w:webHidden/>
              </w:rPr>
              <w:fldChar w:fldCharType="begin"/>
            </w:r>
            <w:r w:rsidR="00472378">
              <w:rPr>
                <w:noProof/>
                <w:webHidden/>
              </w:rPr>
              <w:instrText xml:space="preserve"> PAGEREF _Toc18964876 \h </w:instrText>
            </w:r>
            <w:r w:rsidR="00472378">
              <w:rPr>
                <w:noProof/>
                <w:webHidden/>
              </w:rPr>
            </w:r>
            <w:r w:rsidR="00472378">
              <w:rPr>
                <w:noProof/>
                <w:webHidden/>
              </w:rPr>
              <w:fldChar w:fldCharType="separate"/>
            </w:r>
            <w:r w:rsidR="00472378">
              <w:rPr>
                <w:noProof/>
                <w:webHidden/>
              </w:rPr>
              <w:t>18</w:t>
            </w:r>
            <w:r w:rsidR="00472378">
              <w:rPr>
                <w:noProof/>
                <w:webHidden/>
              </w:rPr>
              <w:fldChar w:fldCharType="end"/>
            </w:r>
          </w:hyperlink>
        </w:p>
        <w:p w14:paraId="4FE923CB" w14:textId="62AE0259"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77" w:history="1">
            <w:r w:rsidR="00472378" w:rsidRPr="00160DED">
              <w:rPr>
                <w:rStyle w:val="Hiperpovezava"/>
                <w:noProof/>
              </w:rPr>
              <w:t>6.2.2</w:t>
            </w:r>
            <w:r w:rsidR="00472378">
              <w:rPr>
                <w:rFonts w:asciiTheme="minorHAnsi" w:eastAsiaTheme="minorEastAsia" w:hAnsiTheme="minorHAnsi"/>
                <w:noProof/>
                <w:sz w:val="22"/>
              </w:rPr>
              <w:tab/>
            </w:r>
            <w:r w:rsidR="00472378" w:rsidRPr="00160DED">
              <w:rPr>
                <w:rStyle w:val="Hiperpovezava"/>
                <w:noProof/>
              </w:rPr>
              <w:t>Stroški dela</w:t>
            </w:r>
            <w:r w:rsidR="00472378">
              <w:rPr>
                <w:noProof/>
                <w:webHidden/>
              </w:rPr>
              <w:tab/>
            </w:r>
            <w:r w:rsidR="00472378">
              <w:rPr>
                <w:noProof/>
                <w:webHidden/>
              </w:rPr>
              <w:fldChar w:fldCharType="begin"/>
            </w:r>
            <w:r w:rsidR="00472378">
              <w:rPr>
                <w:noProof/>
                <w:webHidden/>
              </w:rPr>
              <w:instrText xml:space="preserve"> PAGEREF _Toc18964877 \h </w:instrText>
            </w:r>
            <w:r w:rsidR="00472378">
              <w:rPr>
                <w:noProof/>
                <w:webHidden/>
              </w:rPr>
            </w:r>
            <w:r w:rsidR="00472378">
              <w:rPr>
                <w:noProof/>
                <w:webHidden/>
              </w:rPr>
              <w:fldChar w:fldCharType="separate"/>
            </w:r>
            <w:r w:rsidR="00472378">
              <w:rPr>
                <w:noProof/>
                <w:webHidden/>
              </w:rPr>
              <w:t>18</w:t>
            </w:r>
            <w:r w:rsidR="00472378">
              <w:rPr>
                <w:noProof/>
                <w:webHidden/>
              </w:rPr>
              <w:fldChar w:fldCharType="end"/>
            </w:r>
          </w:hyperlink>
        </w:p>
        <w:p w14:paraId="3E0F07E6" w14:textId="47652225"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78" w:history="1">
            <w:r w:rsidR="00472378" w:rsidRPr="00160DED">
              <w:rPr>
                <w:rStyle w:val="Hiperpovezava"/>
                <w:noProof/>
              </w:rPr>
              <w:t>6.2.3</w:t>
            </w:r>
            <w:r w:rsidR="00472378">
              <w:rPr>
                <w:rFonts w:asciiTheme="minorHAnsi" w:eastAsiaTheme="minorEastAsia" w:hAnsiTheme="minorHAnsi"/>
                <w:noProof/>
                <w:sz w:val="22"/>
              </w:rPr>
              <w:tab/>
            </w:r>
            <w:r w:rsidR="00472378" w:rsidRPr="00160DED">
              <w:rPr>
                <w:rStyle w:val="Hiperpovezava"/>
                <w:noProof/>
              </w:rPr>
              <w:t>Drugi poslovni prihodki in odhodki</w:t>
            </w:r>
            <w:r w:rsidR="00472378">
              <w:rPr>
                <w:noProof/>
                <w:webHidden/>
              </w:rPr>
              <w:tab/>
            </w:r>
            <w:r w:rsidR="00472378">
              <w:rPr>
                <w:noProof/>
                <w:webHidden/>
              </w:rPr>
              <w:fldChar w:fldCharType="begin"/>
            </w:r>
            <w:r w:rsidR="00472378">
              <w:rPr>
                <w:noProof/>
                <w:webHidden/>
              </w:rPr>
              <w:instrText xml:space="preserve"> PAGEREF _Toc18964878 \h </w:instrText>
            </w:r>
            <w:r w:rsidR="00472378">
              <w:rPr>
                <w:noProof/>
                <w:webHidden/>
              </w:rPr>
            </w:r>
            <w:r w:rsidR="00472378">
              <w:rPr>
                <w:noProof/>
                <w:webHidden/>
              </w:rPr>
              <w:fldChar w:fldCharType="separate"/>
            </w:r>
            <w:r w:rsidR="00472378">
              <w:rPr>
                <w:noProof/>
                <w:webHidden/>
              </w:rPr>
              <w:t>19</w:t>
            </w:r>
            <w:r w:rsidR="00472378">
              <w:rPr>
                <w:noProof/>
                <w:webHidden/>
              </w:rPr>
              <w:fldChar w:fldCharType="end"/>
            </w:r>
          </w:hyperlink>
        </w:p>
        <w:p w14:paraId="61AEE4A2" w14:textId="62776C12"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79" w:history="1">
            <w:r w:rsidR="00472378" w:rsidRPr="00160DED">
              <w:rPr>
                <w:rStyle w:val="Hiperpovezava"/>
                <w:noProof/>
              </w:rPr>
              <w:t>6.3</w:t>
            </w:r>
            <w:r w:rsidR="00472378">
              <w:rPr>
                <w:rFonts w:asciiTheme="minorHAnsi" w:eastAsiaTheme="minorEastAsia" w:hAnsiTheme="minorHAnsi"/>
                <w:noProof/>
                <w:sz w:val="22"/>
              </w:rPr>
              <w:tab/>
            </w:r>
            <w:r w:rsidR="00472378" w:rsidRPr="00160DED">
              <w:rPr>
                <w:rStyle w:val="Hiperpovezava"/>
                <w:noProof/>
              </w:rPr>
              <w:t>Napoved investicij</w:t>
            </w:r>
            <w:r w:rsidR="00472378">
              <w:rPr>
                <w:noProof/>
                <w:webHidden/>
              </w:rPr>
              <w:tab/>
            </w:r>
            <w:r w:rsidR="00472378">
              <w:rPr>
                <w:noProof/>
                <w:webHidden/>
              </w:rPr>
              <w:fldChar w:fldCharType="begin"/>
            </w:r>
            <w:r w:rsidR="00472378">
              <w:rPr>
                <w:noProof/>
                <w:webHidden/>
              </w:rPr>
              <w:instrText xml:space="preserve"> PAGEREF _Toc18964879 \h </w:instrText>
            </w:r>
            <w:r w:rsidR="00472378">
              <w:rPr>
                <w:noProof/>
                <w:webHidden/>
              </w:rPr>
            </w:r>
            <w:r w:rsidR="00472378">
              <w:rPr>
                <w:noProof/>
                <w:webHidden/>
              </w:rPr>
              <w:fldChar w:fldCharType="separate"/>
            </w:r>
            <w:r w:rsidR="00472378">
              <w:rPr>
                <w:noProof/>
                <w:webHidden/>
              </w:rPr>
              <w:t>19</w:t>
            </w:r>
            <w:r w:rsidR="00472378">
              <w:rPr>
                <w:noProof/>
                <w:webHidden/>
              </w:rPr>
              <w:fldChar w:fldCharType="end"/>
            </w:r>
          </w:hyperlink>
        </w:p>
        <w:p w14:paraId="0D861224" w14:textId="743E1E3C"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80" w:history="1">
            <w:r w:rsidR="00472378" w:rsidRPr="00160DED">
              <w:rPr>
                <w:rStyle w:val="Hiperpovezava"/>
                <w:noProof/>
                <w:lang w:eastAsia="sl-SI"/>
              </w:rPr>
              <w:t>6.3.1</w:t>
            </w:r>
            <w:r w:rsidR="00472378">
              <w:rPr>
                <w:rFonts w:asciiTheme="minorHAnsi" w:eastAsiaTheme="minorEastAsia" w:hAnsiTheme="minorHAnsi"/>
                <w:noProof/>
                <w:sz w:val="22"/>
              </w:rPr>
              <w:tab/>
            </w:r>
            <w:r w:rsidR="00472378" w:rsidRPr="00160DED">
              <w:rPr>
                <w:rStyle w:val="Hiperpovezava"/>
                <w:noProof/>
                <w:lang w:eastAsia="sl-SI"/>
              </w:rPr>
              <w:t>Investicije v osnovna sredstva</w:t>
            </w:r>
            <w:r w:rsidR="00472378">
              <w:rPr>
                <w:noProof/>
                <w:webHidden/>
              </w:rPr>
              <w:tab/>
            </w:r>
            <w:r w:rsidR="00472378">
              <w:rPr>
                <w:noProof/>
                <w:webHidden/>
              </w:rPr>
              <w:fldChar w:fldCharType="begin"/>
            </w:r>
            <w:r w:rsidR="00472378">
              <w:rPr>
                <w:noProof/>
                <w:webHidden/>
              </w:rPr>
              <w:instrText xml:space="preserve"> PAGEREF _Toc18964880 \h </w:instrText>
            </w:r>
            <w:r w:rsidR="00472378">
              <w:rPr>
                <w:noProof/>
                <w:webHidden/>
              </w:rPr>
            </w:r>
            <w:r w:rsidR="00472378">
              <w:rPr>
                <w:noProof/>
                <w:webHidden/>
              </w:rPr>
              <w:fldChar w:fldCharType="separate"/>
            </w:r>
            <w:r w:rsidR="00472378">
              <w:rPr>
                <w:noProof/>
                <w:webHidden/>
              </w:rPr>
              <w:t>19</w:t>
            </w:r>
            <w:r w:rsidR="00472378">
              <w:rPr>
                <w:noProof/>
                <w:webHidden/>
              </w:rPr>
              <w:fldChar w:fldCharType="end"/>
            </w:r>
          </w:hyperlink>
        </w:p>
        <w:p w14:paraId="6B72A925" w14:textId="6B439359"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81" w:history="1">
            <w:r w:rsidR="00472378" w:rsidRPr="00160DED">
              <w:rPr>
                <w:rStyle w:val="Hiperpovezava"/>
                <w:noProof/>
              </w:rPr>
              <w:t>6.3.2</w:t>
            </w:r>
            <w:r w:rsidR="00472378">
              <w:rPr>
                <w:rFonts w:asciiTheme="minorHAnsi" w:eastAsiaTheme="minorEastAsia" w:hAnsiTheme="minorHAnsi"/>
                <w:noProof/>
                <w:sz w:val="22"/>
              </w:rPr>
              <w:tab/>
            </w:r>
            <w:r w:rsidR="00472378" w:rsidRPr="00160DED">
              <w:rPr>
                <w:rStyle w:val="Hiperpovezava"/>
                <w:noProof/>
              </w:rPr>
              <w:t>Amortizacija</w:t>
            </w:r>
            <w:r w:rsidR="00472378">
              <w:rPr>
                <w:noProof/>
                <w:webHidden/>
              </w:rPr>
              <w:tab/>
            </w:r>
            <w:r w:rsidR="00472378">
              <w:rPr>
                <w:noProof/>
                <w:webHidden/>
              </w:rPr>
              <w:fldChar w:fldCharType="begin"/>
            </w:r>
            <w:r w:rsidR="00472378">
              <w:rPr>
                <w:noProof/>
                <w:webHidden/>
              </w:rPr>
              <w:instrText xml:space="preserve"> PAGEREF _Toc18964881 \h </w:instrText>
            </w:r>
            <w:r w:rsidR="00472378">
              <w:rPr>
                <w:noProof/>
                <w:webHidden/>
              </w:rPr>
            </w:r>
            <w:r w:rsidR="00472378">
              <w:rPr>
                <w:noProof/>
                <w:webHidden/>
              </w:rPr>
              <w:fldChar w:fldCharType="separate"/>
            </w:r>
            <w:r w:rsidR="00472378">
              <w:rPr>
                <w:noProof/>
                <w:webHidden/>
              </w:rPr>
              <w:t>20</w:t>
            </w:r>
            <w:r w:rsidR="00472378">
              <w:rPr>
                <w:noProof/>
                <w:webHidden/>
              </w:rPr>
              <w:fldChar w:fldCharType="end"/>
            </w:r>
          </w:hyperlink>
        </w:p>
        <w:p w14:paraId="28CFE7E1" w14:textId="06B08679" w:rsidR="00472378" w:rsidRDefault="00BB77EE">
          <w:pPr>
            <w:pStyle w:val="Kazalovsebine3"/>
            <w:tabs>
              <w:tab w:val="left" w:pos="1320"/>
              <w:tab w:val="right" w:leader="dot" w:pos="9396"/>
            </w:tabs>
            <w:rPr>
              <w:rFonts w:asciiTheme="minorHAnsi" w:eastAsiaTheme="minorEastAsia" w:hAnsiTheme="minorHAnsi"/>
              <w:noProof/>
              <w:sz w:val="22"/>
            </w:rPr>
          </w:pPr>
          <w:hyperlink w:anchor="_Toc18964882" w:history="1">
            <w:r w:rsidR="00472378" w:rsidRPr="00160DED">
              <w:rPr>
                <w:rStyle w:val="Hiperpovezava"/>
                <w:noProof/>
                <w:lang w:eastAsia="sl-SI"/>
              </w:rPr>
              <w:t>6.3.3</w:t>
            </w:r>
            <w:r w:rsidR="00472378">
              <w:rPr>
                <w:rFonts w:asciiTheme="minorHAnsi" w:eastAsiaTheme="minorEastAsia" w:hAnsiTheme="minorHAnsi"/>
                <w:noProof/>
                <w:sz w:val="22"/>
              </w:rPr>
              <w:tab/>
            </w:r>
            <w:r w:rsidR="00472378" w:rsidRPr="00160DED">
              <w:rPr>
                <w:rStyle w:val="Hiperpovezava"/>
                <w:noProof/>
                <w:lang w:eastAsia="sl-SI"/>
              </w:rPr>
              <w:t>Investicije v obratna sredstva</w:t>
            </w:r>
            <w:r w:rsidR="00472378">
              <w:rPr>
                <w:noProof/>
                <w:webHidden/>
              </w:rPr>
              <w:tab/>
            </w:r>
            <w:r w:rsidR="00472378">
              <w:rPr>
                <w:noProof/>
                <w:webHidden/>
              </w:rPr>
              <w:fldChar w:fldCharType="begin"/>
            </w:r>
            <w:r w:rsidR="00472378">
              <w:rPr>
                <w:noProof/>
                <w:webHidden/>
              </w:rPr>
              <w:instrText xml:space="preserve"> PAGEREF _Toc18964882 \h </w:instrText>
            </w:r>
            <w:r w:rsidR="00472378">
              <w:rPr>
                <w:noProof/>
                <w:webHidden/>
              </w:rPr>
            </w:r>
            <w:r w:rsidR="00472378">
              <w:rPr>
                <w:noProof/>
                <w:webHidden/>
              </w:rPr>
              <w:fldChar w:fldCharType="separate"/>
            </w:r>
            <w:r w:rsidR="00472378">
              <w:rPr>
                <w:noProof/>
                <w:webHidden/>
              </w:rPr>
              <w:t>21</w:t>
            </w:r>
            <w:r w:rsidR="00472378">
              <w:rPr>
                <w:noProof/>
                <w:webHidden/>
              </w:rPr>
              <w:fldChar w:fldCharType="end"/>
            </w:r>
          </w:hyperlink>
        </w:p>
        <w:p w14:paraId="4AFF6AE5" w14:textId="61944551"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83" w:history="1">
            <w:r w:rsidR="00472378" w:rsidRPr="00160DED">
              <w:rPr>
                <w:rStyle w:val="Hiperpovezava"/>
                <w:noProof/>
                <w:lang w:eastAsia="sl-SI"/>
              </w:rPr>
              <w:t>6.4</w:t>
            </w:r>
            <w:r w:rsidR="00472378">
              <w:rPr>
                <w:rFonts w:asciiTheme="minorHAnsi" w:eastAsiaTheme="minorEastAsia" w:hAnsiTheme="minorHAnsi"/>
                <w:noProof/>
                <w:sz w:val="22"/>
              </w:rPr>
              <w:tab/>
            </w:r>
            <w:r w:rsidR="00472378" w:rsidRPr="00160DED">
              <w:rPr>
                <w:rStyle w:val="Hiperpovezava"/>
                <w:noProof/>
                <w:lang w:eastAsia="sl-SI"/>
              </w:rPr>
              <w:t>Izračun FCFF</w:t>
            </w:r>
            <w:r w:rsidR="00472378">
              <w:rPr>
                <w:noProof/>
                <w:webHidden/>
              </w:rPr>
              <w:tab/>
            </w:r>
            <w:r w:rsidR="00472378">
              <w:rPr>
                <w:noProof/>
                <w:webHidden/>
              </w:rPr>
              <w:fldChar w:fldCharType="begin"/>
            </w:r>
            <w:r w:rsidR="00472378">
              <w:rPr>
                <w:noProof/>
                <w:webHidden/>
              </w:rPr>
              <w:instrText xml:space="preserve"> PAGEREF _Toc18964883 \h </w:instrText>
            </w:r>
            <w:r w:rsidR="00472378">
              <w:rPr>
                <w:noProof/>
                <w:webHidden/>
              </w:rPr>
            </w:r>
            <w:r w:rsidR="00472378">
              <w:rPr>
                <w:noProof/>
                <w:webHidden/>
              </w:rPr>
              <w:fldChar w:fldCharType="separate"/>
            </w:r>
            <w:r w:rsidR="00472378">
              <w:rPr>
                <w:noProof/>
                <w:webHidden/>
              </w:rPr>
              <w:t>21</w:t>
            </w:r>
            <w:r w:rsidR="00472378">
              <w:rPr>
                <w:noProof/>
                <w:webHidden/>
              </w:rPr>
              <w:fldChar w:fldCharType="end"/>
            </w:r>
          </w:hyperlink>
        </w:p>
        <w:p w14:paraId="43B4A9F5" w14:textId="0E8469E1"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84" w:history="1">
            <w:r w:rsidR="00472378" w:rsidRPr="00160DED">
              <w:rPr>
                <w:rStyle w:val="Hiperpovezava"/>
                <w:noProof/>
                <w:lang w:eastAsia="sl-SI"/>
              </w:rPr>
              <w:t>7</w:t>
            </w:r>
            <w:r w:rsidR="00472378">
              <w:rPr>
                <w:rFonts w:asciiTheme="minorHAnsi" w:eastAsiaTheme="minorEastAsia" w:hAnsiTheme="minorHAnsi"/>
                <w:noProof/>
                <w:sz w:val="22"/>
              </w:rPr>
              <w:tab/>
            </w:r>
            <w:r w:rsidR="00472378" w:rsidRPr="00160DED">
              <w:rPr>
                <w:rStyle w:val="Hiperpovezava"/>
                <w:noProof/>
                <w:lang w:eastAsia="sl-SI"/>
              </w:rPr>
              <w:t>Ocena diskontne stopnje</w:t>
            </w:r>
            <w:r w:rsidR="00472378">
              <w:rPr>
                <w:noProof/>
                <w:webHidden/>
              </w:rPr>
              <w:tab/>
            </w:r>
            <w:r w:rsidR="00472378">
              <w:rPr>
                <w:noProof/>
                <w:webHidden/>
              </w:rPr>
              <w:fldChar w:fldCharType="begin"/>
            </w:r>
            <w:r w:rsidR="00472378">
              <w:rPr>
                <w:noProof/>
                <w:webHidden/>
              </w:rPr>
              <w:instrText xml:space="preserve"> PAGEREF _Toc18964884 \h </w:instrText>
            </w:r>
            <w:r w:rsidR="00472378">
              <w:rPr>
                <w:noProof/>
                <w:webHidden/>
              </w:rPr>
            </w:r>
            <w:r w:rsidR="00472378">
              <w:rPr>
                <w:noProof/>
                <w:webHidden/>
              </w:rPr>
              <w:fldChar w:fldCharType="separate"/>
            </w:r>
            <w:r w:rsidR="00472378">
              <w:rPr>
                <w:noProof/>
                <w:webHidden/>
              </w:rPr>
              <w:t>22</w:t>
            </w:r>
            <w:r w:rsidR="00472378">
              <w:rPr>
                <w:noProof/>
                <w:webHidden/>
              </w:rPr>
              <w:fldChar w:fldCharType="end"/>
            </w:r>
          </w:hyperlink>
        </w:p>
        <w:p w14:paraId="04E902E2" w14:textId="4EF18A14"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85" w:history="1">
            <w:r w:rsidR="00472378" w:rsidRPr="00160DED">
              <w:rPr>
                <w:rStyle w:val="Hiperpovezava"/>
                <w:noProof/>
                <w:lang w:eastAsia="sl-SI"/>
              </w:rPr>
              <w:t>8</w:t>
            </w:r>
            <w:r w:rsidR="00472378">
              <w:rPr>
                <w:rFonts w:asciiTheme="minorHAnsi" w:eastAsiaTheme="minorEastAsia" w:hAnsiTheme="minorHAnsi"/>
                <w:noProof/>
                <w:sz w:val="22"/>
              </w:rPr>
              <w:tab/>
            </w:r>
            <w:r w:rsidR="00472378" w:rsidRPr="00160DED">
              <w:rPr>
                <w:rStyle w:val="Hiperpovezava"/>
                <w:noProof/>
                <w:lang w:eastAsia="sl-SI"/>
              </w:rPr>
              <w:t>Izračun vrednosti delnice po metodi diskontiranih denarnih tokov</w:t>
            </w:r>
            <w:r w:rsidR="00472378">
              <w:rPr>
                <w:noProof/>
                <w:webHidden/>
              </w:rPr>
              <w:tab/>
            </w:r>
            <w:r w:rsidR="00472378">
              <w:rPr>
                <w:noProof/>
                <w:webHidden/>
              </w:rPr>
              <w:fldChar w:fldCharType="begin"/>
            </w:r>
            <w:r w:rsidR="00472378">
              <w:rPr>
                <w:noProof/>
                <w:webHidden/>
              </w:rPr>
              <w:instrText xml:space="preserve"> PAGEREF _Toc18964885 \h </w:instrText>
            </w:r>
            <w:r w:rsidR="00472378">
              <w:rPr>
                <w:noProof/>
                <w:webHidden/>
              </w:rPr>
            </w:r>
            <w:r w:rsidR="00472378">
              <w:rPr>
                <w:noProof/>
                <w:webHidden/>
              </w:rPr>
              <w:fldChar w:fldCharType="separate"/>
            </w:r>
            <w:r w:rsidR="00472378">
              <w:rPr>
                <w:noProof/>
                <w:webHidden/>
              </w:rPr>
              <w:t>23</w:t>
            </w:r>
            <w:r w:rsidR="00472378">
              <w:rPr>
                <w:noProof/>
                <w:webHidden/>
              </w:rPr>
              <w:fldChar w:fldCharType="end"/>
            </w:r>
          </w:hyperlink>
        </w:p>
        <w:p w14:paraId="7A205AA2" w14:textId="4559DFB7" w:rsidR="00472378" w:rsidRDefault="00BB77EE">
          <w:pPr>
            <w:pStyle w:val="Kazalovsebine1"/>
            <w:tabs>
              <w:tab w:val="left" w:pos="440"/>
              <w:tab w:val="right" w:leader="dot" w:pos="9396"/>
            </w:tabs>
            <w:rPr>
              <w:rFonts w:asciiTheme="minorHAnsi" w:eastAsiaTheme="minorEastAsia" w:hAnsiTheme="minorHAnsi"/>
              <w:noProof/>
              <w:sz w:val="22"/>
            </w:rPr>
          </w:pPr>
          <w:hyperlink w:anchor="_Toc18964886" w:history="1">
            <w:r w:rsidR="00472378" w:rsidRPr="00160DED">
              <w:rPr>
                <w:rStyle w:val="Hiperpovezava"/>
                <w:noProof/>
              </w:rPr>
              <w:t>9</w:t>
            </w:r>
            <w:r w:rsidR="00472378">
              <w:rPr>
                <w:rFonts w:asciiTheme="minorHAnsi" w:eastAsiaTheme="minorEastAsia" w:hAnsiTheme="minorHAnsi"/>
                <w:noProof/>
                <w:sz w:val="22"/>
              </w:rPr>
              <w:tab/>
            </w:r>
            <w:r w:rsidR="00472378" w:rsidRPr="00160DED">
              <w:rPr>
                <w:rStyle w:val="Hiperpovezava"/>
                <w:noProof/>
              </w:rPr>
              <w:t>Ocena prevzemne premije</w:t>
            </w:r>
            <w:r w:rsidR="00472378">
              <w:rPr>
                <w:noProof/>
                <w:webHidden/>
              </w:rPr>
              <w:tab/>
            </w:r>
            <w:r w:rsidR="00472378">
              <w:rPr>
                <w:noProof/>
                <w:webHidden/>
              </w:rPr>
              <w:fldChar w:fldCharType="begin"/>
            </w:r>
            <w:r w:rsidR="00472378">
              <w:rPr>
                <w:noProof/>
                <w:webHidden/>
              </w:rPr>
              <w:instrText xml:space="preserve"> PAGEREF _Toc18964886 \h </w:instrText>
            </w:r>
            <w:r w:rsidR="00472378">
              <w:rPr>
                <w:noProof/>
                <w:webHidden/>
              </w:rPr>
            </w:r>
            <w:r w:rsidR="00472378">
              <w:rPr>
                <w:noProof/>
                <w:webHidden/>
              </w:rPr>
              <w:fldChar w:fldCharType="separate"/>
            </w:r>
            <w:r w:rsidR="00472378">
              <w:rPr>
                <w:noProof/>
                <w:webHidden/>
              </w:rPr>
              <w:t>24</w:t>
            </w:r>
            <w:r w:rsidR="00472378">
              <w:rPr>
                <w:noProof/>
                <w:webHidden/>
              </w:rPr>
              <w:fldChar w:fldCharType="end"/>
            </w:r>
          </w:hyperlink>
        </w:p>
        <w:p w14:paraId="46420471" w14:textId="085B8E1A"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87" w:history="1">
            <w:r w:rsidR="00472378" w:rsidRPr="00160DED">
              <w:rPr>
                <w:rStyle w:val="Hiperpovezava"/>
                <w:noProof/>
              </w:rPr>
              <w:t>9.1</w:t>
            </w:r>
            <w:r w:rsidR="00472378">
              <w:rPr>
                <w:rFonts w:asciiTheme="minorHAnsi" w:eastAsiaTheme="minorEastAsia" w:hAnsiTheme="minorHAnsi"/>
                <w:noProof/>
                <w:sz w:val="22"/>
              </w:rPr>
              <w:tab/>
            </w:r>
            <w:r w:rsidR="00472378" w:rsidRPr="00160DED">
              <w:rPr>
                <w:rStyle w:val="Hiperpovezava"/>
                <w:noProof/>
              </w:rPr>
              <w:t>Sinergijska vrednost</w:t>
            </w:r>
            <w:r w:rsidR="00472378">
              <w:rPr>
                <w:noProof/>
                <w:webHidden/>
              </w:rPr>
              <w:tab/>
            </w:r>
            <w:r w:rsidR="00472378">
              <w:rPr>
                <w:noProof/>
                <w:webHidden/>
              </w:rPr>
              <w:fldChar w:fldCharType="begin"/>
            </w:r>
            <w:r w:rsidR="00472378">
              <w:rPr>
                <w:noProof/>
                <w:webHidden/>
              </w:rPr>
              <w:instrText xml:space="preserve"> PAGEREF _Toc18964887 \h </w:instrText>
            </w:r>
            <w:r w:rsidR="00472378">
              <w:rPr>
                <w:noProof/>
                <w:webHidden/>
              </w:rPr>
            </w:r>
            <w:r w:rsidR="00472378">
              <w:rPr>
                <w:noProof/>
                <w:webHidden/>
              </w:rPr>
              <w:fldChar w:fldCharType="separate"/>
            </w:r>
            <w:r w:rsidR="00472378">
              <w:rPr>
                <w:noProof/>
                <w:webHidden/>
              </w:rPr>
              <w:t>24</w:t>
            </w:r>
            <w:r w:rsidR="00472378">
              <w:rPr>
                <w:noProof/>
                <w:webHidden/>
              </w:rPr>
              <w:fldChar w:fldCharType="end"/>
            </w:r>
          </w:hyperlink>
        </w:p>
        <w:p w14:paraId="6DB14C2C" w14:textId="44ED694B" w:rsidR="00472378" w:rsidRDefault="00BB77EE">
          <w:pPr>
            <w:pStyle w:val="Kazalovsebine2"/>
            <w:tabs>
              <w:tab w:val="left" w:pos="880"/>
              <w:tab w:val="right" w:leader="dot" w:pos="9396"/>
            </w:tabs>
            <w:rPr>
              <w:rFonts w:asciiTheme="minorHAnsi" w:eastAsiaTheme="minorEastAsia" w:hAnsiTheme="minorHAnsi"/>
              <w:noProof/>
              <w:sz w:val="22"/>
            </w:rPr>
          </w:pPr>
          <w:hyperlink w:anchor="_Toc18964888" w:history="1">
            <w:r w:rsidR="00472378" w:rsidRPr="00160DED">
              <w:rPr>
                <w:rStyle w:val="Hiperpovezava"/>
                <w:noProof/>
                <w:lang w:eastAsia="sl-SI"/>
              </w:rPr>
              <w:t>9.2</w:t>
            </w:r>
            <w:r w:rsidR="00472378">
              <w:rPr>
                <w:rFonts w:asciiTheme="minorHAnsi" w:eastAsiaTheme="minorEastAsia" w:hAnsiTheme="minorHAnsi"/>
                <w:noProof/>
                <w:sz w:val="22"/>
              </w:rPr>
              <w:tab/>
            </w:r>
            <w:r w:rsidR="00472378" w:rsidRPr="00160DED">
              <w:rPr>
                <w:rStyle w:val="Hiperpovezava"/>
                <w:noProof/>
                <w:lang w:eastAsia="sl-SI"/>
              </w:rPr>
              <w:t>Kontrolna premija</w:t>
            </w:r>
            <w:r w:rsidR="00472378">
              <w:rPr>
                <w:noProof/>
                <w:webHidden/>
              </w:rPr>
              <w:tab/>
            </w:r>
            <w:r w:rsidR="00472378">
              <w:rPr>
                <w:noProof/>
                <w:webHidden/>
              </w:rPr>
              <w:fldChar w:fldCharType="begin"/>
            </w:r>
            <w:r w:rsidR="00472378">
              <w:rPr>
                <w:noProof/>
                <w:webHidden/>
              </w:rPr>
              <w:instrText xml:space="preserve"> PAGEREF _Toc18964888 \h </w:instrText>
            </w:r>
            <w:r w:rsidR="00472378">
              <w:rPr>
                <w:noProof/>
                <w:webHidden/>
              </w:rPr>
            </w:r>
            <w:r w:rsidR="00472378">
              <w:rPr>
                <w:noProof/>
                <w:webHidden/>
              </w:rPr>
              <w:fldChar w:fldCharType="separate"/>
            </w:r>
            <w:r w:rsidR="00472378">
              <w:rPr>
                <w:noProof/>
                <w:webHidden/>
              </w:rPr>
              <w:t>26</w:t>
            </w:r>
            <w:r w:rsidR="00472378">
              <w:rPr>
                <w:noProof/>
                <w:webHidden/>
              </w:rPr>
              <w:fldChar w:fldCharType="end"/>
            </w:r>
          </w:hyperlink>
        </w:p>
        <w:p w14:paraId="45C42E1E" w14:textId="05E02220" w:rsidR="00472378" w:rsidRDefault="00BB77EE">
          <w:pPr>
            <w:pStyle w:val="Kazalovsebine1"/>
            <w:tabs>
              <w:tab w:val="left" w:pos="660"/>
              <w:tab w:val="right" w:leader="dot" w:pos="9396"/>
            </w:tabs>
            <w:rPr>
              <w:rFonts w:asciiTheme="minorHAnsi" w:eastAsiaTheme="minorEastAsia" w:hAnsiTheme="minorHAnsi"/>
              <w:noProof/>
              <w:sz w:val="22"/>
            </w:rPr>
          </w:pPr>
          <w:hyperlink w:anchor="_Toc18964889" w:history="1">
            <w:r w:rsidR="00472378" w:rsidRPr="00160DED">
              <w:rPr>
                <w:rStyle w:val="Hiperpovezava"/>
                <w:noProof/>
              </w:rPr>
              <w:t>10</w:t>
            </w:r>
            <w:r w:rsidR="00472378">
              <w:rPr>
                <w:rFonts w:asciiTheme="minorHAnsi" w:eastAsiaTheme="minorEastAsia" w:hAnsiTheme="minorHAnsi"/>
                <w:noProof/>
                <w:sz w:val="22"/>
              </w:rPr>
              <w:tab/>
            </w:r>
            <w:r w:rsidR="00472378" w:rsidRPr="00160DED">
              <w:rPr>
                <w:rStyle w:val="Hiperpovezava"/>
                <w:noProof/>
              </w:rPr>
              <w:t>Sklep</w:t>
            </w:r>
            <w:r w:rsidR="00472378">
              <w:rPr>
                <w:noProof/>
                <w:webHidden/>
              </w:rPr>
              <w:tab/>
            </w:r>
            <w:r w:rsidR="00472378">
              <w:rPr>
                <w:noProof/>
                <w:webHidden/>
              </w:rPr>
              <w:fldChar w:fldCharType="begin"/>
            </w:r>
            <w:r w:rsidR="00472378">
              <w:rPr>
                <w:noProof/>
                <w:webHidden/>
              </w:rPr>
              <w:instrText xml:space="preserve"> PAGEREF _Toc18964889 \h </w:instrText>
            </w:r>
            <w:r w:rsidR="00472378">
              <w:rPr>
                <w:noProof/>
                <w:webHidden/>
              </w:rPr>
            </w:r>
            <w:r w:rsidR="00472378">
              <w:rPr>
                <w:noProof/>
                <w:webHidden/>
              </w:rPr>
              <w:fldChar w:fldCharType="separate"/>
            </w:r>
            <w:r w:rsidR="00472378">
              <w:rPr>
                <w:noProof/>
                <w:webHidden/>
              </w:rPr>
              <w:t>29</w:t>
            </w:r>
            <w:r w:rsidR="00472378">
              <w:rPr>
                <w:noProof/>
                <w:webHidden/>
              </w:rPr>
              <w:fldChar w:fldCharType="end"/>
            </w:r>
          </w:hyperlink>
        </w:p>
        <w:p w14:paraId="122A11BD" w14:textId="533E4596" w:rsidR="00472378" w:rsidRDefault="00BB77EE">
          <w:pPr>
            <w:pStyle w:val="Kazalovsebine1"/>
            <w:tabs>
              <w:tab w:val="left" w:pos="660"/>
              <w:tab w:val="right" w:leader="dot" w:pos="9396"/>
            </w:tabs>
            <w:rPr>
              <w:rFonts w:asciiTheme="minorHAnsi" w:eastAsiaTheme="minorEastAsia" w:hAnsiTheme="minorHAnsi"/>
              <w:noProof/>
              <w:sz w:val="22"/>
            </w:rPr>
          </w:pPr>
          <w:hyperlink w:anchor="_Toc18964890" w:history="1">
            <w:r w:rsidR="00472378" w:rsidRPr="00160DED">
              <w:rPr>
                <w:rStyle w:val="Hiperpovezava"/>
                <w:noProof/>
                <w:lang w:eastAsia="sl-SI"/>
              </w:rPr>
              <w:t>11</w:t>
            </w:r>
            <w:r w:rsidR="00472378">
              <w:rPr>
                <w:rFonts w:asciiTheme="minorHAnsi" w:eastAsiaTheme="minorEastAsia" w:hAnsiTheme="minorHAnsi"/>
                <w:noProof/>
                <w:sz w:val="22"/>
              </w:rPr>
              <w:tab/>
            </w:r>
            <w:r w:rsidR="00472378" w:rsidRPr="00160DED">
              <w:rPr>
                <w:rStyle w:val="Hiperpovezava"/>
                <w:noProof/>
                <w:lang w:eastAsia="sl-SI"/>
              </w:rPr>
              <w:t>Viri</w:t>
            </w:r>
            <w:r w:rsidR="00472378">
              <w:rPr>
                <w:noProof/>
                <w:webHidden/>
              </w:rPr>
              <w:tab/>
            </w:r>
            <w:r w:rsidR="00472378">
              <w:rPr>
                <w:noProof/>
                <w:webHidden/>
              </w:rPr>
              <w:fldChar w:fldCharType="begin"/>
            </w:r>
            <w:r w:rsidR="00472378">
              <w:rPr>
                <w:noProof/>
                <w:webHidden/>
              </w:rPr>
              <w:instrText xml:space="preserve"> PAGEREF _Toc18964890 \h </w:instrText>
            </w:r>
            <w:r w:rsidR="00472378">
              <w:rPr>
                <w:noProof/>
                <w:webHidden/>
              </w:rPr>
            </w:r>
            <w:r w:rsidR="00472378">
              <w:rPr>
                <w:noProof/>
                <w:webHidden/>
              </w:rPr>
              <w:fldChar w:fldCharType="separate"/>
            </w:r>
            <w:r w:rsidR="00472378">
              <w:rPr>
                <w:noProof/>
                <w:webHidden/>
              </w:rPr>
              <w:t>30</w:t>
            </w:r>
            <w:r w:rsidR="00472378">
              <w:rPr>
                <w:noProof/>
                <w:webHidden/>
              </w:rPr>
              <w:fldChar w:fldCharType="end"/>
            </w:r>
          </w:hyperlink>
        </w:p>
        <w:p w14:paraId="2FADAC0A" w14:textId="2D5371CE" w:rsidR="005E2C10" w:rsidRDefault="005E2C10" w:rsidP="005E2C10">
          <w:pPr>
            <w:pStyle w:val="Kazalovsebine1"/>
            <w:tabs>
              <w:tab w:val="left" w:pos="440"/>
              <w:tab w:val="right" w:leader="dot" w:pos="9396"/>
            </w:tabs>
          </w:pPr>
          <w:r w:rsidRPr="00841436">
            <w:rPr>
              <w:rFonts w:cs="Times New Roman"/>
              <w:szCs w:val="24"/>
            </w:rPr>
            <w:fldChar w:fldCharType="end"/>
          </w:r>
        </w:p>
      </w:sdtContent>
    </w:sdt>
    <w:p w14:paraId="34ADC763" w14:textId="77777777" w:rsidR="005E2C10" w:rsidRDefault="005E2C10" w:rsidP="005E2C10">
      <w:pPr>
        <w:pStyle w:val="Brezrazmikov"/>
        <w:rPr>
          <w:b/>
          <w:bCs/>
          <w:sz w:val="28"/>
          <w:szCs w:val="28"/>
        </w:rPr>
      </w:pPr>
      <w:r>
        <w:rPr>
          <w:b/>
          <w:bCs/>
          <w:sz w:val="28"/>
          <w:szCs w:val="28"/>
        </w:rPr>
        <w:t xml:space="preserve">     </w:t>
      </w:r>
      <w:r w:rsidRPr="0098634D">
        <w:rPr>
          <w:b/>
          <w:bCs/>
          <w:sz w:val="28"/>
          <w:szCs w:val="28"/>
        </w:rPr>
        <w:t xml:space="preserve">Kazalo </w:t>
      </w:r>
      <w:r>
        <w:rPr>
          <w:b/>
          <w:bCs/>
          <w:sz w:val="28"/>
          <w:szCs w:val="28"/>
        </w:rPr>
        <w:t>slik</w:t>
      </w:r>
    </w:p>
    <w:p w14:paraId="09C6F872" w14:textId="77777777" w:rsidR="005E2C10" w:rsidRPr="007F7E9F" w:rsidRDefault="005E2C10" w:rsidP="005E2C10">
      <w:pPr>
        <w:pStyle w:val="Brezrazmikov"/>
      </w:pPr>
    </w:p>
    <w:p w14:paraId="2751A5C7" w14:textId="6B90E2F8" w:rsidR="00472378" w:rsidRDefault="005E2C10">
      <w:pPr>
        <w:pStyle w:val="Kazaloslik"/>
        <w:tabs>
          <w:tab w:val="right" w:leader="dot" w:pos="9396"/>
        </w:tabs>
        <w:rPr>
          <w:rFonts w:asciiTheme="minorHAnsi" w:eastAsiaTheme="minorEastAsia" w:hAnsiTheme="minorHAnsi"/>
          <w:noProof/>
          <w:sz w:val="22"/>
        </w:rPr>
      </w:pPr>
      <w:r w:rsidRPr="00D41FFD">
        <w:rPr>
          <w:rFonts w:cs="Times New Roman"/>
          <w:szCs w:val="24"/>
        </w:rPr>
        <w:fldChar w:fldCharType="begin"/>
      </w:r>
      <w:r w:rsidRPr="00D41FFD">
        <w:rPr>
          <w:rFonts w:cs="Times New Roman"/>
          <w:szCs w:val="24"/>
        </w:rPr>
        <w:instrText xml:space="preserve"> TOC \h \z \c "Slika" </w:instrText>
      </w:r>
      <w:r w:rsidRPr="00D41FFD">
        <w:rPr>
          <w:rFonts w:cs="Times New Roman"/>
          <w:szCs w:val="24"/>
        </w:rPr>
        <w:fldChar w:fldCharType="separate"/>
      </w:r>
      <w:hyperlink w:anchor="_Toc18964891" w:history="1">
        <w:r w:rsidR="00472378" w:rsidRPr="0084674E">
          <w:rPr>
            <w:rStyle w:val="Hiperpovezava"/>
            <w:noProof/>
          </w:rPr>
          <w:t>Slika 1: Lastniška struktura po državah</w:t>
        </w:r>
        <w:r w:rsidR="00472378">
          <w:rPr>
            <w:noProof/>
            <w:webHidden/>
          </w:rPr>
          <w:tab/>
        </w:r>
        <w:r w:rsidR="00472378">
          <w:rPr>
            <w:noProof/>
            <w:webHidden/>
          </w:rPr>
          <w:fldChar w:fldCharType="begin"/>
        </w:r>
        <w:r w:rsidR="00472378">
          <w:rPr>
            <w:noProof/>
            <w:webHidden/>
          </w:rPr>
          <w:instrText xml:space="preserve"> PAGEREF _Toc18964891 \h </w:instrText>
        </w:r>
        <w:r w:rsidR="00472378">
          <w:rPr>
            <w:noProof/>
            <w:webHidden/>
          </w:rPr>
        </w:r>
        <w:r w:rsidR="00472378">
          <w:rPr>
            <w:noProof/>
            <w:webHidden/>
          </w:rPr>
          <w:fldChar w:fldCharType="separate"/>
        </w:r>
        <w:r w:rsidR="00472378">
          <w:rPr>
            <w:noProof/>
            <w:webHidden/>
          </w:rPr>
          <w:t>7</w:t>
        </w:r>
        <w:r w:rsidR="00472378">
          <w:rPr>
            <w:noProof/>
            <w:webHidden/>
          </w:rPr>
          <w:fldChar w:fldCharType="end"/>
        </w:r>
      </w:hyperlink>
    </w:p>
    <w:p w14:paraId="02519A10" w14:textId="6D4D255E" w:rsidR="00472378" w:rsidRDefault="00BB77EE">
      <w:pPr>
        <w:pStyle w:val="Kazaloslik"/>
        <w:tabs>
          <w:tab w:val="right" w:leader="dot" w:pos="9396"/>
        </w:tabs>
        <w:rPr>
          <w:rFonts w:asciiTheme="minorHAnsi" w:eastAsiaTheme="minorEastAsia" w:hAnsiTheme="minorHAnsi"/>
          <w:noProof/>
          <w:sz w:val="22"/>
        </w:rPr>
      </w:pPr>
      <w:hyperlink w:anchor="_Toc18964892" w:history="1">
        <w:r w:rsidR="00472378" w:rsidRPr="0084674E">
          <w:rPr>
            <w:rStyle w:val="Hiperpovezava"/>
            <w:noProof/>
          </w:rPr>
          <w:t>Slika 2: Prihodki od prodaje Skupine Gorenje</w:t>
        </w:r>
        <w:r w:rsidR="00472378">
          <w:rPr>
            <w:noProof/>
            <w:webHidden/>
          </w:rPr>
          <w:tab/>
        </w:r>
        <w:r w:rsidR="00472378">
          <w:rPr>
            <w:noProof/>
            <w:webHidden/>
          </w:rPr>
          <w:fldChar w:fldCharType="begin"/>
        </w:r>
        <w:r w:rsidR="00472378">
          <w:rPr>
            <w:noProof/>
            <w:webHidden/>
          </w:rPr>
          <w:instrText xml:space="preserve"> PAGEREF _Toc18964892 \h </w:instrText>
        </w:r>
        <w:r w:rsidR="00472378">
          <w:rPr>
            <w:noProof/>
            <w:webHidden/>
          </w:rPr>
        </w:r>
        <w:r w:rsidR="00472378">
          <w:rPr>
            <w:noProof/>
            <w:webHidden/>
          </w:rPr>
          <w:fldChar w:fldCharType="separate"/>
        </w:r>
        <w:r w:rsidR="00472378">
          <w:rPr>
            <w:noProof/>
            <w:webHidden/>
          </w:rPr>
          <w:t>10</w:t>
        </w:r>
        <w:r w:rsidR="00472378">
          <w:rPr>
            <w:noProof/>
            <w:webHidden/>
          </w:rPr>
          <w:fldChar w:fldCharType="end"/>
        </w:r>
      </w:hyperlink>
    </w:p>
    <w:p w14:paraId="0F901854" w14:textId="635BDEFA" w:rsidR="00472378" w:rsidRDefault="00BB77EE">
      <w:pPr>
        <w:pStyle w:val="Kazaloslik"/>
        <w:tabs>
          <w:tab w:val="right" w:leader="dot" w:pos="9396"/>
        </w:tabs>
        <w:rPr>
          <w:rFonts w:asciiTheme="minorHAnsi" w:eastAsiaTheme="minorEastAsia" w:hAnsiTheme="minorHAnsi"/>
          <w:noProof/>
          <w:sz w:val="22"/>
        </w:rPr>
      </w:pPr>
      <w:hyperlink w:anchor="_Toc18964893" w:history="1">
        <w:r w:rsidR="00472378" w:rsidRPr="0084674E">
          <w:rPr>
            <w:rStyle w:val="Hiperpovezava"/>
            <w:noProof/>
          </w:rPr>
          <w:t>Slika 3: Rast prihodkov od prodaje</w:t>
        </w:r>
        <w:r w:rsidR="00472378">
          <w:rPr>
            <w:noProof/>
            <w:webHidden/>
          </w:rPr>
          <w:tab/>
        </w:r>
        <w:r w:rsidR="00472378">
          <w:rPr>
            <w:noProof/>
            <w:webHidden/>
          </w:rPr>
          <w:fldChar w:fldCharType="begin"/>
        </w:r>
        <w:r w:rsidR="00472378">
          <w:rPr>
            <w:noProof/>
            <w:webHidden/>
          </w:rPr>
          <w:instrText xml:space="preserve"> PAGEREF _Toc18964893 \h </w:instrText>
        </w:r>
        <w:r w:rsidR="00472378">
          <w:rPr>
            <w:noProof/>
            <w:webHidden/>
          </w:rPr>
        </w:r>
        <w:r w:rsidR="00472378">
          <w:rPr>
            <w:noProof/>
            <w:webHidden/>
          </w:rPr>
          <w:fldChar w:fldCharType="separate"/>
        </w:r>
        <w:r w:rsidR="00472378">
          <w:rPr>
            <w:noProof/>
            <w:webHidden/>
          </w:rPr>
          <w:t>10</w:t>
        </w:r>
        <w:r w:rsidR="00472378">
          <w:rPr>
            <w:noProof/>
            <w:webHidden/>
          </w:rPr>
          <w:fldChar w:fldCharType="end"/>
        </w:r>
      </w:hyperlink>
    </w:p>
    <w:p w14:paraId="2602110E" w14:textId="7E3335C7" w:rsidR="00472378" w:rsidRDefault="00BB77EE">
      <w:pPr>
        <w:pStyle w:val="Kazaloslik"/>
        <w:tabs>
          <w:tab w:val="right" w:leader="dot" w:pos="9396"/>
        </w:tabs>
        <w:rPr>
          <w:rFonts w:asciiTheme="minorHAnsi" w:eastAsiaTheme="minorEastAsia" w:hAnsiTheme="minorHAnsi"/>
          <w:noProof/>
          <w:sz w:val="22"/>
        </w:rPr>
      </w:pPr>
      <w:hyperlink w:anchor="_Toc18964894" w:history="1">
        <w:r w:rsidR="00472378" w:rsidRPr="0084674E">
          <w:rPr>
            <w:rStyle w:val="Hiperpovezava"/>
            <w:noProof/>
          </w:rPr>
          <w:t>Slika 4: Nabavna vrednost prodanega blaga</w:t>
        </w:r>
        <w:r w:rsidR="00472378">
          <w:rPr>
            <w:noProof/>
            <w:webHidden/>
          </w:rPr>
          <w:tab/>
        </w:r>
        <w:r w:rsidR="00472378">
          <w:rPr>
            <w:noProof/>
            <w:webHidden/>
          </w:rPr>
          <w:fldChar w:fldCharType="begin"/>
        </w:r>
        <w:r w:rsidR="00472378">
          <w:rPr>
            <w:noProof/>
            <w:webHidden/>
          </w:rPr>
          <w:instrText xml:space="preserve"> PAGEREF _Toc18964894 \h </w:instrText>
        </w:r>
        <w:r w:rsidR="00472378">
          <w:rPr>
            <w:noProof/>
            <w:webHidden/>
          </w:rPr>
        </w:r>
        <w:r w:rsidR="00472378">
          <w:rPr>
            <w:noProof/>
            <w:webHidden/>
          </w:rPr>
          <w:fldChar w:fldCharType="separate"/>
        </w:r>
        <w:r w:rsidR="00472378">
          <w:rPr>
            <w:noProof/>
            <w:webHidden/>
          </w:rPr>
          <w:t>11</w:t>
        </w:r>
        <w:r w:rsidR="00472378">
          <w:rPr>
            <w:noProof/>
            <w:webHidden/>
          </w:rPr>
          <w:fldChar w:fldCharType="end"/>
        </w:r>
      </w:hyperlink>
    </w:p>
    <w:p w14:paraId="38551BF4" w14:textId="3C440C46" w:rsidR="00472378" w:rsidRDefault="00BB77EE">
      <w:pPr>
        <w:pStyle w:val="Kazaloslik"/>
        <w:tabs>
          <w:tab w:val="right" w:leader="dot" w:pos="9396"/>
        </w:tabs>
        <w:rPr>
          <w:rFonts w:asciiTheme="minorHAnsi" w:eastAsiaTheme="minorEastAsia" w:hAnsiTheme="minorHAnsi"/>
          <w:noProof/>
          <w:sz w:val="22"/>
        </w:rPr>
      </w:pPr>
      <w:hyperlink w:anchor="_Toc18964895" w:history="1">
        <w:r w:rsidR="00472378" w:rsidRPr="0084674E">
          <w:rPr>
            <w:rStyle w:val="Hiperpovezava"/>
            <w:noProof/>
          </w:rPr>
          <w:t>Slika 5: Stroški materiala</w:t>
        </w:r>
        <w:r w:rsidR="00472378">
          <w:rPr>
            <w:noProof/>
            <w:webHidden/>
          </w:rPr>
          <w:tab/>
        </w:r>
        <w:r w:rsidR="00472378">
          <w:rPr>
            <w:noProof/>
            <w:webHidden/>
          </w:rPr>
          <w:fldChar w:fldCharType="begin"/>
        </w:r>
        <w:r w:rsidR="00472378">
          <w:rPr>
            <w:noProof/>
            <w:webHidden/>
          </w:rPr>
          <w:instrText xml:space="preserve"> PAGEREF _Toc18964895 \h </w:instrText>
        </w:r>
        <w:r w:rsidR="00472378">
          <w:rPr>
            <w:noProof/>
            <w:webHidden/>
          </w:rPr>
        </w:r>
        <w:r w:rsidR="00472378">
          <w:rPr>
            <w:noProof/>
            <w:webHidden/>
          </w:rPr>
          <w:fldChar w:fldCharType="separate"/>
        </w:r>
        <w:r w:rsidR="00472378">
          <w:rPr>
            <w:noProof/>
            <w:webHidden/>
          </w:rPr>
          <w:t>11</w:t>
        </w:r>
        <w:r w:rsidR="00472378">
          <w:rPr>
            <w:noProof/>
            <w:webHidden/>
          </w:rPr>
          <w:fldChar w:fldCharType="end"/>
        </w:r>
      </w:hyperlink>
    </w:p>
    <w:p w14:paraId="341E3FA0" w14:textId="65FD041C" w:rsidR="00472378" w:rsidRDefault="00BB77EE">
      <w:pPr>
        <w:pStyle w:val="Kazaloslik"/>
        <w:tabs>
          <w:tab w:val="right" w:leader="dot" w:pos="9396"/>
        </w:tabs>
        <w:rPr>
          <w:rFonts w:asciiTheme="minorHAnsi" w:eastAsiaTheme="minorEastAsia" w:hAnsiTheme="minorHAnsi"/>
          <w:noProof/>
          <w:sz w:val="22"/>
        </w:rPr>
      </w:pPr>
      <w:hyperlink w:anchor="_Toc18964896" w:history="1">
        <w:r w:rsidR="00472378" w:rsidRPr="0084674E">
          <w:rPr>
            <w:rStyle w:val="Hiperpovezava"/>
            <w:noProof/>
          </w:rPr>
          <w:t>Slika 6: Stroški storitev</w:t>
        </w:r>
        <w:r w:rsidR="00472378">
          <w:rPr>
            <w:noProof/>
            <w:webHidden/>
          </w:rPr>
          <w:tab/>
        </w:r>
        <w:r w:rsidR="00472378">
          <w:rPr>
            <w:noProof/>
            <w:webHidden/>
          </w:rPr>
          <w:fldChar w:fldCharType="begin"/>
        </w:r>
        <w:r w:rsidR="00472378">
          <w:rPr>
            <w:noProof/>
            <w:webHidden/>
          </w:rPr>
          <w:instrText xml:space="preserve"> PAGEREF _Toc18964896 \h </w:instrText>
        </w:r>
        <w:r w:rsidR="00472378">
          <w:rPr>
            <w:noProof/>
            <w:webHidden/>
          </w:rPr>
        </w:r>
        <w:r w:rsidR="00472378">
          <w:rPr>
            <w:noProof/>
            <w:webHidden/>
          </w:rPr>
          <w:fldChar w:fldCharType="separate"/>
        </w:r>
        <w:r w:rsidR="00472378">
          <w:rPr>
            <w:noProof/>
            <w:webHidden/>
          </w:rPr>
          <w:t>11</w:t>
        </w:r>
        <w:r w:rsidR="00472378">
          <w:rPr>
            <w:noProof/>
            <w:webHidden/>
          </w:rPr>
          <w:fldChar w:fldCharType="end"/>
        </w:r>
      </w:hyperlink>
    </w:p>
    <w:p w14:paraId="077BAAC1" w14:textId="534F6755" w:rsidR="00472378" w:rsidRDefault="00BB77EE">
      <w:pPr>
        <w:pStyle w:val="Kazaloslik"/>
        <w:tabs>
          <w:tab w:val="right" w:leader="dot" w:pos="9396"/>
        </w:tabs>
        <w:rPr>
          <w:rFonts w:asciiTheme="minorHAnsi" w:eastAsiaTheme="minorEastAsia" w:hAnsiTheme="minorHAnsi"/>
          <w:noProof/>
          <w:sz w:val="22"/>
        </w:rPr>
      </w:pPr>
      <w:hyperlink w:anchor="_Toc18964897" w:history="1">
        <w:r w:rsidR="00472378" w:rsidRPr="0084674E">
          <w:rPr>
            <w:rStyle w:val="Hiperpovezava"/>
            <w:noProof/>
          </w:rPr>
          <w:t>Slika 7: Stroški dela</w:t>
        </w:r>
        <w:r w:rsidR="00472378">
          <w:rPr>
            <w:noProof/>
            <w:webHidden/>
          </w:rPr>
          <w:tab/>
        </w:r>
        <w:r w:rsidR="00472378">
          <w:rPr>
            <w:noProof/>
            <w:webHidden/>
          </w:rPr>
          <w:fldChar w:fldCharType="begin"/>
        </w:r>
        <w:r w:rsidR="00472378">
          <w:rPr>
            <w:noProof/>
            <w:webHidden/>
          </w:rPr>
          <w:instrText xml:space="preserve"> PAGEREF _Toc18964897 \h </w:instrText>
        </w:r>
        <w:r w:rsidR="00472378">
          <w:rPr>
            <w:noProof/>
            <w:webHidden/>
          </w:rPr>
        </w:r>
        <w:r w:rsidR="00472378">
          <w:rPr>
            <w:noProof/>
            <w:webHidden/>
          </w:rPr>
          <w:fldChar w:fldCharType="separate"/>
        </w:r>
        <w:r w:rsidR="00472378">
          <w:rPr>
            <w:noProof/>
            <w:webHidden/>
          </w:rPr>
          <w:t>11</w:t>
        </w:r>
        <w:r w:rsidR="00472378">
          <w:rPr>
            <w:noProof/>
            <w:webHidden/>
          </w:rPr>
          <w:fldChar w:fldCharType="end"/>
        </w:r>
      </w:hyperlink>
    </w:p>
    <w:p w14:paraId="2E52687C" w14:textId="6C71EA89" w:rsidR="00472378" w:rsidRDefault="00BB77EE">
      <w:pPr>
        <w:pStyle w:val="Kazaloslik"/>
        <w:tabs>
          <w:tab w:val="right" w:leader="dot" w:pos="9396"/>
        </w:tabs>
        <w:rPr>
          <w:rFonts w:asciiTheme="minorHAnsi" w:eastAsiaTheme="minorEastAsia" w:hAnsiTheme="minorHAnsi"/>
          <w:noProof/>
          <w:sz w:val="22"/>
        </w:rPr>
      </w:pPr>
      <w:hyperlink w:anchor="_Toc18964898" w:history="1">
        <w:r w:rsidR="00472378" w:rsidRPr="0084674E">
          <w:rPr>
            <w:rStyle w:val="Hiperpovezava"/>
            <w:noProof/>
          </w:rPr>
          <w:t>Slika 8: Delež stroškov v prihodkih</w:t>
        </w:r>
        <w:r w:rsidR="00472378">
          <w:rPr>
            <w:noProof/>
            <w:webHidden/>
          </w:rPr>
          <w:tab/>
        </w:r>
        <w:r w:rsidR="00472378">
          <w:rPr>
            <w:noProof/>
            <w:webHidden/>
          </w:rPr>
          <w:fldChar w:fldCharType="begin"/>
        </w:r>
        <w:r w:rsidR="00472378">
          <w:rPr>
            <w:noProof/>
            <w:webHidden/>
          </w:rPr>
          <w:instrText xml:space="preserve"> PAGEREF _Toc18964898 \h </w:instrText>
        </w:r>
        <w:r w:rsidR="00472378">
          <w:rPr>
            <w:noProof/>
            <w:webHidden/>
          </w:rPr>
        </w:r>
        <w:r w:rsidR="00472378">
          <w:rPr>
            <w:noProof/>
            <w:webHidden/>
          </w:rPr>
          <w:fldChar w:fldCharType="separate"/>
        </w:r>
        <w:r w:rsidR="00472378">
          <w:rPr>
            <w:noProof/>
            <w:webHidden/>
          </w:rPr>
          <w:t>12</w:t>
        </w:r>
        <w:r w:rsidR="00472378">
          <w:rPr>
            <w:noProof/>
            <w:webHidden/>
          </w:rPr>
          <w:fldChar w:fldCharType="end"/>
        </w:r>
      </w:hyperlink>
    </w:p>
    <w:p w14:paraId="2A7F23A2" w14:textId="02C5126C" w:rsidR="00472378" w:rsidRDefault="00BB77EE">
      <w:pPr>
        <w:pStyle w:val="Kazaloslik"/>
        <w:tabs>
          <w:tab w:val="right" w:leader="dot" w:pos="9396"/>
        </w:tabs>
        <w:rPr>
          <w:rFonts w:asciiTheme="minorHAnsi" w:eastAsiaTheme="minorEastAsia" w:hAnsiTheme="minorHAnsi"/>
          <w:noProof/>
          <w:sz w:val="22"/>
        </w:rPr>
      </w:pPr>
      <w:hyperlink w:anchor="_Toc18964899" w:history="1">
        <w:r w:rsidR="00472378" w:rsidRPr="0084674E">
          <w:rPr>
            <w:rStyle w:val="Hiperpovezava"/>
            <w:noProof/>
          </w:rPr>
          <w:t>Slika 9: EBITDA marža</w:t>
        </w:r>
        <w:r w:rsidR="00472378">
          <w:rPr>
            <w:noProof/>
            <w:webHidden/>
          </w:rPr>
          <w:tab/>
        </w:r>
        <w:r w:rsidR="00472378">
          <w:rPr>
            <w:noProof/>
            <w:webHidden/>
          </w:rPr>
          <w:fldChar w:fldCharType="begin"/>
        </w:r>
        <w:r w:rsidR="00472378">
          <w:rPr>
            <w:noProof/>
            <w:webHidden/>
          </w:rPr>
          <w:instrText xml:space="preserve"> PAGEREF _Toc18964899 \h </w:instrText>
        </w:r>
        <w:r w:rsidR="00472378">
          <w:rPr>
            <w:noProof/>
            <w:webHidden/>
          </w:rPr>
        </w:r>
        <w:r w:rsidR="00472378">
          <w:rPr>
            <w:noProof/>
            <w:webHidden/>
          </w:rPr>
          <w:fldChar w:fldCharType="separate"/>
        </w:r>
        <w:r w:rsidR="00472378">
          <w:rPr>
            <w:noProof/>
            <w:webHidden/>
          </w:rPr>
          <w:t>12</w:t>
        </w:r>
        <w:r w:rsidR="00472378">
          <w:rPr>
            <w:noProof/>
            <w:webHidden/>
          </w:rPr>
          <w:fldChar w:fldCharType="end"/>
        </w:r>
      </w:hyperlink>
    </w:p>
    <w:p w14:paraId="6A86B55F" w14:textId="2D8220A9" w:rsidR="00472378" w:rsidRDefault="00BB77EE">
      <w:pPr>
        <w:pStyle w:val="Kazaloslik"/>
        <w:tabs>
          <w:tab w:val="right" w:leader="dot" w:pos="9396"/>
        </w:tabs>
        <w:rPr>
          <w:rFonts w:asciiTheme="minorHAnsi" w:eastAsiaTheme="minorEastAsia" w:hAnsiTheme="minorHAnsi"/>
          <w:noProof/>
          <w:sz w:val="22"/>
        </w:rPr>
      </w:pPr>
      <w:hyperlink w:anchor="_Toc18964900" w:history="1">
        <w:r w:rsidR="00472378" w:rsidRPr="0084674E">
          <w:rPr>
            <w:rStyle w:val="Hiperpovezava"/>
            <w:noProof/>
          </w:rPr>
          <w:t>Slika 10: Struktura dolgoročnih sredstev</w:t>
        </w:r>
        <w:r w:rsidR="00472378">
          <w:rPr>
            <w:noProof/>
            <w:webHidden/>
          </w:rPr>
          <w:tab/>
        </w:r>
        <w:r w:rsidR="00472378">
          <w:rPr>
            <w:noProof/>
            <w:webHidden/>
          </w:rPr>
          <w:fldChar w:fldCharType="begin"/>
        </w:r>
        <w:r w:rsidR="00472378">
          <w:rPr>
            <w:noProof/>
            <w:webHidden/>
          </w:rPr>
          <w:instrText xml:space="preserve"> PAGEREF _Toc18964900 \h </w:instrText>
        </w:r>
        <w:r w:rsidR="00472378">
          <w:rPr>
            <w:noProof/>
            <w:webHidden/>
          </w:rPr>
        </w:r>
        <w:r w:rsidR="00472378">
          <w:rPr>
            <w:noProof/>
            <w:webHidden/>
          </w:rPr>
          <w:fldChar w:fldCharType="separate"/>
        </w:r>
        <w:r w:rsidR="00472378">
          <w:rPr>
            <w:noProof/>
            <w:webHidden/>
          </w:rPr>
          <w:t>13</w:t>
        </w:r>
        <w:r w:rsidR="00472378">
          <w:rPr>
            <w:noProof/>
            <w:webHidden/>
          </w:rPr>
          <w:fldChar w:fldCharType="end"/>
        </w:r>
      </w:hyperlink>
    </w:p>
    <w:p w14:paraId="4CE8EE34" w14:textId="4FE78146" w:rsidR="00472378" w:rsidRDefault="00BB77EE">
      <w:pPr>
        <w:pStyle w:val="Kazaloslik"/>
        <w:tabs>
          <w:tab w:val="right" w:leader="dot" w:pos="9396"/>
        </w:tabs>
        <w:rPr>
          <w:rFonts w:asciiTheme="minorHAnsi" w:eastAsiaTheme="minorEastAsia" w:hAnsiTheme="minorHAnsi"/>
          <w:noProof/>
          <w:sz w:val="22"/>
        </w:rPr>
      </w:pPr>
      <w:hyperlink w:anchor="_Toc18964901" w:history="1">
        <w:r w:rsidR="00472378" w:rsidRPr="0084674E">
          <w:rPr>
            <w:rStyle w:val="Hiperpovezava"/>
            <w:noProof/>
          </w:rPr>
          <w:t>Slika 11: Investicije v osnovna sredstva</w:t>
        </w:r>
        <w:r w:rsidR="00472378">
          <w:rPr>
            <w:noProof/>
            <w:webHidden/>
          </w:rPr>
          <w:tab/>
        </w:r>
        <w:r w:rsidR="00472378">
          <w:rPr>
            <w:noProof/>
            <w:webHidden/>
          </w:rPr>
          <w:fldChar w:fldCharType="begin"/>
        </w:r>
        <w:r w:rsidR="00472378">
          <w:rPr>
            <w:noProof/>
            <w:webHidden/>
          </w:rPr>
          <w:instrText xml:space="preserve"> PAGEREF _Toc18964901 \h </w:instrText>
        </w:r>
        <w:r w:rsidR="00472378">
          <w:rPr>
            <w:noProof/>
            <w:webHidden/>
          </w:rPr>
        </w:r>
        <w:r w:rsidR="00472378">
          <w:rPr>
            <w:noProof/>
            <w:webHidden/>
          </w:rPr>
          <w:fldChar w:fldCharType="separate"/>
        </w:r>
        <w:r w:rsidR="00472378">
          <w:rPr>
            <w:noProof/>
            <w:webHidden/>
          </w:rPr>
          <w:t>13</w:t>
        </w:r>
        <w:r w:rsidR="00472378">
          <w:rPr>
            <w:noProof/>
            <w:webHidden/>
          </w:rPr>
          <w:fldChar w:fldCharType="end"/>
        </w:r>
      </w:hyperlink>
    </w:p>
    <w:p w14:paraId="1F0721ED" w14:textId="25F199D6" w:rsidR="00472378" w:rsidRDefault="00BB77EE">
      <w:pPr>
        <w:pStyle w:val="Kazaloslik"/>
        <w:tabs>
          <w:tab w:val="right" w:leader="dot" w:pos="9396"/>
        </w:tabs>
        <w:rPr>
          <w:rFonts w:asciiTheme="minorHAnsi" w:eastAsiaTheme="minorEastAsia" w:hAnsiTheme="minorHAnsi"/>
          <w:noProof/>
          <w:sz w:val="22"/>
        </w:rPr>
      </w:pPr>
      <w:hyperlink w:anchor="_Toc18964902" w:history="1">
        <w:r w:rsidR="00472378" w:rsidRPr="0084674E">
          <w:rPr>
            <w:rStyle w:val="Hiperpovezava"/>
            <w:noProof/>
          </w:rPr>
          <w:t>Slika 12: Struktura kratkoročnih sredstev</w:t>
        </w:r>
        <w:r w:rsidR="00472378">
          <w:rPr>
            <w:noProof/>
            <w:webHidden/>
          </w:rPr>
          <w:tab/>
        </w:r>
        <w:r w:rsidR="00472378">
          <w:rPr>
            <w:noProof/>
            <w:webHidden/>
          </w:rPr>
          <w:fldChar w:fldCharType="begin"/>
        </w:r>
        <w:r w:rsidR="00472378">
          <w:rPr>
            <w:noProof/>
            <w:webHidden/>
          </w:rPr>
          <w:instrText xml:space="preserve"> PAGEREF _Toc18964902 \h </w:instrText>
        </w:r>
        <w:r w:rsidR="00472378">
          <w:rPr>
            <w:noProof/>
            <w:webHidden/>
          </w:rPr>
        </w:r>
        <w:r w:rsidR="00472378">
          <w:rPr>
            <w:noProof/>
            <w:webHidden/>
          </w:rPr>
          <w:fldChar w:fldCharType="separate"/>
        </w:r>
        <w:r w:rsidR="00472378">
          <w:rPr>
            <w:noProof/>
            <w:webHidden/>
          </w:rPr>
          <w:t>14</w:t>
        </w:r>
        <w:r w:rsidR="00472378">
          <w:rPr>
            <w:noProof/>
            <w:webHidden/>
          </w:rPr>
          <w:fldChar w:fldCharType="end"/>
        </w:r>
      </w:hyperlink>
    </w:p>
    <w:p w14:paraId="6FAD3D30" w14:textId="248F7402" w:rsidR="00472378" w:rsidRDefault="00BB77EE">
      <w:pPr>
        <w:pStyle w:val="Kazaloslik"/>
        <w:tabs>
          <w:tab w:val="right" w:leader="dot" w:pos="9396"/>
        </w:tabs>
        <w:rPr>
          <w:rFonts w:asciiTheme="minorHAnsi" w:eastAsiaTheme="minorEastAsia" w:hAnsiTheme="minorHAnsi"/>
          <w:noProof/>
          <w:sz w:val="22"/>
        </w:rPr>
      </w:pPr>
      <w:hyperlink w:anchor="_Toc18964903" w:history="1">
        <w:r w:rsidR="00472378" w:rsidRPr="0084674E">
          <w:rPr>
            <w:rStyle w:val="Hiperpovezava"/>
            <w:noProof/>
          </w:rPr>
          <w:t>Slika 13: Neto obratni kapital</w:t>
        </w:r>
        <w:r w:rsidR="00472378">
          <w:rPr>
            <w:noProof/>
            <w:webHidden/>
          </w:rPr>
          <w:tab/>
        </w:r>
        <w:r w:rsidR="00472378">
          <w:rPr>
            <w:noProof/>
            <w:webHidden/>
          </w:rPr>
          <w:fldChar w:fldCharType="begin"/>
        </w:r>
        <w:r w:rsidR="00472378">
          <w:rPr>
            <w:noProof/>
            <w:webHidden/>
          </w:rPr>
          <w:instrText xml:space="preserve"> PAGEREF _Toc18964903 \h </w:instrText>
        </w:r>
        <w:r w:rsidR="00472378">
          <w:rPr>
            <w:noProof/>
            <w:webHidden/>
          </w:rPr>
        </w:r>
        <w:r w:rsidR="00472378">
          <w:rPr>
            <w:noProof/>
            <w:webHidden/>
          </w:rPr>
          <w:fldChar w:fldCharType="separate"/>
        </w:r>
        <w:r w:rsidR="00472378">
          <w:rPr>
            <w:noProof/>
            <w:webHidden/>
          </w:rPr>
          <w:t>14</w:t>
        </w:r>
        <w:r w:rsidR="00472378">
          <w:rPr>
            <w:noProof/>
            <w:webHidden/>
          </w:rPr>
          <w:fldChar w:fldCharType="end"/>
        </w:r>
      </w:hyperlink>
    </w:p>
    <w:p w14:paraId="64114E33" w14:textId="5D522F19" w:rsidR="00472378" w:rsidRDefault="00BB77EE">
      <w:pPr>
        <w:pStyle w:val="Kazaloslik"/>
        <w:tabs>
          <w:tab w:val="right" w:leader="dot" w:pos="9396"/>
        </w:tabs>
        <w:rPr>
          <w:rFonts w:asciiTheme="minorHAnsi" w:eastAsiaTheme="minorEastAsia" w:hAnsiTheme="minorHAnsi"/>
          <w:noProof/>
          <w:sz w:val="22"/>
        </w:rPr>
      </w:pPr>
      <w:hyperlink w:anchor="_Toc18964904" w:history="1">
        <w:r w:rsidR="00472378" w:rsidRPr="0084674E">
          <w:rPr>
            <w:rStyle w:val="Hiperpovezava"/>
            <w:noProof/>
          </w:rPr>
          <w:t>Slika 14: Financiranje</w:t>
        </w:r>
        <w:r w:rsidR="00472378">
          <w:rPr>
            <w:noProof/>
            <w:webHidden/>
          </w:rPr>
          <w:tab/>
        </w:r>
        <w:r w:rsidR="00472378">
          <w:rPr>
            <w:noProof/>
            <w:webHidden/>
          </w:rPr>
          <w:fldChar w:fldCharType="begin"/>
        </w:r>
        <w:r w:rsidR="00472378">
          <w:rPr>
            <w:noProof/>
            <w:webHidden/>
          </w:rPr>
          <w:instrText xml:space="preserve"> PAGEREF _Toc18964904 \h </w:instrText>
        </w:r>
        <w:r w:rsidR="00472378">
          <w:rPr>
            <w:noProof/>
            <w:webHidden/>
          </w:rPr>
        </w:r>
        <w:r w:rsidR="00472378">
          <w:rPr>
            <w:noProof/>
            <w:webHidden/>
          </w:rPr>
          <w:fldChar w:fldCharType="separate"/>
        </w:r>
        <w:r w:rsidR="00472378">
          <w:rPr>
            <w:noProof/>
            <w:webHidden/>
          </w:rPr>
          <w:t>15</w:t>
        </w:r>
        <w:r w:rsidR="00472378">
          <w:rPr>
            <w:noProof/>
            <w:webHidden/>
          </w:rPr>
          <w:fldChar w:fldCharType="end"/>
        </w:r>
      </w:hyperlink>
    </w:p>
    <w:p w14:paraId="06F1ECCC" w14:textId="45C25DCE" w:rsidR="00472378" w:rsidRDefault="00BB77EE">
      <w:pPr>
        <w:pStyle w:val="Kazaloslik"/>
        <w:tabs>
          <w:tab w:val="right" w:leader="dot" w:pos="9396"/>
        </w:tabs>
        <w:rPr>
          <w:rFonts w:asciiTheme="minorHAnsi" w:eastAsiaTheme="minorEastAsia" w:hAnsiTheme="minorHAnsi"/>
          <w:noProof/>
          <w:sz w:val="22"/>
        </w:rPr>
      </w:pPr>
      <w:hyperlink w:anchor="_Toc18964905" w:history="1">
        <w:r w:rsidR="00472378" w:rsidRPr="0084674E">
          <w:rPr>
            <w:rStyle w:val="Hiperpovezava"/>
            <w:noProof/>
          </w:rPr>
          <w:t>Slika 15: Delež kapitala v financiranju</w:t>
        </w:r>
        <w:r w:rsidR="00472378">
          <w:rPr>
            <w:noProof/>
            <w:webHidden/>
          </w:rPr>
          <w:tab/>
        </w:r>
        <w:r w:rsidR="00472378">
          <w:rPr>
            <w:noProof/>
            <w:webHidden/>
          </w:rPr>
          <w:fldChar w:fldCharType="begin"/>
        </w:r>
        <w:r w:rsidR="00472378">
          <w:rPr>
            <w:noProof/>
            <w:webHidden/>
          </w:rPr>
          <w:instrText xml:space="preserve"> PAGEREF _Toc18964905 \h </w:instrText>
        </w:r>
        <w:r w:rsidR="00472378">
          <w:rPr>
            <w:noProof/>
            <w:webHidden/>
          </w:rPr>
        </w:r>
        <w:r w:rsidR="00472378">
          <w:rPr>
            <w:noProof/>
            <w:webHidden/>
          </w:rPr>
          <w:fldChar w:fldCharType="separate"/>
        </w:r>
        <w:r w:rsidR="00472378">
          <w:rPr>
            <w:noProof/>
            <w:webHidden/>
          </w:rPr>
          <w:t>15</w:t>
        </w:r>
        <w:r w:rsidR="00472378">
          <w:rPr>
            <w:noProof/>
            <w:webHidden/>
          </w:rPr>
          <w:fldChar w:fldCharType="end"/>
        </w:r>
      </w:hyperlink>
    </w:p>
    <w:p w14:paraId="0A1601AA" w14:textId="5C384195" w:rsidR="00472378" w:rsidRDefault="00BB77EE">
      <w:pPr>
        <w:pStyle w:val="Kazaloslik"/>
        <w:tabs>
          <w:tab w:val="right" w:leader="dot" w:pos="9396"/>
        </w:tabs>
        <w:rPr>
          <w:rFonts w:asciiTheme="minorHAnsi" w:eastAsiaTheme="minorEastAsia" w:hAnsiTheme="minorHAnsi"/>
          <w:noProof/>
          <w:sz w:val="22"/>
        </w:rPr>
      </w:pPr>
      <w:hyperlink w:anchor="_Toc18964906" w:history="1">
        <w:r w:rsidR="00472378" w:rsidRPr="0084674E">
          <w:rPr>
            <w:rStyle w:val="Hiperpovezava"/>
            <w:noProof/>
          </w:rPr>
          <w:t>Slika 16: Delež dolga v financiranju</w:t>
        </w:r>
        <w:r w:rsidR="00472378">
          <w:rPr>
            <w:noProof/>
            <w:webHidden/>
          </w:rPr>
          <w:tab/>
        </w:r>
        <w:r w:rsidR="00472378">
          <w:rPr>
            <w:noProof/>
            <w:webHidden/>
          </w:rPr>
          <w:fldChar w:fldCharType="begin"/>
        </w:r>
        <w:r w:rsidR="00472378">
          <w:rPr>
            <w:noProof/>
            <w:webHidden/>
          </w:rPr>
          <w:instrText xml:space="preserve"> PAGEREF _Toc18964906 \h </w:instrText>
        </w:r>
        <w:r w:rsidR="00472378">
          <w:rPr>
            <w:noProof/>
            <w:webHidden/>
          </w:rPr>
        </w:r>
        <w:r w:rsidR="00472378">
          <w:rPr>
            <w:noProof/>
            <w:webHidden/>
          </w:rPr>
          <w:fldChar w:fldCharType="separate"/>
        </w:r>
        <w:r w:rsidR="00472378">
          <w:rPr>
            <w:noProof/>
            <w:webHidden/>
          </w:rPr>
          <w:t>15</w:t>
        </w:r>
        <w:r w:rsidR="00472378">
          <w:rPr>
            <w:noProof/>
            <w:webHidden/>
          </w:rPr>
          <w:fldChar w:fldCharType="end"/>
        </w:r>
      </w:hyperlink>
    </w:p>
    <w:p w14:paraId="094A890A" w14:textId="60E810CF" w:rsidR="00472378" w:rsidRDefault="00BB77EE">
      <w:pPr>
        <w:pStyle w:val="Kazaloslik"/>
        <w:tabs>
          <w:tab w:val="right" w:leader="dot" w:pos="9396"/>
        </w:tabs>
        <w:rPr>
          <w:rFonts w:asciiTheme="minorHAnsi" w:eastAsiaTheme="minorEastAsia" w:hAnsiTheme="minorHAnsi"/>
          <w:noProof/>
          <w:sz w:val="22"/>
        </w:rPr>
      </w:pPr>
      <w:hyperlink w:anchor="_Toc18964907" w:history="1">
        <w:r w:rsidR="00472378" w:rsidRPr="0084674E">
          <w:rPr>
            <w:rStyle w:val="Hiperpovezava"/>
            <w:noProof/>
          </w:rPr>
          <w:t>Slika 17: Neto dolg na EBITDA</w:t>
        </w:r>
        <w:r w:rsidR="00472378">
          <w:rPr>
            <w:noProof/>
            <w:webHidden/>
          </w:rPr>
          <w:tab/>
        </w:r>
        <w:r w:rsidR="00472378">
          <w:rPr>
            <w:noProof/>
            <w:webHidden/>
          </w:rPr>
          <w:fldChar w:fldCharType="begin"/>
        </w:r>
        <w:r w:rsidR="00472378">
          <w:rPr>
            <w:noProof/>
            <w:webHidden/>
          </w:rPr>
          <w:instrText xml:space="preserve"> PAGEREF _Toc18964907 \h </w:instrText>
        </w:r>
        <w:r w:rsidR="00472378">
          <w:rPr>
            <w:noProof/>
            <w:webHidden/>
          </w:rPr>
        </w:r>
        <w:r w:rsidR="00472378">
          <w:rPr>
            <w:noProof/>
            <w:webHidden/>
          </w:rPr>
          <w:fldChar w:fldCharType="separate"/>
        </w:r>
        <w:r w:rsidR="00472378">
          <w:rPr>
            <w:noProof/>
            <w:webHidden/>
          </w:rPr>
          <w:t>16</w:t>
        </w:r>
        <w:r w:rsidR="00472378">
          <w:rPr>
            <w:noProof/>
            <w:webHidden/>
          </w:rPr>
          <w:fldChar w:fldCharType="end"/>
        </w:r>
      </w:hyperlink>
    </w:p>
    <w:p w14:paraId="0B77F38B" w14:textId="7E24AB44" w:rsidR="00472378" w:rsidRDefault="00BB77EE">
      <w:pPr>
        <w:pStyle w:val="Kazaloslik"/>
        <w:tabs>
          <w:tab w:val="right" w:leader="dot" w:pos="9396"/>
        </w:tabs>
        <w:rPr>
          <w:rFonts w:asciiTheme="minorHAnsi" w:eastAsiaTheme="minorEastAsia" w:hAnsiTheme="minorHAnsi"/>
          <w:noProof/>
          <w:sz w:val="22"/>
        </w:rPr>
      </w:pPr>
      <w:hyperlink w:anchor="_Toc18964908" w:history="1">
        <w:r w:rsidR="00472378" w:rsidRPr="0084674E">
          <w:rPr>
            <w:rStyle w:val="Hiperpovezava"/>
            <w:noProof/>
          </w:rPr>
          <w:t>Slika 18: Napoved prihodkov od prodaje</w:t>
        </w:r>
        <w:r w:rsidR="00472378">
          <w:rPr>
            <w:noProof/>
            <w:webHidden/>
          </w:rPr>
          <w:tab/>
        </w:r>
        <w:r w:rsidR="00472378">
          <w:rPr>
            <w:noProof/>
            <w:webHidden/>
          </w:rPr>
          <w:fldChar w:fldCharType="begin"/>
        </w:r>
        <w:r w:rsidR="00472378">
          <w:rPr>
            <w:noProof/>
            <w:webHidden/>
          </w:rPr>
          <w:instrText xml:space="preserve"> PAGEREF _Toc18964908 \h </w:instrText>
        </w:r>
        <w:r w:rsidR="00472378">
          <w:rPr>
            <w:noProof/>
            <w:webHidden/>
          </w:rPr>
        </w:r>
        <w:r w:rsidR="00472378">
          <w:rPr>
            <w:noProof/>
            <w:webHidden/>
          </w:rPr>
          <w:fldChar w:fldCharType="separate"/>
        </w:r>
        <w:r w:rsidR="00472378">
          <w:rPr>
            <w:noProof/>
            <w:webHidden/>
          </w:rPr>
          <w:t>17</w:t>
        </w:r>
        <w:r w:rsidR="00472378">
          <w:rPr>
            <w:noProof/>
            <w:webHidden/>
          </w:rPr>
          <w:fldChar w:fldCharType="end"/>
        </w:r>
      </w:hyperlink>
    </w:p>
    <w:p w14:paraId="13C6C3BC" w14:textId="291AF182" w:rsidR="00472378" w:rsidRDefault="00BB77EE">
      <w:pPr>
        <w:pStyle w:val="Kazaloslik"/>
        <w:tabs>
          <w:tab w:val="right" w:leader="dot" w:pos="9396"/>
        </w:tabs>
        <w:rPr>
          <w:rFonts w:asciiTheme="minorHAnsi" w:eastAsiaTheme="minorEastAsia" w:hAnsiTheme="minorHAnsi"/>
          <w:noProof/>
          <w:sz w:val="22"/>
        </w:rPr>
      </w:pPr>
      <w:hyperlink w:anchor="_Toc18964909" w:history="1">
        <w:r w:rsidR="00472378" w:rsidRPr="0084674E">
          <w:rPr>
            <w:rStyle w:val="Hiperpovezava"/>
            <w:noProof/>
          </w:rPr>
          <w:t>Slika 19: Napoved stroškov blaga, materiala in storitev</w:t>
        </w:r>
        <w:r w:rsidR="00472378">
          <w:rPr>
            <w:noProof/>
            <w:webHidden/>
          </w:rPr>
          <w:tab/>
        </w:r>
        <w:r w:rsidR="00472378">
          <w:rPr>
            <w:noProof/>
            <w:webHidden/>
          </w:rPr>
          <w:fldChar w:fldCharType="begin"/>
        </w:r>
        <w:r w:rsidR="00472378">
          <w:rPr>
            <w:noProof/>
            <w:webHidden/>
          </w:rPr>
          <w:instrText xml:space="preserve"> PAGEREF _Toc18964909 \h </w:instrText>
        </w:r>
        <w:r w:rsidR="00472378">
          <w:rPr>
            <w:noProof/>
            <w:webHidden/>
          </w:rPr>
        </w:r>
        <w:r w:rsidR="00472378">
          <w:rPr>
            <w:noProof/>
            <w:webHidden/>
          </w:rPr>
          <w:fldChar w:fldCharType="separate"/>
        </w:r>
        <w:r w:rsidR="00472378">
          <w:rPr>
            <w:noProof/>
            <w:webHidden/>
          </w:rPr>
          <w:t>18</w:t>
        </w:r>
        <w:r w:rsidR="00472378">
          <w:rPr>
            <w:noProof/>
            <w:webHidden/>
          </w:rPr>
          <w:fldChar w:fldCharType="end"/>
        </w:r>
      </w:hyperlink>
    </w:p>
    <w:p w14:paraId="4B4FCB87" w14:textId="45733FAC" w:rsidR="00472378" w:rsidRDefault="00BB77EE">
      <w:pPr>
        <w:pStyle w:val="Kazaloslik"/>
        <w:tabs>
          <w:tab w:val="right" w:leader="dot" w:pos="9396"/>
        </w:tabs>
        <w:rPr>
          <w:rFonts w:asciiTheme="minorHAnsi" w:eastAsiaTheme="minorEastAsia" w:hAnsiTheme="minorHAnsi"/>
          <w:noProof/>
          <w:sz w:val="22"/>
        </w:rPr>
      </w:pPr>
      <w:hyperlink w:anchor="_Toc18964910" w:history="1">
        <w:r w:rsidR="00472378" w:rsidRPr="0084674E">
          <w:rPr>
            <w:rStyle w:val="Hiperpovezava"/>
            <w:noProof/>
          </w:rPr>
          <w:t>Slika 20: Strošek dela in število zaposlenih</w:t>
        </w:r>
        <w:r w:rsidR="00472378">
          <w:rPr>
            <w:noProof/>
            <w:webHidden/>
          </w:rPr>
          <w:tab/>
        </w:r>
        <w:r w:rsidR="00472378">
          <w:rPr>
            <w:noProof/>
            <w:webHidden/>
          </w:rPr>
          <w:fldChar w:fldCharType="begin"/>
        </w:r>
        <w:r w:rsidR="00472378">
          <w:rPr>
            <w:noProof/>
            <w:webHidden/>
          </w:rPr>
          <w:instrText xml:space="preserve"> PAGEREF _Toc18964910 \h </w:instrText>
        </w:r>
        <w:r w:rsidR="00472378">
          <w:rPr>
            <w:noProof/>
            <w:webHidden/>
          </w:rPr>
        </w:r>
        <w:r w:rsidR="00472378">
          <w:rPr>
            <w:noProof/>
            <w:webHidden/>
          </w:rPr>
          <w:fldChar w:fldCharType="separate"/>
        </w:r>
        <w:r w:rsidR="00472378">
          <w:rPr>
            <w:noProof/>
            <w:webHidden/>
          </w:rPr>
          <w:t>19</w:t>
        </w:r>
        <w:r w:rsidR="00472378">
          <w:rPr>
            <w:noProof/>
            <w:webHidden/>
          </w:rPr>
          <w:fldChar w:fldCharType="end"/>
        </w:r>
      </w:hyperlink>
    </w:p>
    <w:p w14:paraId="4F3FD7C7" w14:textId="143E7144" w:rsidR="00472378" w:rsidRDefault="00BB77EE">
      <w:pPr>
        <w:pStyle w:val="Kazaloslik"/>
        <w:tabs>
          <w:tab w:val="right" w:leader="dot" w:pos="9396"/>
        </w:tabs>
        <w:rPr>
          <w:rFonts w:asciiTheme="minorHAnsi" w:eastAsiaTheme="minorEastAsia" w:hAnsiTheme="minorHAnsi"/>
          <w:noProof/>
          <w:sz w:val="22"/>
        </w:rPr>
      </w:pPr>
      <w:hyperlink w:anchor="_Toc18964911" w:history="1">
        <w:r w:rsidR="00472378" w:rsidRPr="0084674E">
          <w:rPr>
            <w:rStyle w:val="Hiperpovezava"/>
            <w:noProof/>
          </w:rPr>
          <w:t>Slika 21: Napoved investicije v opredmetena in neopredmetena osnovna sredstva</w:t>
        </w:r>
        <w:r w:rsidR="00472378">
          <w:rPr>
            <w:noProof/>
            <w:webHidden/>
          </w:rPr>
          <w:tab/>
        </w:r>
        <w:r w:rsidR="00472378">
          <w:rPr>
            <w:noProof/>
            <w:webHidden/>
          </w:rPr>
          <w:fldChar w:fldCharType="begin"/>
        </w:r>
        <w:r w:rsidR="00472378">
          <w:rPr>
            <w:noProof/>
            <w:webHidden/>
          </w:rPr>
          <w:instrText xml:space="preserve"> PAGEREF _Toc18964911 \h </w:instrText>
        </w:r>
        <w:r w:rsidR="00472378">
          <w:rPr>
            <w:noProof/>
            <w:webHidden/>
          </w:rPr>
        </w:r>
        <w:r w:rsidR="00472378">
          <w:rPr>
            <w:noProof/>
            <w:webHidden/>
          </w:rPr>
          <w:fldChar w:fldCharType="separate"/>
        </w:r>
        <w:r w:rsidR="00472378">
          <w:rPr>
            <w:noProof/>
            <w:webHidden/>
          </w:rPr>
          <w:t>20</w:t>
        </w:r>
        <w:r w:rsidR="00472378">
          <w:rPr>
            <w:noProof/>
            <w:webHidden/>
          </w:rPr>
          <w:fldChar w:fldCharType="end"/>
        </w:r>
      </w:hyperlink>
    </w:p>
    <w:p w14:paraId="5F45D00C" w14:textId="3B4A75C7" w:rsidR="00472378" w:rsidRDefault="00BB77EE">
      <w:pPr>
        <w:pStyle w:val="Kazaloslik"/>
        <w:tabs>
          <w:tab w:val="right" w:leader="dot" w:pos="9396"/>
        </w:tabs>
        <w:rPr>
          <w:rFonts w:asciiTheme="minorHAnsi" w:eastAsiaTheme="minorEastAsia" w:hAnsiTheme="minorHAnsi"/>
          <w:noProof/>
          <w:sz w:val="22"/>
        </w:rPr>
      </w:pPr>
      <w:hyperlink w:anchor="_Toc18964912" w:history="1">
        <w:r w:rsidR="00472378" w:rsidRPr="0084674E">
          <w:rPr>
            <w:rStyle w:val="Hiperpovezava"/>
            <w:noProof/>
          </w:rPr>
          <w:t>Slika 22: Amortizacija</w:t>
        </w:r>
        <w:r w:rsidR="00472378">
          <w:rPr>
            <w:noProof/>
            <w:webHidden/>
          </w:rPr>
          <w:tab/>
        </w:r>
        <w:r w:rsidR="00472378">
          <w:rPr>
            <w:noProof/>
            <w:webHidden/>
          </w:rPr>
          <w:fldChar w:fldCharType="begin"/>
        </w:r>
        <w:r w:rsidR="00472378">
          <w:rPr>
            <w:noProof/>
            <w:webHidden/>
          </w:rPr>
          <w:instrText xml:space="preserve"> PAGEREF _Toc18964912 \h </w:instrText>
        </w:r>
        <w:r w:rsidR="00472378">
          <w:rPr>
            <w:noProof/>
            <w:webHidden/>
          </w:rPr>
        </w:r>
        <w:r w:rsidR="00472378">
          <w:rPr>
            <w:noProof/>
            <w:webHidden/>
          </w:rPr>
          <w:fldChar w:fldCharType="separate"/>
        </w:r>
        <w:r w:rsidR="00472378">
          <w:rPr>
            <w:noProof/>
            <w:webHidden/>
          </w:rPr>
          <w:t>20</w:t>
        </w:r>
        <w:r w:rsidR="00472378">
          <w:rPr>
            <w:noProof/>
            <w:webHidden/>
          </w:rPr>
          <w:fldChar w:fldCharType="end"/>
        </w:r>
      </w:hyperlink>
    </w:p>
    <w:p w14:paraId="144B45A3" w14:textId="77871547" w:rsidR="00472378" w:rsidRDefault="00BB77EE">
      <w:pPr>
        <w:pStyle w:val="Kazaloslik"/>
        <w:tabs>
          <w:tab w:val="right" w:leader="dot" w:pos="9396"/>
        </w:tabs>
        <w:rPr>
          <w:rFonts w:asciiTheme="minorHAnsi" w:eastAsiaTheme="minorEastAsia" w:hAnsiTheme="minorHAnsi"/>
          <w:noProof/>
          <w:sz w:val="22"/>
        </w:rPr>
      </w:pPr>
      <w:hyperlink w:anchor="_Toc18964913" w:history="1">
        <w:r w:rsidR="00472378" w:rsidRPr="0084674E">
          <w:rPr>
            <w:rStyle w:val="Hiperpovezava"/>
            <w:noProof/>
          </w:rPr>
          <w:t>Slika 23: Investicije v obratni kapital</w:t>
        </w:r>
        <w:r w:rsidR="00472378">
          <w:rPr>
            <w:noProof/>
            <w:webHidden/>
          </w:rPr>
          <w:tab/>
        </w:r>
        <w:r w:rsidR="00472378">
          <w:rPr>
            <w:noProof/>
            <w:webHidden/>
          </w:rPr>
          <w:fldChar w:fldCharType="begin"/>
        </w:r>
        <w:r w:rsidR="00472378">
          <w:rPr>
            <w:noProof/>
            <w:webHidden/>
          </w:rPr>
          <w:instrText xml:space="preserve"> PAGEREF _Toc18964913 \h </w:instrText>
        </w:r>
        <w:r w:rsidR="00472378">
          <w:rPr>
            <w:noProof/>
            <w:webHidden/>
          </w:rPr>
        </w:r>
        <w:r w:rsidR="00472378">
          <w:rPr>
            <w:noProof/>
            <w:webHidden/>
          </w:rPr>
          <w:fldChar w:fldCharType="separate"/>
        </w:r>
        <w:r w:rsidR="00472378">
          <w:rPr>
            <w:noProof/>
            <w:webHidden/>
          </w:rPr>
          <w:t>21</w:t>
        </w:r>
        <w:r w:rsidR="00472378">
          <w:rPr>
            <w:noProof/>
            <w:webHidden/>
          </w:rPr>
          <w:fldChar w:fldCharType="end"/>
        </w:r>
      </w:hyperlink>
    </w:p>
    <w:p w14:paraId="26BB398F" w14:textId="414D5E29" w:rsidR="00472378" w:rsidRDefault="00BB77EE">
      <w:pPr>
        <w:pStyle w:val="Kazaloslik"/>
        <w:tabs>
          <w:tab w:val="right" w:leader="dot" w:pos="9396"/>
        </w:tabs>
        <w:rPr>
          <w:rFonts w:asciiTheme="minorHAnsi" w:eastAsiaTheme="minorEastAsia" w:hAnsiTheme="minorHAnsi"/>
          <w:noProof/>
          <w:sz w:val="22"/>
        </w:rPr>
      </w:pPr>
      <w:hyperlink w:anchor="_Toc18964914" w:history="1">
        <w:r w:rsidR="00472378" w:rsidRPr="0084674E">
          <w:rPr>
            <w:rStyle w:val="Hiperpovezava"/>
            <w:noProof/>
          </w:rPr>
          <w:t>Slika 24: Povečanje FCFF po prevzemu</w:t>
        </w:r>
        <w:r w:rsidR="00472378">
          <w:rPr>
            <w:noProof/>
            <w:webHidden/>
          </w:rPr>
          <w:tab/>
        </w:r>
        <w:r w:rsidR="00472378">
          <w:rPr>
            <w:noProof/>
            <w:webHidden/>
          </w:rPr>
          <w:fldChar w:fldCharType="begin"/>
        </w:r>
        <w:r w:rsidR="00472378">
          <w:rPr>
            <w:noProof/>
            <w:webHidden/>
          </w:rPr>
          <w:instrText xml:space="preserve"> PAGEREF _Toc18964914 \h </w:instrText>
        </w:r>
        <w:r w:rsidR="00472378">
          <w:rPr>
            <w:noProof/>
            <w:webHidden/>
          </w:rPr>
        </w:r>
        <w:r w:rsidR="00472378">
          <w:rPr>
            <w:noProof/>
            <w:webHidden/>
          </w:rPr>
          <w:fldChar w:fldCharType="separate"/>
        </w:r>
        <w:r w:rsidR="00472378">
          <w:rPr>
            <w:noProof/>
            <w:webHidden/>
          </w:rPr>
          <w:t>26</w:t>
        </w:r>
        <w:r w:rsidR="00472378">
          <w:rPr>
            <w:noProof/>
            <w:webHidden/>
          </w:rPr>
          <w:fldChar w:fldCharType="end"/>
        </w:r>
      </w:hyperlink>
    </w:p>
    <w:p w14:paraId="779BF764" w14:textId="6E1A794A" w:rsidR="00472378" w:rsidRDefault="00BB77EE">
      <w:pPr>
        <w:pStyle w:val="Kazaloslik"/>
        <w:tabs>
          <w:tab w:val="right" w:leader="dot" w:pos="9396"/>
        </w:tabs>
        <w:rPr>
          <w:rFonts w:asciiTheme="minorHAnsi" w:eastAsiaTheme="minorEastAsia" w:hAnsiTheme="minorHAnsi"/>
          <w:noProof/>
          <w:sz w:val="22"/>
        </w:rPr>
      </w:pPr>
      <w:hyperlink w:anchor="_Toc18964915" w:history="1">
        <w:r w:rsidR="00472378" w:rsidRPr="0084674E">
          <w:rPr>
            <w:rStyle w:val="Hiperpovezava"/>
            <w:noProof/>
          </w:rPr>
          <w:t>Slika 25: Povprečna štiritedenska prevzemna premija za Evropo</w:t>
        </w:r>
        <w:r w:rsidR="00472378">
          <w:rPr>
            <w:noProof/>
            <w:webHidden/>
          </w:rPr>
          <w:tab/>
        </w:r>
        <w:r w:rsidR="00472378">
          <w:rPr>
            <w:noProof/>
            <w:webHidden/>
          </w:rPr>
          <w:fldChar w:fldCharType="begin"/>
        </w:r>
        <w:r w:rsidR="00472378">
          <w:rPr>
            <w:noProof/>
            <w:webHidden/>
          </w:rPr>
          <w:instrText xml:space="preserve"> PAGEREF _Toc18964915 \h </w:instrText>
        </w:r>
        <w:r w:rsidR="00472378">
          <w:rPr>
            <w:noProof/>
            <w:webHidden/>
          </w:rPr>
        </w:r>
        <w:r w:rsidR="00472378">
          <w:rPr>
            <w:noProof/>
            <w:webHidden/>
          </w:rPr>
          <w:fldChar w:fldCharType="separate"/>
        </w:r>
        <w:r w:rsidR="00472378">
          <w:rPr>
            <w:noProof/>
            <w:webHidden/>
          </w:rPr>
          <w:t>28</w:t>
        </w:r>
        <w:r w:rsidR="00472378">
          <w:rPr>
            <w:noProof/>
            <w:webHidden/>
          </w:rPr>
          <w:fldChar w:fldCharType="end"/>
        </w:r>
      </w:hyperlink>
    </w:p>
    <w:p w14:paraId="5F25DD30" w14:textId="06F95C2C" w:rsidR="005E2C10" w:rsidRDefault="005E2C10" w:rsidP="005E2C10">
      <w:pPr>
        <w:pStyle w:val="Brezrazmikov"/>
      </w:pPr>
      <w:r w:rsidRPr="00D41FFD">
        <w:fldChar w:fldCharType="end"/>
      </w:r>
    </w:p>
    <w:p w14:paraId="4AA350AE" w14:textId="77777777" w:rsidR="005E2C10" w:rsidRDefault="005E2C10" w:rsidP="005E2C10">
      <w:pPr>
        <w:pStyle w:val="Brezrazmikov"/>
      </w:pPr>
    </w:p>
    <w:p w14:paraId="765AFFAB" w14:textId="77777777" w:rsidR="005E2C10" w:rsidRDefault="005E2C10" w:rsidP="005E2C10">
      <w:pPr>
        <w:pStyle w:val="Brezrazmikov"/>
      </w:pPr>
    </w:p>
    <w:p w14:paraId="1C0F48DF" w14:textId="77777777" w:rsidR="005E2C10" w:rsidRDefault="005E2C10" w:rsidP="005E2C10">
      <w:pPr>
        <w:pStyle w:val="Brezrazmikov"/>
      </w:pPr>
    </w:p>
    <w:p w14:paraId="116B4F55" w14:textId="77777777" w:rsidR="005E2C10" w:rsidRDefault="005E2C10" w:rsidP="005E2C10">
      <w:pPr>
        <w:pStyle w:val="Brezrazmikov"/>
        <w:rPr>
          <w:b/>
          <w:bCs/>
          <w:sz w:val="28"/>
          <w:szCs w:val="28"/>
        </w:rPr>
      </w:pPr>
      <w:r>
        <w:rPr>
          <w:b/>
          <w:bCs/>
          <w:sz w:val="28"/>
          <w:szCs w:val="28"/>
        </w:rPr>
        <w:lastRenderedPageBreak/>
        <w:t xml:space="preserve">      </w:t>
      </w:r>
      <w:r w:rsidRPr="0098634D">
        <w:rPr>
          <w:b/>
          <w:bCs/>
          <w:sz w:val="28"/>
          <w:szCs w:val="28"/>
        </w:rPr>
        <w:t xml:space="preserve">Kazalo </w:t>
      </w:r>
      <w:r>
        <w:rPr>
          <w:b/>
          <w:bCs/>
          <w:sz w:val="28"/>
          <w:szCs w:val="28"/>
        </w:rPr>
        <w:t>tabel</w:t>
      </w:r>
    </w:p>
    <w:p w14:paraId="5CCF2BD2" w14:textId="77777777" w:rsidR="005E2C10" w:rsidRPr="007F7E9F" w:rsidRDefault="005E2C10" w:rsidP="005E2C10">
      <w:pPr>
        <w:pStyle w:val="Brezrazmikov"/>
      </w:pPr>
    </w:p>
    <w:p w14:paraId="2F8A19EB" w14:textId="06B4FB9B" w:rsidR="00472378" w:rsidRDefault="005E2C10">
      <w:pPr>
        <w:pStyle w:val="Kazaloslik"/>
        <w:tabs>
          <w:tab w:val="right" w:leader="dot" w:pos="9396"/>
        </w:tabs>
        <w:rPr>
          <w:rFonts w:asciiTheme="minorHAnsi" w:eastAsiaTheme="minorEastAsia" w:hAnsiTheme="minorHAnsi"/>
          <w:noProof/>
          <w:sz w:val="22"/>
        </w:rPr>
      </w:pPr>
      <w:r>
        <w:fldChar w:fldCharType="begin"/>
      </w:r>
      <w:r>
        <w:instrText xml:space="preserve"> TOC \h \z \c "Tabela" </w:instrText>
      </w:r>
      <w:r>
        <w:fldChar w:fldCharType="separate"/>
      </w:r>
      <w:hyperlink w:anchor="_Toc18964916" w:history="1">
        <w:r w:rsidR="00472378" w:rsidRPr="00AF072A">
          <w:rPr>
            <w:rStyle w:val="Hiperpovezava"/>
            <w:noProof/>
          </w:rPr>
          <w:t>Tabela 1: Premija za majhnost podjetja</w:t>
        </w:r>
        <w:r w:rsidR="00472378">
          <w:rPr>
            <w:noProof/>
            <w:webHidden/>
          </w:rPr>
          <w:tab/>
        </w:r>
        <w:r w:rsidR="00472378">
          <w:rPr>
            <w:noProof/>
            <w:webHidden/>
          </w:rPr>
          <w:fldChar w:fldCharType="begin"/>
        </w:r>
        <w:r w:rsidR="00472378">
          <w:rPr>
            <w:noProof/>
            <w:webHidden/>
          </w:rPr>
          <w:instrText xml:space="preserve"> PAGEREF _Toc18964916 \h </w:instrText>
        </w:r>
        <w:r w:rsidR="00472378">
          <w:rPr>
            <w:noProof/>
            <w:webHidden/>
          </w:rPr>
        </w:r>
        <w:r w:rsidR="00472378">
          <w:rPr>
            <w:noProof/>
            <w:webHidden/>
          </w:rPr>
          <w:fldChar w:fldCharType="separate"/>
        </w:r>
        <w:r w:rsidR="00472378">
          <w:rPr>
            <w:noProof/>
            <w:webHidden/>
          </w:rPr>
          <w:t>4</w:t>
        </w:r>
        <w:r w:rsidR="00472378">
          <w:rPr>
            <w:noProof/>
            <w:webHidden/>
          </w:rPr>
          <w:fldChar w:fldCharType="end"/>
        </w:r>
      </w:hyperlink>
    </w:p>
    <w:p w14:paraId="60111E6A" w14:textId="1E8CE66A" w:rsidR="00472378" w:rsidRDefault="00BB77EE">
      <w:pPr>
        <w:pStyle w:val="Kazaloslik"/>
        <w:tabs>
          <w:tab w:val="right" w:leader="dot" w:pos="9396"/>
        </w:tabs>
        <w:rPr>
          <w:rFonts w:asciiTheme="minorHAnsi" w:eastAsiaTheme="minorEastAsia" w:hAnsiTheme="minorHAnsi"/>
          <w:noProof/>
          <w:sz w:val="22"/>
        </w:rPr>
      </w:pPr>
      <w:hyperlink w:anchor="_Toc18964917" w:history="1">
        <w:r w:rsidR="00472378" w:rsidRPr="00AF072A">
          <w:rPr>
            <w:rStyle w:val="Hiperpovezava"/>
            <w:noProof/>
          </w:rPr>
          <w:t>Tabela 2: Število delničarjev in delnic</w:t>
        </w:r>
        <w:r w:rsidR="00472378">
          <w:rPr>
            <w:noProof/>
            <w:webHidden/>
          </w:rPr>
          <w:tab/>
        </w:r>
        <w:r w:rsidR="00472378">
          <w:rPr>
            <w:noProof/>
            <w:webHidden/>
          </w:rPr>
          <w:fldChar w:fldCharType="begin"/>
        </w:r>
        <w:r w:rsidR="00472378">
          <w:rPr>
            <w:noProof/>
            <w:webHidden/>
          </w:rPr>
          <w:instrText xml:space="preserve"> PAGEREF _Toc18964917 \h </w:instrText>
        </w:r>
        <w:r w:rsidR="00472378">
          <w:rPr>
            <w:noProof/>
            <w:webHidden/>
          </w:rPr>
        </w:r>
        <w:r w:rsidR="00472378">
          <w:rPr>
            <w:noProof/>
            <w:webHidden/>
          </w:rPr>
          <w:fldChar w:fldCharType="separate"/>
        </w:r>
        <w:r w:rsidR="00472378">
          <w:rPr>
            <w:noProof/>
            <w:webHidden/>
          </w:rPr>
          <w:t>8</w:t>
        </w:r>
        <w:r w:rsidR="00472378">
          <w:rPr>
            <w:noProof/>
            <w:webHidden/>
          </w:rPr>
          <w:fldChar w:fldCharType="end"/>
        </w:r>
      </w:hyperlink>
    </w:p>
    <w:p w14:paraId="0BC8C4BE" w14:textId="6045E40E" w:rsidR="00472378" w:rsidRDefault="00BB77EE">
      <w:pPr>
        <w:pStyle w:val="Kazaloslik"/>
        <w:tabs>
          <w:tab w:val="right" w:leader="dot" w:pos="9396"/>
        </w:tabs>
        <w:rPr>
          <w:rFonts w:asciiTheme="minorHAnsi" w:eastAsiaTheme="minorEastAsia" w:hAnsiTheme="minorHAnsi"/>
          <w:noProof/>
          <w:sz w:val="22"/>
        </w:rPr>
      </w:pPr>
      <w:hyperlink w:anchor="_Toc18964918" w:history="1">
        <w:r w:rsidR="00472378" w:rsidRPr="00AF072A">
          <w:rPr>
            <w:rStyle w:val="Hiperpovezava"/>
            <w:noProof/>
          </w:rPr>
          <w:t>Tabela 3: Tečaj delnice GRVG v EUR</w:t>
        </w:r>
        <w:r w:rsidR="00472378">
          <w:rPr>
            <w:noProof/>
            <w:webHidden/>
          </w:rPr>
          <w:tab/>
        </w:r>
        <w:r w:rsidR="00472378">
          <w:rPr>
            <w:noProof/>
            <w:webHidden/>
          </w:rPr>
          <w:fldChar w:fldCharType="begin"/>
        </w:r>
        <w:r w:rsidR="00472378">
          <w:rPr>
            <w:noProof/>
            <w:webHidden/>
          </w:rPr>
          <w:instrText xml:space="preserve"> PAGEREF _Toc18964918 \h </w:instrText>
        </w:r>
        <w:r w:rsidR="00472378">
          <w:rPr>
            <w:noProof/>
            <w:webHidden/>
          </w:rPr>
        </w:r>
        <w:r w:rsidR="00472378">
          <w:rPr>
            <w:noProof/>
            <w:webHidden/>
          </w:rPr>
          <w:fldChar w:fldCharType="separate"/>
        </w:r>
        <w:r w:rsidR="00472378">
          <w:rPr>
            <w:noProof/>
            <w:webHidden/>
          </w:rPr>
          <w:t>8</w:t>
        </w:r>
        <w:r w:rsidR="00472378">
          <w:rPr>
            <w:noProof/>
            <w:webHidden/>
          </w:rPr>
          <w:fldChar w:fldCharType="end"/>
        </w:r>
      </w:hyperlink>
    </w:p>
    <w:p w14:paraId="303066A5" w14:textId="494B90C7" w:rsidR="00472378" w:rsidRDefault="00BB77EE">
      <w:pPr>
        <w:pStyle w:val="Kazaloslik"/>
        <w:tabs>
          <w:tab w:val="right" w:leader="dot" w:pos="9396"/>
        </w:tabs>
        <w:rPr>
          <w:rFonts w:asciiTheme="minorHAnsi" w:eastAsiaTheme="minorEastAsia" w:hAnsiTheme="minorHAnsi"/>
          <w:noProof/>
          <w:sz w:val="22"/>
        </w:rPr>
      </w:pPr>
      <w:hyperlink w:anchor="_Toc18964919" w:history="1">
        <w:r w:rsidR="00472378" w:rsidRPr="00AF072A">
          <w:rPr>
            <w:rStyle w:val="Hiperpovezava"/>
            <w:noProof/>
          </w:rPr>
          <w:t>Tabela 4: FCFF za obdobje 2013–2022</w:t>
        </w:r>
        <w:r w:rsidR="00472378">
          <w:rPr>
            <w:noProof/>
            <w:webHidden/>
          </w:rPr>
          <w:tab/>
        </w:r>
        <w:r w:rsidR="00472378">
          <w:rPr>
            <w:noProof/>
            <w:webHidden/>
          </w:rPr>
          <w:fldChar w:fldCharType="begin"/>
        </w:r>
        <w:r w:rsidR="00472378">
          <w:rPr>
            <w:noProof/>
            <w:webHidden/>
          </w:rPr>
          <w:instrText xml:space="preserve"> PAGEREF _Toc18964919 \h </w:instrText>
        </w:r>
        <w:r w:rsidR="00472378">
          <w:rPr>
            <w:noProof/>
            <w:webHidden/>
          </w:rPr>
        </w:r>
        <w:r w:rsidR="00472378">
          <w:rPr>
            <w:noProof/>
            <w:webHidden/>
          </w:rPr>
          <w:fldChar w:fldCharType="separate"/>
        </w:r>
        <w:r w:rsidR="00472378">
          <w:rPr>
            <w:noProof/>
            <w:webHidden/>
          </w:rPr>
          <w:t>21</w:t>
        </w:r>
        <w:r w:rsidR="00472378">
          <w:rPr>
            <w:noProof/>
            <w:webHidden/>
          </w:rPr>
          <w:fldChar w:fldCharType="end"/>
        </w:r>
      </w:hyperlink>
    </w:p>
    <w:p w14:paraId="4BDE9591" w14:textId="2579E1A9" w:rsidR="00472378" w:rsidRDefault="00BB77EE">
      <w:pPr>
        <w:pStyle w:val="Kazaloslik"/>
        <w:tabs>
          <w:tab w:val="right" w:leader="dot" w:pos="9396"/>
        </w:tabs>
        <w:rPr>
          <w:rFonts w:asciiTheme="minorHAnsi" w:eastAsiaTheme="minorEastAsia" w:hAnsiTheme="minorHAnsi"/>
          <w:noProof/>
          <w:sz w:val="22"/>
        </w:rPr>
      </w:pPr>
      <w:hyperlink w:anchor="_Toc18964920" w:history="1">
        <w:r w:rsidR="00472378" w:rsidRPr="00AF072A">
          <w:rPr>
            <w:rStyle w:val="Hiperpovezava"/>
            <w:noProof/>
          </w:rPr>
          <w:t>Tabela 5: Izračun diskontne stopnje</w:t>
        </w:r>
        <w:r w:rsidR="00472378">
          <w:rPr>
            <w:noProof/>
            <w:webHidden/>
          </w:rPr>
          <w:tab/>
        </w:r>
        <w:r w:rsidR="00472378">
          <w:rPr>
            <w:noProof/>
            <w:webHidden/>
          </w:rPr>
          <w:fldChar w:fldCharType="begin"/>
        </w:r>
        <w:r w:rsidR="00472378">
          <w:rPr>
            <w:noProof/>
            <w:webHidden/>
          </w:rPr>
          <w:instrText xml:space="preserve"> PAGEREF _Toc18964920 \h </w:instrText>
        </w:r>
        <w:r w:rsidR="00472378">
          <w:rPr>
            <w:noProof/>
            <w:webHidden/>
          </w:rPr>
        </w:r>
        <w:r w:rsidR="00472378">
          <w:rPr>
            <w:noProof/>
            <w:webHidden/>
          </w:rPr>
          <w:fldChar w:fldCharType="separate"/>
        </w:r>
        <w:r w:rsidR="00472378">
          <w:rPr>
            <w:noProof/>
            <w:webHidden/>
          </w:rPr>
          <w:t>23</w:t>
        </w:r>
        <w:r w:rsidR="00472378">
          <w:rPr>
            <w:noProof/>
            <w:webHidden/>
          </w:rPr>
          <w:fldChar w:fldCharType="end"/>
        </w:r>
      </w:hyperlink>
    </w:p>
    <w:p w14:paraId="351CBC69" w14:textId="4650B3EF" w:rsidR="00472378" w:rsidRDefault="00BB77EE">
      <w:pPr>
        <w:pStyle w:val="Kazaloslik"/>
        <w:tabs>
          <w:tab w:val="right" w:leader="dot" w:pos="9396"/>
        </w:tabs>
        <w:rPr>
          <w:rFonts w:asciiTheme="minorHAnsi" w:eastAsiaTheme="minorEastAsia" w:hAnsiTheme="minorHAnsi"/>
          <w:noProof/>
          <w:sz w:val="22"/>
        </w:rPr>
      </w:pPr>
      <w:hyperlink w:anchor="_Toc18964921" w:history="1">
        <w:r w:rsidR="00472378" w:rsidRPr="00AF072A">
          <w:rPr>
            <w:rStyle w:val="Hiperpovezava"/>
            <w:noProof/>
          </w:rPr>
          <w:t>Tabela 6: Diskontiran denarni tok</w:t>
        </w:r>
        <w:r w:rsidR="00472378">
          <w:rPr>
            <w:noProof/>
            <w:webHidden/>
          </w:rPr>
          <w:tab/>
        </w:r>
        <w:r w:rsidR="00472378">
          <w:rPr>
            <w:noProof/>
            <w:webHidden/>
          </w:rPr>
          <w:fldChar w:fldCharType="begin"/>
        </w:r>
        <w:r w:rsidR="00472378">
          <w:rPr>
            <w:noProof/>
            <w:webHidden/>
          </w:rPr>
          <w:instrText xml:space="preserve"> PAGEREF _Toc18964921 \h </w:instrText>
        </w:r>
        <w:r w:rsidR="00472378">
          <w:rPr>
            <w:noProof/>
            <w:webHidden/>
          </w:rPr>
        </w:r>
        <w:r w:rsidR="00472378">
          <w:rPr>
            <w:noProof/>
            <w:webHidden/>
          </w:rPr>
          <w:fldChar w:fldCharType="separate"/>
        </w:r>
        <w:r w:rsidR="00472378">
          <w:rPr>
            <w:noProof/>
            <w:webHidden/>
          </w:rPr>
          <w:t>23</w:t>
        </w:r>
        <w:r w:rsidR="00472378">
          <w:rPr>
            <w:noProof/>
            <w:webHidden/>
          </w:rPr>
          <w:fldChar w:fldCharType="end"/>
        </w:r>
      </w:hyperlink>
    </w:p>
    <w:p w14:paraId="488ECD75" w14:textId="734169F0" w:rsidR="005E2C10" w:rsidRDefault="005E2C10" w:rsidP="005E2C10">
      <w:pPr>
        <w:pStyle w:val="Brezrazmikov"/>
      </w:pPr>
      <w:r>
        <w:fldChar w:fldCharType="end"/>
      </w:r>
    </w:p>
    <w:p w14:paraId="296CEF0D" w14:textId="77777777" w:rsidR="005E2C10" w:rsidRPr="001D6776" w:rsidRDefault="005E2C10" w:rsidP="00F851CC">
      <w:pPr>
        <w:pStyle w:val="Brezrazmikov"/>
        <w:rPr>
          <w:b/>
          <w:bCs/>
        </w:rPr>
      </w:pPr>
    </w:p>
    <w:p w14:paraId="531B8EA1" w14:textId="77777777" w:rsidR="00F851CC" w:rsidRDefault="00F851CC" w:rsidP="00F851CC">
      <w:pPr>
        <w:pStyle w:val="Brezrazmikov"/>
      </w:pPr>
    </w:p>
    <w:p w14:paraId="633B8636" w14:textId="77777777" w:rsidR="00F851CC" w:rsidRDefault="00F851CC" w:rsidP="00F851CC">
      <w:pPr>
        <w:sectPr w:rsidR="00F851CC" w:rsidSect="007A6126">
          <w:footerReference w:type="default" r:id="rId7"/>
          <w:footerReference w:type="first" r:id="rId8"/>
          <w:pgSz w:w="12242" w:h="15842" w:code="1"/>
          <w:pgMar w:top="1418" w:right="1418" w:bottom="1418" w:left="1418" w:header="709" w:footer="709" w:gutter="0"/>
          <w:pgNumType w:fmt="lowerRoman" w:start="1"/>
          <w:cols w:space="708"/>
          <w:titlePg/>
          <w:docGrid w:linePitch="360"/>
        </w:sectPr>
      </w:pPr>
    </w:p>
    <w:p w14:paraId="7D98A9A5" w14:textId="77777777" w:rsidR="00F851CC" w:rsidRDefault="00F851CC" w:rsidP="00F851CC">
      <w:pPr>
        <w:pStyle w:val="Naslov1"/>
      </w:pPr>
      <w:bookmarkStart w:id="1" w:name="_Toc18964852"/>
      <w:r>
        <w:lastRenderedPageBreak/>
        <w:t>Uvod</w:t>
      </w:r>
      <w:bookmarkEnd w:id="1"/>
    </w:p>
    <w:p w14:paraId="64B10B96" w14:textId="77777777" w:rsidR="00F851CC" w:rsidRDefault="00F851CC" w:rsidP="00F851CC">
      <w:pPr>
        <w:pStyle w:val="Brezrazmikov"/>
        <w:rPr>
          <w:lang w:eastAsia="sl-SI"/>
        </w:rPr>
      </w:pPr>
      <w:r>
        <w:rPr>
          <w:lang w:eastAsia="sl-SI"/>
        </w:rPr>
        <w:t xml:space="preserve">Vrednotenje podjetja je določanje vrednosti na določen dan, ki bi jo lahko zahtevali za podjetje v primeru, da bi prišlo do prodaje. Vrednost se ocenjuje na podlagi preteklih finančnih podatkov, ki jih dobimo iz letnih poročil podjetja. Pred vrednotenjem je zato dobro temeljito spoznati podjetje ter pregledati letna poročila, da v njih razumemo, kako so predstavljene posamezne postavke. </w:t>
      </w:r>
    </w:p>
    <w:p w14:paraId="77166204" w14:textId="77777777" w:rsidR="00F851CC" w:rsidRDefault="00F851CC" w:rsidP="00F851CC">
      <w:pPr>
        <w:pStyle w:val="Brezrazmikov"/>
      </w:pPr>
    </w:p>
    <w:p w14:paraId="30BB1C34" w14:textId="77777777" w:rsidR="00F851CC" w:rsidRDefault="00F851CC" w:rsidP="00F851CC">
      <w:pPr>
        <w:pStyle w:val="Brezrazmikov"/>
        <w:rPr>
          <w:lang w:eastAsia="sl-SI"/>
        </w:rPr>
      </w:pPr>
      <w:r>
        <w:rPr>
          <w:lang w:eastAsia="sl-SI"/>
        </w:rPr>
        <w:t xml:space="preserve">Namen diplomskega dela je preučiti in predstaviti način vrednotenja po metodi diskontiranih denarnih tokov ter te teoretične osnove uporabiti na primeru delnice družbe Gorenje. Izbira podjetja je temeljila na podlagi aktualnosti, saj je družba bila v zadnjem letu nemalokrat omenjena v medijih zaradi informacij o prevzemu s strani kitajskega investitorja. </w:t>
      </w:r>
    </w:p>
    <w:p w14:paraId="1535CE56" w14:textId="77777777" w:rsidR="00F851CC" w:rsidRDefault="00F851CC" w:rsidP="00F851CC">
      <w:pPr>
        <w:pStyle w:val="Brezrazmikov"/>
        <w:rPr>
          <w:lang w:eastAsia="sl-SI"/>
        </w:rPr>
      </w:pPr>
    </w:p>
    <w:p w14:paraId="4C396BBE" w14:textId="77777777" w:rsidR="00F851CC" w:rsidRDefault="00F851CC" w:rsidP="00F851CC">
      <w:pPr>
        <w:pStyle w:val="Brezrazmikov"/>
        <w:rPr>
          <w:lang w:eastAsia="sl-SI"/>
        </w:rPr>
      </w:pPr>
      <w:r>
        <w:rPr>
          <w:lang w:eastAsia="sl-SI"/>
        </w:rPr>
        <w:t xml:space="preserve">Naš cilj je izračunati tržno vrednost delnice družbe Gorenje, d. d., na dan 31. 12. 2017 in tako ugotoviti, ali je podjetje na trgu realno ocenjeno ali je morda podcenjeno oz. precenjeno. Konec leta 2017 je vodstvo Skupine Gorenje izdalo razpis z željo pridobitve novih strateških partnerjev. Na koncu je bilo podjetje Gorenje kupljeno s strani kitajskega proizvajalca izdelkov za dom, družbe </w:t>
      </w:r>
      <w:proofErr w:type="spellStart"/>
      <w:r>
        <w:rPr>
          <w:lang w:eastAsia="sl-SI"/>
        </w:rPr>
        <w:t>Hisense</w:t>
      </w:r>
      <w:proofErr w:type="spellEnd"/>
      <w:r>
        <w:rPr>
          <w:lang w:eastAsia="sl-SI"/>
        </w:rPr>
        <w:t xml:space="preserve"> </w:t>
      </w:r>
      <w:r w:rsidRPr="00A90A3D">
        <w:rPr>
          <w:lang w:eastAsia="sl-SI"/>
        </w:rPr>
        <w:t xml:space="preserve">Luxembourg Home </w:t>
      </w:r>
      <w:proofErr w:type="spellStart"/>
      <w:r w:rsidRPr="00A90A3D">
        <w:rPr>
          <w:lang w:eastAsia="sl-SI"/>
        </w:rPr>
        <w:t>Appliance</w:t>
      </w:r>
      <w:proofErr w:type="spellEnd"/>
      <w:r w:rsidRPr="00A90A3D">
        <w:rPr>
          <w:lang w:eastAsia="sl-SI"/>
        </w:rPr>
        <w:t xml:space="preserve"> Holding</w:t>
      </w:r>
      <w:r>
        <w:rPr>
          <w:lang w:eastAsia="sl-SI"/>
        </w:rPr>
        <w:t xml:space="preserve">. Ta je za eno delnico podjetja Gorenje odštela dvakratnik cene, ki je takrat kotirala na borzi in tako plačala 12 EUR na delnico. </w:t>
      </w:r>
    </w:p>
    <w:p w14:paraId="51E74232" w14:textId="77777777" w:rsidR="00F851CC" w:rsidRDefault="00F851CC" w:rsidP="00F851CC">
      <w:pPr>
        <w:pStyle w:val="Brezrazmikov"/>
        <w:rPr>
          <w:lang w:eastAsia="sl-SI"/>
        </w:rPr>
      </w:pPr>
    </w:p>
    <w:p w14:paraId="2FE360C4" w14:textId="77777777" w:rsidR="00F851CC" w:rsidRDefault="00F851CC" w:rsidP="00F851CC">
      <w:pPr>
        <w:pStyle w:val="Brezrazmikov"/>
        <w:rPr>
          <w:lang w:eastAsia="sl-SI"/>
        </w:rPr>
      </w:pPr>
      <w:r>
        <w:rPr>
          <w:lang w:eastAsia="sl-SI"/>
        </w:rPr>
        <w:t xml:space="preserve">Dejavnike in razloge, ki so vplivali na investitorja, da je plačal tako visoko ceno za delnico, bomo iskali v zadnjem delu diplomske naloge. Poskušali bomo najti sinergije, ki so motivirale prevzemnika za odločitev, ter razložiti pribitek na tržno vrednost delnice v smislu kontrolne premije. </w:t>
      </w:r>
    </w:p>
    <w:p w14:paraId="4104088F" w14:textId="77777777" w:rsidR="00F851CC" w:rsidRDefault="00F851CC" w:rsidP="00F851CC">
      <w:pPr>
        <w:pStyle w:val="Naslov1"/>
      </w:pPr>
      <w:bookmarkStart w:id="2" w:name="_Toc18964853"/>
      <w:r>
        <w:t>Metode dela</w:t>
      </w:r>
      <w:bookmarkEnd w:id="2"/>
    </w:p>
    <w:p w14:paraId="52C9291E" w14:textId="77777777" w:rsidR="00F851CC" w:rsidRDefault="00F851CC" w:rsidP="00F851CC">
      <w:pPr>
        <w:pStyle w:val="Brezrazmikov"/>
      </w:pPr>
      <w:r>
        <w:rPr>
          <w:lang w:eastAsia="sl-SI"/>
        </w:rPr>
        <w:t xml:space="preserve">Na grobo poznamo tri načine ocenjevanja vrednosti premoženja. Prvi je na donosu zasnovan način, drugi je način tržnih primerjav ter tretji na sredstvih zasnovan način </w:t>
      </w:r>
      <w:r>
        <w:t xml:space="preserve">(Praznik B., </w:t>
      </w:r>
      <w:r w:rsidRPr="0016314D">
        <w:t>2004</w:t>
      </w:r>
      <w:r>
        <w:t>, str. 39).</w:t>
      </w:r>
      <w:r>
        <w:rPr>
          <w:lang w:eastAsia="sl-SI"/>
        </w:rPr>
        <w:t xml:space="preserve"> Metoda, po kateri </w:t>
      </w:r>
      <w:r w:rsidRPr="00B361F3">
        <w:rPr>
          <w:color w:val="000000" w:themeColor="text1"/>
          <w:lang w:eastAsia="sl-SI"/>
        </w:rPr>
        <w:t>bomo</w:t>
      </w:r>
      <w:r>
        <w:rPr>
          <w:lang w:eastAsia="sl-SI"/>
        </w:rPr>
        <w:t xml:space="preserve"> vrednotili delnico </w:t>
      </w:r>
      <w:r>
        <w:t>družbe Gorenja, d. d., spada v prvi način, ki je zasnovan na donosu.</w:t>
      </w:r>
    </w:p>
    <w:p w14:paraId="0A3B5591" w14:textId="77777777" w:rsidR="00F851CC" w:rsidRDefault="00F851CC" w:rsidP="00F851CC">
      <w:pPr>
        <w:pStyle w:val="Naslov2"/>
      </w:pPr>
      <w:bookmarkStart w:id="3" w:name="_Toc18964854"/>
      <w:r>
        <w:t>Metoda diskontiranih denarnih tokov</w:t>
      </w:r>
      <w:bookmarkEnd w:id="3"/>
    </w:p>
    <w:p w14:paraId="214E6435" w14:textId="77777777" w:rsidR="00F851CC" w:rsidRDefault="00F851CC" w:rsidP="00F851CC">
      <w:pPr>
        <w:pStyle w:val="Brezrazmikov"/>
        <w:rPr>
          <w:lang w:eastAsia="sl-SI"/>
        </w:rPr>
      </w:pPr>
      <w:r>
        <w:rPr>
          <w:lang w:eastAsia="sl-SI"/>
        </w:rPr>
        <w:t xml:space="preserve">Po metodi diskontiranih denarnih tokov je vrednost naložbe enaka vsoti vseh prihodnjih denarnih tokov, ki jih naložba zagotavlja imetniku. Pri tem se vsak denarni tok diskontira na sedanjo vrednost </w:t>
      </w:r>
      <w:r>
        <w:t xml:space="preserve">(Praznik B., </w:t>
      </w:r>
      <w:r w:rsidRPr="0016314D">
        <w:t>2004</w:t>
      </w:r>
      <w:r>
        <w:t xml:space="preserve">, str. 69). </w:t>
      </w:r>
      <w:r>
        <w:rPr>
          <w:lang w:eastAsia="sl-SI"/>
        </w:rPr>
        <w:t xml:space="preserve">V praksi je to ena izmed najpogosteje uporabljenih metod. Velja za teoretično najbolj korektno metodo, saj zajema sedanjo vrednost vseh uresničenih prihodnjih donosov. Kljub teoretični ustreznosti je v praksi problematična, saj je v večji meri odvisna od subjektivnih ocen ocenjevalca. Določiti je namreč treba donos na koncu vsakega leta ter diskontno stopnjo. Vsi ti podatki občutno vplivajo na končno vrednost, kar pomeni, da ob majhnih odstopanjih dobimo zelo različne vrednosti. </w:t>
      </w:r>
    </w:p>
    <w:p w14:paraId="57671880" w14:textId="77777777" w:rsidR="00F851CC" w:rsidRDefault="00F851CC" w:rsidP="00F851CC">
      <w:pPr>
        <w:pStyle w:val="Naslov3"/>
        <w:rPr>
          <w:lang w:eastAsia="sl-SI"/>
        </w:rPr>
      </w:pPr>
      <w:bookmarkStart w:id="4" w:name="_Toc18964855"/>
      <w:r>
        <w:rPr>
          <w:lang w:eastAsia="sl-SI"/>
        </w:rPr>
        <w:lastRenderedPageBreak/>
        <w:t>Prosti denarni tok podjetju</w:t>
      </w:r>
      <w:bookmarkEnd w:id="4"/>
    </w:p>
    <w:p w14:paraId="2923B8C6" w14:textId="77777777" w:rsidR="00F851CC" w:rsidRDefault="00F851CC" w:rsidP="00F851CC">
      <w:pPr>
        <w:pStyle w:val="Brezrazmikov"/>
        <w:rPr>
          <w:lang w:eastAsia="sl-SI"/>
        </w:rPr>
      </w:pPr>
      <w:r>
        <w:rPr>
          <w:lang w:eastAsia="sl-SI"/>
        </w:rPr>
        <w:t>Za donos, ki se ga uporablja pri izračunu vrednosti, vzamemo prosti denarni tok podjetju (v nadaljevanju FCFF).</w:t>
      </w:r>
      <w:r>
        <w:rPr>
          <w:rStyle w:val="Sprotnaopomba-sklic"/>
          <w:lang w:eastAsia="sl-SI"/>
        </w:rPr>
        <w:footnoteReference w:id="1"/>
      </w:r>
      <w:r>
        <w:rPr>
          <w:lang w:eastAsia="sl-SI"/>
        </w:rPr>
        <w:t xml:space="preserve"> To je denarni tok, ki ostane v podjetju po poplačilu vseh obveznosti. Tega dobimo tako, da dobiček iz poslovanja (v nadaljevanju EBIT) zmanjšamo za davek na dobiček, prištejemo amortizacijo in odštejemo vse investicije, tj. naložbe, v osnovna sredstva in obratni kapital (</w:t>
      </w:r>
      <w:proofErr w:type="spellStart"/>
      <w:r>
        <w:rPr>
          <w:lang w:eastAsia="sl-SI"/>
        </w:rPr>
        <w:t>Damodaran</w:t>
      </w:r>
      <w:proofErr w:type="spellEnd"/>
      <w:r>
        <w:rPr>
          <w:lang w:eastAsia="sl-SI"/>
        </w:rPr>
        <w:t xml:space="preserve"> A., 2001, str. 133):</w:t>
      </w:r>
      <w:r>
        <w:rPr>
          <w:rStyle w:val="Sprotnaopomba-sklic"/>
          <w:lang w:eastAsia="sl-SI"/>
        </w:rPr>
        <w:footnoteReference w:id="2"/>
      </w:r>
      <w:r>
        <w:rPr>
          <w:lang w:eastAsia="sl-SI"/>
        </w:rPr>
        <w:t xml:space="preserve"> </w:t>
      </w:r>
    </w:p>
    <w:p w14:paraId="5A744857"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767E83FE" w14:textId="77777777" w:rsidTr="007A6126">
        <w:tc>
          <w:tcPr>
            <w:tcW w:w="300" w:type="pct"/>
            <w:vAlign w:val="center"/>
          </w:tcPr>
          <w:p w14:paraId="3A08053A" w14:textId="77777777" w:rsidR="00F851CC" w:rsidRDefault="00F851CC" w:rsidP="007A6126">
            <w:pPr>
              <w:pStyle w:val="Brezrazmikov"/>
              <w:jc w:val="center"/>
              <w:rPr>
                <w:lang w:eastAsia="sl-SI"/>
              </w:rPr>
            </w:pPr>
          </w:p>
        </w:tc>
        <w:tc>
          <w:tcPr>
            <w:tcW w:w="4399" w:type="pct"/>
            <w:vAlign w:val="center"/>
          </w:tcPr>
          <w:p w14:paraId="60BD50D1" w14:textId="77777777" w:rsidR="00F851CC" w:rsidRDefault="00F851CC" w:rsidP="007A6126">
            <w:pPr>
              <w:pStyle w:val="Brezrazmikov"/>
              <w:jc w:val="center"/>
              <w:rPr>
                <w:lang w:eastAsia="sl-SI"/>
              </w:rPr>
            </w:pPr>
            <m:oMathPara>
              <m:oMath>
                <m:r>
                  <w:rPr>
                    <w:rFonts w:ascii="Cambria Math" w:hAnsi="Cambria Math"/>
                    <w:lang w:eastAsia="sl-SI"/>
                  </w:rPr>
                  <m:t>FCFF=EBIT*</m:t>
                </m:r>
                <m:d>
                  <m:dPr>
                    <m:ctrlPr>
                      <w:rPr>
                        <w:rFonts w:ascii="Cambria Math" w:hAnsi="Cambria Math"/>
                        <w:i/>
                        <w:lang w:eastAsia="sl-SI"/>
                      </w:rPr>
                    </m:ctrlPr>
                  </m:dPr>
                  <m:e>
                    <m:r>
                      <w:rPr>
                        <w:rFonts w:ascii="Cambria Math" w:hAnsi="Cambria Math"/>
                        <w:lang w:eastAsia="sl-SI"/>
                      </w:rPr>
                      <m:t>1-davek</m:t>
                    </m:r>
                  </m:e>
                </m:d>
                <m:r>
                  <w:rPr>
                    <w:rFonts w:ascii="Cambria Math" w:hAnsi="Cambria Math"/>
                    <w:lang w:eastAsia="sl-SI"/>
                  </w:rPr>
                  <m:t>+amortizacija-investicije</m:t>
                </m:r>
              </m:oMath>
            </m:oMathPara>
          </w:p>
        </w:tc>
        <w:tc>
          <w:tcPr>
            <w:tcW w:w="301" w:type="pct"/>
            <w:vAlign w:val="center"/>
          </w:tcPr>
          <w:p w14:paraId="59D25E75" w14:textId="4281C20D" w:rsidR="00F851CC" w:rsidRDefault="00F851CC" w:rsidP="007A6126">
            <w:pPr>
              <w:pStyle w:val="Brezrazmikov"/>
              <w:jc w:val="center"/>
              <w:rPr>
                <w:lang w:eastAsia="sl-SI"/>
              </w:rPr>
            </w:pPr>
            <w:bookmarkStart w:id="5" w:name="enacba1"/>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1</w:t>
            </w:r>
            <w:r>
              <w:rPr>
                <w:lang w:eastAsia="sl-SI"/>
              </w:rPr>
              <w:fldChar w:fldCharType="end"/>
            </w:r>
            <w:r>
              <w:rPr>
                <w:lang w:eastAsia="sl-SI"/>
              </w:rPr>
              <w:t>)</w:t>
            </w:r>
            <w:bookmarkEnd w:id="5"/>
          </w:p>
        </w:tc>
      </w:tr>
    </w:tbl>
    <w:p w14:paraId="6E9AB124" w14:textId="77777777" w:rsidR="00F851CC" w:rsidRDefault="00F851CC" w:rsidP="00F851CC">
      <w:pPr>
        <w:pStyle w:val="Naslov3"/>
      </w:pPr>
      <w:bookmarkStart w:id="6" w:name="_Toc18964856"/>
      <w:r>
        <w:t>Sedanja vrednost</w:t>
      </w:r>
      <w:bookmarkEnd w:id="6"/>
    </w:p>
    <w:p w14:paraId="3F8A944F" w14:textId="77777777" w:rsidR="00F851CC" w:rsidRDefault="00F851CC" w:rsidP="00F851CC">
      <w:pPr>
        <w:pStyle w:val="Brezrazmikov"/>
        <w:rPr>
          <w:lang w:eastAsia="sl-SI"/>
        </w:rPr>
      </w:pPr>
      <w:r>
        <w:rPr>
          <w:lang w:eastAsia="sl-SI"/>
        </w:rPr>
        <w:t>Vrednost, ki izhaja iz FCFF iz napovednega obdobja, imenujemo sedanja vrednost (v nadaljevanju PV).</w:t>
      </w:r>
      <w:r>
        <w:rPr>
          <w:rStyle w:val="Sprotnaopomba-sklic"/>
          <w:lang w:eastAsia="sl-SI"/>
        </w:rPr>
        <w:footnoteReference w:id="3"/>
      </w:r>
      <w:r>
        <w:rPr>
          <w:lang w:eastAsia="sl-SI"/>
        </w:rPr>
        <w:t xml:space="preserve"> Izračunamo jo tako, da vsak čisti denarni tok diskontiramo z ustrezno diskontno stopnjo (</w:t>
      </w:r>
      <w:proofErr w:type="spellStart"/>
      <w:r>
        <w:rPr>
          <w:lang w:eastAsia="sl-SI"/>
        </w:rPr>
        <w:t>Damodaran</w:t>
      </w:r>
      <w:proofErr w:type="spellEnd"/>
      <w:r>
        <w:rPr>
          <w:lang w:eastAsia="sl-SI"/>
        </w:rPr>
        <w:t xml:space="preserve"> A., 2012, str. 14): </w:t>
      </w:r>
    </w:p>
    <w:p w14:paraId="426879A2"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67782E74" w14:textId="77777777" w:rsidTr="007A6126">
        <w:tc>
          <w:tcPr>
            <w:tcW w:w="300" w:type="pct"/>
            <w:vAlign w:val="center"/>
          </w:tcPr>
          <w:p w14:paraId="3D0F1B03" w14:textId="77777777" w:rsidR="00F851CC" w:rsidRDefault="00F851CC" w:rsidP="007A6126">
            <w:pPr>
              <w:pStyle w:val="Brezrazmikov"/>
              <w:jc w:val="center"/>
              <w:rPr>
                <w:lang w:eastAsia="sl-SI"/>
              </w:rPr>
            </w:pPr>
          </w:p>
        </w:tc>
        <w:tc>
          <w:tcPr>
            <w:tcW w:w="4399" w:type="pct"/>
            <w:vAlign w:val="center"/>
          </w:tcPr>
          <w:p w14:paraId="078C0FCB" w14:textId="7431AA38" w:rsidR="00F851CC" w:rsidRDefault="00F851CC" w:rsidP="007A6126">
            <w:pPr>
              <w:pStyle w:val="Brezrazmikov"/>
              <w:jc w:val="center"/>
              <w:rPr>
                <w:lang w:eastAsia="sl-SI"/>
              </w:rPr>
            </w:pPr>
            <m:oMathPara>
              <m:oMath>
                <m:r>
                  <w:rPr>
                    <w:rFonts w:ascii="Cambria Math" w:hAnsi="Cambria Math"/>
                    <w:lang w:eastAsia="sl-SI"/>
                  </w:rPr>
                  <m:t xml:space="preserve">PV= </m:t>
                </m:r>
                <m:nary>
                  <m:naryPr>
                    <m:chr m:val="∑"/>
                    <m:limLoc m:val="undOvr"/>
                    <m:ctrlPr>
                      <w:rPr>
                        <w:rFonts w:ascii="Cambria Math" w:hAnsi="Cambria Math"/>
                        <w:i/>
                        <w:lang w:eastAsia="sl-SI"/>
                      </w:rPr>
                    </m:ctrlPr>
                  </m:naryPr>
                  <m:sub>
                    <m:r>
                      <w:rPr>
                        <w:rFonts w:ascii="Cambria Math" w:hAnsi="Cambria Math"/>
                        <w:lang w:eastAsia="sl-SI"/>
                      </w:rPr>
                      <m:t>t=1</m:t>
                    </m:r>
                  </m:sub>
                  <m:sup>
                    <m:r>
                      <w:rPr>
                        <w:rFonts w:ascii="Cambria Math" w:hAnsi="Cambria Math"/>
                        <w:lang w:eastAsia="sl-SI"/>
                      </w:rPr>
                      <m:t>n</m:t>
                    </m:r>
                  </m:sup>
                  <m:e>
                    <m:f>
                      <m:fPr>
                        <m:ctrlPr>
                          <w:rPr>
                            <w:rFonts w:ascii="Cambria Math" w:hAnsi="Cambria Math"/>
                            <w:i/>
                            <w:lang w:eastAsia="sl-SI"/>
                          </w:rPr>
                        </m:ctrlPr>
                      </m:fPr>
                      <m:num>
                        <m:sSub>
                          <m:sSubPr>
                            <m:ctrlPr>
                              <w:rPr>
                                <w:rFonts w:ascii="Cambria Math" w:hAnsi="Cambria Math"/>
                                <w:i/>
                                <w:lang w:eastAsia="sl-SI"/>
                              </w:rPr>
                            </m:ctrlPr>
                          </m:sSubPr>
                          <m:e>
                            <m:r>
                              <w:rPr>
                                <w:rFonts w:ascii="Cambria Math" w:hAnsi="Cambria Math"/>
                                <w:lang w:eastAsia="sl-SI"/>
                              </w:rPr>
                              <m:t>FCFF</m:t>
                            </m:r>
                          </m:e>
                          <m:sub>
                            <m:r>
                              <w:rPr>
                                <w:rFonts w:ascii="Cambria Math" w:hAnsi="Cambria Math"/>
                                <w:lang w:eastAsia="sl-SI"/>
                              </w:rPr>
                              <m:t>t</m:t>
                            </m:r>
                          </m:sub>
                        </m:sSub>
                      </m:num>
                      <m:den>
                        <m:sSup>
                          <m:sSupPr>
                            <m:ctrlPr>
                              <w:rPr>
                                <w:rFonts w:ascii="Cambria Math" w:hAnsi="Cambria Math"/>
                                <w:i/>
                                <w:lang w:eastAsia="sl-SI"/>
                              </w:rPr>
                            </m:ctrlPr>
                          </m:sSupPr>
                          <m:e>
                            <m:r>
                              <w:rPr>
                                <w:rFonts w:ascii="Cambria Math" w:hAnsi="Cambria Math"/>
                                <w:lang w:eastAsia="sl-SI"/>
                              </w:rPr>
                              <m:t>(1+r)</m:t>
                            </m:r>
                          </m:e>
                          <m:sup>
                            <m:r>
                              <w:rPr>
                                <w:rFonts w:ascii="Cambria Math" w:hAnsi="Cambria Math"/>
                                <w:lang w:eastAsia="sl-SI"/>
                              </w:rPr>
                              <m:t>t</m:t>
                            </m:r>
                          </m:sup>
                        </m:sSup>
                      </m:den>
                    </m:f>
                  </m:e>
                </m:nary>
                <m:r>
                  <w:rPr>
                    <w:rFonts w:ascii="Cambria Math" w:hAnsi="Cambria Math"/>
                    <w:lang w:eastAsia="sl-SI"/>
                  </w:rPr>
                  <m:t>=</m:t>
                </m:r>
                <m:f>
                  <m:fPr>
                    <m:ctrlPr>
                      <w:rPr>
                        <w:rFonts w:ascii="Cambria Math" w:hAnsi="Cambria Math"/>
                        <w:i/>
                        <w:lang w:eastAsia="sl-SI"/>
                      </w:rPr>
                    </m:ctrlPr>
                  </m:fPr>
                  <m:num>
                    <m:sSub>
                      <m:sSubPr>
                        <m:ctrlPr>
                          <w:rPr>
                            <w:rFonts w:ascii="Cambria Math" w:hAnsi="Cambria Math"/>
                            <w:i/>
                            <w:lang w:eastAsia="sl-SI"/>
                          </w:rPr>
                        </m:ctrlPr>
                      </m:sSubPr>
                      <m:e>
                        <m:r>
                          <w:rPr>
                            <w:rFonts w:ascii="Cambria Math" w:hAnsi="Cambria Math"/>
                            <w:lang w:eastAsia="sl-SI"/>
                          </w:rPr>
                          <m:t>FCFF</m:t>
                        </m:r>
                      </m:e>
                      <m:sub>
                        <m:r>
                          <w:rPr>
                            <w:rFonts w:ascii="Cambria Math" w:hAnsi="Cambria Math"/>
                            <w:lang w:eastAsia="sl-SI"/>
                          </w:rPr>
                          <m:t>1</m:t>
                        </m:r>
                      </m:sub>
                    </m:sSub>
                  </m:num>
                  <m:den>
                    <m:r>
                      <w:rPr>
                        <w:rFonts w:ascii="Cambria Math" w:hAnsi="Cambria Math"/>
                        <w:lang w:eastAsia="sl-SI"/>
                      </w:rPr>
                      <m:t>(1+r)</m:t>
                    </m:r>
                  </m:den>
                </m:f>
                <m:r>
                  <w:rPr>
                    <w:rFonts w:ascii="Cambria Math" w:hAnsi="Cambria Math"/>
                    <w:lang w:eastAsia="sl-SI"/>
                  </w:rPr>
                  <m:t>+</m:t>
                </m:r>
                <m:f>
                  <m:fPr>
                    <m:ctrlPr>
                      <w:rPr>
                        <w:rFonts w:ascii="Cambria Math" w:hAnsi="Cambria Math"/>
                        <w:i/>
                        <w:lang w:eastAsia="sl-SI"/>
                      </w:rPr>
                    </m:ctrlPr>
                  </m:fPr>
                  <m:num>
                    <m:sSub>
                      <m:sSubPr>
                        <m:ctrlPr>
                          <w:rPr>
                            <w:rFonts w:ascii="Cambria Math" w:hAnsi="Cambria Math"/>
                            <w:i/>
                            <w:lang w:eastAsia="sl-SI"/>
                          </w:rPr>
                        </m:ctrlPr>
                      </m:sSubPr>
                      <m:e>
                        <m:r>
                          <w:rPr>
                            <w:rFonts w:ascii="Cambria Math" w:hAnsi="Cambria Math"/>
                            <w:lang w:eastAsia="sl-SI"/>
                          </w:rPr>
                          <m:t>FCFF</m:t>
                        </m:r>
                      </m:e>
                      <m:sub>
                        <m:r>
                          <w:rPr>
                            <w:rFonts w:ascii="Cambria Math" w:hAnsi="Cambria Math"/>
                            <w:lang w:eastAsia="sl-SI"/>
                          </w:rPr>
                          <m:t>2</m:t>
                        </m:r>
                      </m:sub>
                    </m:sSub>
                  </m:num>
                  <m:den>
                    <m:sSup>
                      <m:sSupPr>
                        <m:ctrlPr>
                          <w:rPr>
                            <w:rFonts w:ascii="Cambria Math" w:hAnsi="Cambria Math"/>
                            <w:i/>
                            <w:lang w:eastAsia="sl-SI"/>
                          </w:rPr>
                        </m:ctrlPr>
                      </m:sSupPr>
                      <m:e>
                        <m:r>
                          <w:rPr>
                            <w:rFonts w:ascii="Cambria Math" w:hAnsi="Cambria Math"/>
                            <w:lang w:eastAsia="sl-SI"/>
                          </w:rPr>
                          <m:t>(1+r)</m:t>
                        </m:r>
                      </m:e>
                      <m:sup>
                        <m:r>
                          <w:rPr>
                            <w:rFonts w:ascii="Cambria Math" w:hAnsi="Cambria Math"/>
                            <w:lang w:eastAsia="sl-SI"/>
                          </w:rPr>
                          <m:t>2</m:t>
                        </m:r>
                      </m:sup>
                    </m:sSup>
                  </m:den>
                </m:f>
                <m:r>
                  <w:rPr>
                    <w:rFonts w:ascii="Cambria Math" w:hAnsi="Cambria Math"/>
                    <w:lang w:eastAsia="sl-SI"/>
                  </w:rPr>
                  <m:t xml:space="preserve">+…+ </m:t>
                </m:r>
                <m:f>
                  <m:fPr>
                    <m:ctrlPr>
                      <w:rPr>
                        <w:rFonts w:ascii="Cambria Math" w:hAnsi="Cambria Math"/>
                        <w:i/>
                        <w:lang w:eastAsia="sl-SI"/>
                      </w:rPr>
                    </m:ctrlPr>
                  </m:fPr>
                  <m:num>
                    <m:sSub>
                      <m:sSubPr>
                        <m:ctrlPr>
                          <w:rPr>
                            <w:rFonts w:ascii="Cambria Math" w:hAnsi="Cambria Math"/>
                            <w:i/>
                            <w:lang w:eastAsia="sl-SI"/>
                          </w:rPr>
                        </m:ctrlPr>
                      </m:sSubPr>
                      <m:e>
                        <m:r>
                          <w:rPr>
                            <w:rFonts w:ascii="Cambria Math" w:hAnsi="Cambria Math"/>
                            <w:lang w:eastAsia="sl-SI"/>
                          </w:rPr>
                          <m:t>FCFF</m:t>
                        </m:r>
                      </m:e>
                      <m:sub>
                        <m:r>
                          <w:rPr>
                            <w:rFonts w:ascii="Cambria Math" w:hAnsi="Cambria Math"/>
                            <w:lang w:eastAsia="sl-SI"/>
                          </w:rPr>
                          <m:t>n</m:t>
                        </m:r>
                      </m:sub>
                    </m:sSub>
                  </m:num>
                  <m:den>
                    <m:sSup>
                      <m:sSupPr>
                        <m:ctrlPr>
                          <w:rPr>
                            <w:rFonts w:ascii="Cambria Math" w:hAnsi="Cambria Math"/>
                            <w:i/>
                            <w:lang w:eastAsia="sl-SI"/>
                          </w:rPr>
                        </m:ctrlPr>
                      </m:sSupPr>
                      <m:e>
                        <m:r>
                          <w:rPr>
                            <w:rFonts w:ascii="Cambria Math" w:hAnsi="Cambria Math"/>
                            <w:lang w:eastAsia="sl-SI"/>
                          </w:rPr>
                          <m:t>(1+r)</m:t>
                        </m:r>
                      </m:e>
                      <m:sup>
                        <m:r>
                          <w:rPr>
                            <w:rFonts w:ascii="Cambria Math" w:hAnsi="Cambria Math"/>
                            <w:lang w:eastAsia="sl-SI"/>
                          </w:rPr>
                          <m:t>n</m:t>
                        </m:r>
                      </m:sup>
                    </m:sSup>
                  </m:den>
                </m:f>
              </m:oMath>
            </m:oMathPara>
          </w:p>
        </w:tc>
        <w:tc>
          <w:tcPr>
            <w:tcW w:w="301" w:type="pct"/>
            <w:vAlign w:val="center"/>
          </w:tcPr>
          <w:p w14:paraId="2346A016" w14:textId="174DC25C" w:rsidR="00F851CC" w:rsidRDefault="00F851CC" w:rsidP="007A6126">
            <w:pPr>
              <w:pStyle w:val="Brezrazmikov"/>
              <w:jc w:val="center"/>
              <w:rPr>
                <w:lang w:eastAsia="sl-SI"/>
              </w:rPr>
            </w:pPr>
            <w:bookmarkStart w:id="7" w:name="enacba2"/>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2</w:t>
            </w:r>
            <w:r>
              <w:rPr>
                <w:lang w:eastAsia="sl-SI"/>
              </w:rPr>
              <w:fldChar w:fldCharType="end"/>
            </w:r>
            <w:r>
              <w:rPr>
                <w:lang w:eastAsia="sl-SI"/>
              </w:rPr>
              <w:t>)</w:t>
            </w:r>
            <w:bookmarkEnd w:id="7"/>
            <w:r>
              <w:rPr>
                <w:lang w:eastAsia="sl-SI"/>
              </w:rPr>
              <w:t>,</w:t>
            </w:r>
          </w:p>
        </w:tc>
      </w:tr>
    </w:tbl>
    <w:p w14:paraId="089AF667" w14:textId="77777777" w:rsidR="00F851CC" w:rsidRDefault="00F851CC" w:rsidP="00F851CC">
      <w:pPr>
        <w:pStyle w:val="Brezrazmikov"/>
      </w:pPr>
      <w: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3576"/>
      </w:tblGrid>
      <w:tr w:rsidR="00F851CC" w:rsidRPr="00274BDD" w14:paraId="06B78978" w14:textId="77777777" w:rsidTr="007A6126">
        <w:tc>
          <w:tcPr>
            <w:tcW w:w="0" w:type="auto"/>
          </w:tcPr>
          <w:p w14:paraId="3BEB943A" w14:textId="77777777" w:rsidR="00F851CC" w:rsidRPr="00274BDD" w:rsidRDefault="00F851CC" w:rsidP="007A6126">
            <w:pPr>
              <w:pStyle w:val="Brezrazmikov"/>
              <w:rPr>
                <w:i/>
                <w:iCs/>
              </w:rPr>
            </w:pPr>
            <w:r w:rsidRPr="00274BDD">
              <w:rPr>
                <w:i/>
                <w:iCs/>
              </w:rPr>
              <w:t>PV</w:t>
            </w:r>
          </w:p>
        </w:tc>
        <w:tc>
          <w:tcPr>
            <w:tcW w:w="0" w:type="auto"/>
          </w:tcPr>
          <w:p w14:paraId="57A2417F" w14:textId="77777777" w:rsidR="00F851CC" w:rsidRPr="00274BDD" w:rsidRDefault="00F851CC" w:rsidP="007A6126">
            <w:pPr>
              <w:pStyle w:val="Brezrazmikov"/>
              <w:rPr>
                <w:i/>
                <w:iCs/>
              </w:rPr>
            </w:pPr>
            <w:r w:rsidRPr="00274BDD">
              <w:rPr>
                <w:i/>
                <w:iCs/>
              </w:rPr>
              <w:t>sedanja vrednost</w:t>
            </w:r>
          </w:p>
        </w:tc>
      </w:tr>
      <w:tr w:rsidR="00F851CC" w:rsidRPr="00274BDD" w14:paraId="00BFE2E0" w14:textId="77777777" w:rsidTr="007A6126">
        <w:tc>
          <w:tcPr>
            <w:tcW w:w="0" w:type="auto"/>
          </w:tcPr>
          <w:p w14:paraId="4A217C63" w14:textId="77777777" w:rsidR="00F851CC" w:rsidRPr="00274BDD" w:rsidRDefault="00F851CC" w:rsidP="007A6126">
            <w:pPr>
              <w:pStyle w:val="Brezrazmikov"/>
              <w:rPr>
                <w:i/>
                <w:iCs/>
                <w:vertAlign w:val="subscript"/>
              </w:rPr>
            </w:pPr>
            <w:proofErr w:type="spellStart"/>
            <w:r w:rsidRPr="00274BDD">
              <w:rPr>
                <w:i/>
                <w:iCs/>
              </w:rPr>
              <w:t>FCFF</w:t>
            </w:r>
            <w:r w:rsidRPr="00274BDD">
              <w:rPr>
                <w:i/>
                <w:iCs/>
                <w:vertAlign w:val="subscript"/>
              </w:rPr>
              <w:t>t</w:t>
            </w:r>
            <w:proofErr w:type="spellEnd"/>
          </w:p>
        </w:tc>
        <w:tc>
          <w:tcPr>
            <w:tcW w:w="0" w:type="auto"/>
          </w:tcPr>
          <w:p w14:paraId="01ADB9DC" w14:textId="77777777" w:rsidR="00F851CC" w:rsidRPr="00274BDD" w:rsidRDefault="00F851CC" w:rsidP="007A6126">
            <w:pPr>
              <w:pStyle w:val="Brezrazmikov"/>
              <w:rPr>
                <w:i/>
                <w:iCs/>
              </w:rPr>
            </w:pPr>
            <w:r w:rsidRPr="00274BDD">
              <w:rPr>
                <w:i/>
                <w:iCs/>
              </w:rPr>
              <w:t>prosti denarni tok podjetj</w:t>
            </w:r>
            <w:r>
              <w:rPr>
                <w:i/>
                <w:iCs/>
              </w:rPr>
              <w:t>u</w:t>
            </w:r>
            <w:r w:rsidRPr="00274BDD">
              <w:rPr>
                <w:i/>
                <w:iCs/>
              </w:rPr>
              <w:t xml:space="preserve"> v času t</w:t>
            </w:r>
          </w:p>
        </w:tc>
      </w:tr>
      <w:tr w:rsidR="00F851CC" w:rsidRPr="00274BDD" w14:paraId="6D96E31C" w14:textId="77777777" w:rsidTr="007A6126">
        <w:tc>
          <w:tcPr>
            <w:tcW w:w="0" w:type="auto"/>
          </w:tcPr>
          <w:p w14:paraId="5C6F5676" w14:textId="77777777" w:rsidR="00F851CC" w:rsidRPr="00274BDD" w:rsidRDefault="00F851CC" w:rsidP="007A6126">
            <w:pPr>
              <w:pStyle w:val="Brezrazmikov"/>
              <w:rPr>
                <w:i/>
                <w:iCs/>
              </w:rPr>
            </w:pPr>
            <w:r>
              <w:rPr>
                <w:i/>
                <w:iCs/>
              </w:rPr>
              <w:t>N</w:t>
            </w:r>
          </w:p>
        </w:tc>
        <w:tc>
          <w:tcPr>
            <w:tcW w:w="0" w:type="auto"/>
          </w:tcPr>
          <w:p w14:paraId="3654C85A" w14:textId="77777777" w:rsidR="00F851CC" w:rsidRPr="00274BDD" w:rsidRDefault="00F851CC" w:rsidP="007A6126">
            <w:pPr>
              <w:pStyle w:val="Brezrazmikov"/>
              <w:rPr>
                <w:i/>
                <w:iCs/>
              </w:rPr>
            </w:pPr>
            <w:r w:rsidRPr="00274BDD">
              <w:rPr>
                <w:i/>
                <w:iCs/>
              </w:rPr>
              <w:t>število let napovedovanja</w:t>
            </w:r>
          </w:p>
        </w:tc>
      </w:tr>
      <w:tr w:rsidR="00F851CC" w:rsidRPr="00274BDD" w14:paraId="70CB9210" w14:textId="77777777" w:rsidTr="007A6126">
        <w:tc>
          <w:tcPr>
            <w:tcW w:w="0" w:type="auto"/>
          </w:tcPr>
          <w:p w14:paraId="50938EC6" w14:textId="77777777" w:rsidR="00F851CC" w:rsidRPr="00274BDD" w:rsidRDefault="00F851CC" w:rsidP="007A6126">
            <w:pPr>
              <w:pStyle w:val="Brezrazmikov"/>
              <w:rPr>
                <w:i/>
                <w:iCs/>
              </w:rPr>
            </w:pPr>
            <w:r>
              <w:rPr>
                <w:i/>
                <w:iCs/>
              </w:rPr>
              <w:t>R</w:t>
            </w:r>
          </w:p>
        </w:tc>
        <w:tc>
          <w:tcPr>
            <w:tcW w:w="0" w:type="auto"/>
          </w:tcPr>
          <w:p w14:paraId="47D92775" w14:textId="77777777" w:rsidR="00F851CC" w:rsidRPr="00274BDD" w:rsidRDefault="00F851CC" w:rsidP="007A6126">
            <w:pPr>
              <w:pStyle w:val="Brezrazmikov"/>
              <w:rPr>
                <w:i/>
                <w:iCs/>
              </w:rPr>
            </w:pPr>
            <w:r w:rsidRPr="00274BDD">
              <w:rPr>
                <w:i/>
                <w:iCs/>
              </w:rPr>
              <w:t>diskontna stopnja</w:t>
            </w:r>
          </w:p>
        </w:tc>
      </w:tr>
    </w:tbl>
    <w:p w14:paraId="4CAF527E" w14:textId="77777777" w:rsidR="00F851CC" w:rsidRDefault="00F851CC" w:rsidP="00F851CC">
      <w:pPr>
        <w:pStyle w:val="Naslov3"/>
      </w:pPr>
      <w:bookmarkStart w:id="8" w:name="_Toc18964857"/>
      <w:r>
        <w:t>Preostala vrednost</w:t>
      </w:r>
      <w:bookmarkEnd w:id="8"/>
    </w:p>
    <w:p w14:paraId="7CFC8E27" w14:textId="59A4C5CB" w:rsidR="006B1D0C" w:rsidRDefault="00F851CC" w:rsidP="00F851CC">
      <w:pPr>
        <w:pStyle w:val="Brezrazmikov"/>
        <w:rPr>
          <w:lang w:eastAsia="sl-SI"/>
        </w:rPr>
      </w:pPr>
      <w:r>
        <w:rPr>
          <w:lang w:eastAsia="sl-SI"/>
        </w:rPr>
        <w:t xml:space="preserve">Pri ocenjevanju vrednosti naložb v lastniški kapital podjetij predpostavljamo, da trajajo v neskončnost. Ker donosov ne moremo oz. bi bilo tudi nesmiselno napovedati v neskončnost, jih običajno napovemo za obdobje treh do deset let. Pri izračunu vrednosti zato ločimo dve obdobji, in sicer obdobje napovedi, katero vrednost izračunamo po enačbi </w:t>
      </w:r>
      <w:r>
        <w:rPr>
          <w:lang w:eastAsia="sl-SI"/>
        </w:rPr>
        <w:fldChar w:fldCharType="begin"/>
      </w:r>
      <w:r>
        <w:rPr>
          <w:lang w:eastAsia="sl-SI"/>
        </w:rPr>
        <w:instrText xml:space="preserve"> REF enacba2 \h </w:instrText>
      </w:r>
      <w:r>
        <w:rPr>
          <w:lang w:eastAsia="sl-SI"/>
        </w:rPr>
      </w:r>
      <w:r>
        <w:rPr>
          <w:lang w:eastAsia="sl-SI"/>
        </w:rPr>
        <w:fldChar w:fldCharType="separate"/>
      </w:r>
      <w:r w:rsidR="00325440">
        <w:rPr>
          <w:lang w:eastAsia="sl-SI"/>
        </w:rPr>
        <w:t>(</w:t>
      </w:r>
      <w:r w:rsidR="00325440">
        <w:rPr>
          <w:noProof/>
          <w:lang w:eastAsia="sl-SI"/>
        </w:rPr>
        <w:t>2</w:t>
      </w:r>
      <w:r w:rsidR="00325440">
        <w:rPr>
          <w:lang w:eastAsia="sl-SI"/>
        </w:rPr>
        <w:t>)</w:t>
      </w:r>
      <w:r>
        <w:rPr>
          <w:lang w:eastAsia="sl-SI"/>
        </w:rPr>
        <w:fldChar w:fldCharType="end"/>
      </w:r>
      <w:r>
        <w:rPr>
          <w:lang w:eastAsia="sl-SI"/>
        </w:rPr>
        <w:t>, ter obdobje po napovedanem obdobju. Preostala vrednost naložbe (v nadaljevanju TV) je vrednost, ki jo dobimo iz denarnega toka po napovednem obdobju.</w:t>
      </w:r>
      <w:r>
        <w:rPr>
          <w:rStyle w:val="Sprotnaopomba-sklic"/>
          <w:lang w:eastAsia="sl-SI"/>
        </w:rPr>
        <w:footnoteReference w:id="4"/>
      </w:r>
      <w:r>
        <w:rPr>
          <w:lang w:eastAsia="sl-SI"/>
        </w:rPr>
        <w:t xml:space="preserve"> Ker pa je te denarne tokove težje oceniti, si pomagamo z modelom za izračun preostale vrednosti, ki namesto eksplicitnega izračuna denarnih tokov upošteva pričakovano rast denarnih tokov.</w:t>
      </w:r>
      <w:r>
        <w:rPr>
          <w:rStyle w:val="Sprotnaopomba-sklic"/>
          <w:i/>
          <w:iCs/>
          <w:lang w:eastAsia="sl-SI"/>
        </w:rPr>
        <w:footnoteReference w:id="5"/>
      </w:r>
      <w:r>
        <w:rPr>
          <w:lang w:eastAsia="sl-SI"/>
        </w:rPr>
        <w:t xml:space="preserve"> V praksi se najpogosteje predpostavi, da pričakovana stopnja rasti znaša nekje med 0 in 2 % </w:t>
      </w:r>
      <w:r>
        <w:t xml:space="preserve">(Bojan Praznik, </w:t>
      </w:r>
      <w:r w:rsidRPr="0016314D">
        <w:t>2004</w:t>
      </w:r>
      <w:r>
        <w:t>, str. 39). Ko izračunamo preostalo vrednost, jo moramo še diskontirati z ustrezno diskontno</w:t>
      </w:r>
      <w:r>
        <w:rPr>
          <w:lang w:eastAsia="sl-SI"/>
        </w:rPr>
        <w:t xml:space="preserve"> stopnjo ter upoštevati število let </w:t>
      </w:r>
      <w:r>
        <w:t>konkretne</w:t>
      </w:r>
      <w:r>
        <w:rPr>
          <w:lang w:eastAsia="sl-SI"/>
        </w:rPr>
        <w:t xml:space="preserve"> napovedi. </w:t>
      </w:r>
    </w:p>
    <w:p w14:paraId="7FE65AF6" w14:textId="77777777" w:rsidR="00F851CC" w:rsidRDefault="00F851CC" w:rsidP="00F851CC">
      <w:pPr>
        <w:pStyle w:val="Brezrazmikov"/>
        <w:rPr>
          <w:lang w:eastAsia="sl-SI"/>
        </w:rPr>
      </w:pPr>
      <w:r>
        <w:rPr>
          <w:lang w:eastAsia="sl-SI"/>
        </w:rPr>
        <w:lastRenderedPageBreak/>
        <w:t>Preostalo vrednost izračunamo kot:</w:t>
      </w:r>
    </w:p>
    <w:p w14:paraId="433C85AE" w14:textId="77777777" w:rsidR="00F851CC" w:rsidRDefault="00F851CC" w:rsidP="00F851CC">
      <w:pPr>
        <w:pStyle w:val="Brezrazmikov"/>
        <w:rPr>
          <w:lang w:eastAsia="sl-SI"/>
        </w:rPr>
      </w:pPr>
      <w:r>
        <w:rPr>
          <w:lang w:eastAsia="sl-SI"/>
        </w:rPr>
        <w:t xml:space="preserve"> </w:t>
      </w: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66268676" w14:textId="77777777" w:rsidTr="007A6126">
        <w:tc>
          <w:tcPr>
            <w:tcW w:w="300" w:type="pct"/>
          </w:tcPr>
          <w:p w14:paraId="03E136DC" w14:textId="77777777" w:rsidR="00F851CC" w:rsidRDefault="00F851CC" w:rsidP="007A6126">
            <w:pPr>
              <w:pStyle w:val="Brezrazmikov"/>
              <w:rPr>
                <w:lang w:eastAsia="sl-SI"/>
              </w:rPr>
            </w:pPr>
          </w:p>
        </w:tc>
        <w:tc>
          <w:tcPr>
            <w:tcW w:w="4399" w:type="pct"/>
            <w:vAlign w:val="center"/>
          </w:tcPr>
          <w:p w14:paraId="720256CF" w14:textId="77777777" w:rsidR="00F851CC" w:rsidRDefault="00F851CC" w:rsidP="007A6126">
            <w:pPr>
              <w:pStyle w:val="Brezrazmikov"/>
              <w:jc w:val="center"/>
              <w:rPr>
                <w:lang w:eastAsia="sl-SI"/>
              </w:rPr>
            </w:pPr>
            <m:oMathPara>
              <m:oMath>
                <m:r>
                  <w:rPr>
                    <w:rFonts w:ascii="Cambria Math" w:hAnsi="Cambria Math"/>
                    <w:lang w:eastAsia="sl-SI"/>
                  </w:rPr>
                  <m:t xml:space="preserve">TV= </m:t>
                </m:r>
                <m:f>
                  <m:fPr>
                    <m:ctrlPr>
                      <w:rPr>
                        <w:rFonts w:ascii="Cambria Math" w:hAnsi="Cambria Math"/>
                        <w:i/>
                        <w:color w:val="000000" w:themeColor="text1"/>
                        <w:lang w:eastAsia="sl-SI"/>
                      </w:rPr>
                    </m:ctrlPr>
                  </m:fPr>
                  <m:num>
                    <m:sSub>
                      <m:sSubPr>
                        <m:ctrlPr>
                          <w:rPr>
                            <w:rFonts w:ascii="Cambria Math" w:hAnsi="Cambria Math"/>
                            <w:i/>
                            <w:color w:val="000000" w:themeColor="text1"/>
                            <w:lang w:eastAsia="sl-SI"/>
                          </w:rPr>
                        </m:ctrlPr>
                      </m:sSubPr>
                      <m:e>
                        <m:r>
                          <w:rPr>
                            <w:rFonts w:ascii="Cambria Math" w:hAnsi="Cambria Math"/>
                            <w:color w:val="000000" w:themeColor="text1"/>
                            <w:lang w:eastAsia="sl-SI"/>
                          </w:rPr>
                          <m:t>FCFF</m:t>
                        </m:r>
                      </m:e>
                      <m:sub>
                        <m:r>
                          <w:rPr>
                            <w:rFonts w:ascii="Cambria Math" w:hAnsi="Cambria Math"/>
                            <w:color w:val="000000" w:themeColor="text1"/>
                            <w:lang w:eastAsia="sl-SI"/>
                          </w:rPr>
                          <m:t>n</m:t>
                        </m:r>
                      </m:sub>
                    </m:sSub>
                    <m:d>
                      <m:dPr>
                        <m:ctrlPr>
                          <w:rPr>
                            <w:rFonts w:ascii="Cambria Math" w:hAnsi="Cambria Math"/>
                            <w:i/>
                            <w:color w:val="000000" w:themeColor="text1"/>
                            <w:lang w:eastAsia="sl-SI"/>
                          </w:rPr>
                        </m:ctrlPr>
                      </m:dPr>
                      <m:e>
                        <m:r>
                          <w:rPr>
                            <w:rFonts w:ascii="Cambria Math" w:hAnsi="Cambria Math"/>
                            <w:color w:val="000000" w:themeColor="text1"/>
                            <w:lang w:eastAsia="sl-SI"/>
                          </w:rPr>
                          <m:t>1+g</m:t>
                        </m:r>
                      </m:e>
                    </m:d>
                  </m:num>
                  <m:den>
                    <m:r>
                      <w:rPr>
                        <w:rFonts w:ascii="Cambria Math" w:hAnsi="Cambria Math"/>
                        <w:color w:val="000000" w:themeColor="text1"/>
                        <w:lang w:eastAsia="sl-SI"/>
                      </w:rPr>
                      <m:t>r-g</m:t>
                    </m:r>
                  </m:den>
                </m:f>
              </m:oMath>
            </m:oMathPara>
          </w:p>
        </w:tc>
        <w:tc>
          <w:tcPr>
            <w:tcW w:w="301" w:type="pct"/>
            <w:vAlign w:val="center"/>
          </w:tcPr>
          <w:p w14:paraId="5EC92893" w14:textId="6B980B41" w:rsidR="00F851CC" w:rsidRDefault="00F851CC" w:rsidP="007A6126">
            <w:pPr>
              <w:pStyle w:val="Brezrazmikov"/>
              <w:jc w:val="center"/>
              <w:rPr>
                <w:lang w:eastAsia="sl-SI"/>
              </w:rPr>
            </w:pPr>
            <w:bookmarkStart w:id="9" w:name="enacba3"/>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3</w:t>
            </w:r>
            <w:r>
              <w:rPr>
                <w:lang w:eastAsia="sl-SI"/>
              </w:rPr>
              <w:fldChar w:fldCharType="end"/>
            </w:r>
            <w:r>
              <w:rPr>
                <w:lang w:eastAsia="sl-SI"/>
              </w:rPr>
              <w:t>)</w:t>
            </w:r>
            <w:bookmarkEnd w:id="9"/>
            <w:r>
              <w:rPr>
                <w:lang w:eastAsia="sl-SI"/>
              </w:rPr>
              <w:t>,</w:t>
            </w:r>
          </w:p>
        </w:tc>
      </w:tr>
    </w:tbl>
    <w:p w14:paraId="6F014EC1" w14:textId="77777777" w:rsidR="00F851CC" w:rsidRDefault="00F851CC" w:rsidP="00F851CC">
      <w:pPr>
        <w:pStyle w:val="Brezrazmikov"/>
        <w:rPr>
          <w:rFonts w:eastAsiaTheme="minorEastAsia"/>
          <w:lang w:eastAsia="sl-SI"/>
        </w:rPr>
      </w:pPr>
      <w:r>
        <w:rPr>
          <w:rFonts w:eastAsiaTheme="minorEastAsia"/>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3576"/>
      </w:tblGrid>
      <w:tr w:rsidR="00F851CC" w:rsidRPr="00274BDD" w14:paraId="29D32618" w14:textId="77777777" w:rsidTr="007A6126">
        <w:trPr>
          <w:trHeight w:val="278"/>
        </w:trPr>
        <w:tc>
          <w:tcPr>
            <w:tcW w:w="0" w:type="auto"/>
          </w:tcPr>
          <w:p w14:paraId="203745EA" w14:textId="77777777" w:rsidR="00F851CC" w:rsidRPr="00274BDD" w:rsidRDefault="00F851CC" w:rsidP="007A6126">
            <w:pPr>
              <w:pStyle w:val="Brezrazmikov"/>
              <w:rPr>
                <w:i/>
                <w:iCs/>
              </w:rPr>
            </w:pPr>
            <w:r w:rsidRPr="00274BDD">
              <w:rPr>
                <w:i/>
                <w:iCs/>
              </w:rPr>
              <w:t>TV</w:t>
            </w:r>
          </w:p>
        </w:tc>
        <w:tc>
          <w:tcPr>
            <w:tcW w:w="0" w:type="auto"/>
          </w:tcPr>
          <w:p w14:paraId="0381E8F8" w14:textId="77777777" w:rsidR="00F851CC" w:rsidRPr="00274BDD" w:rsidRDefault="00F851CC" w:rsidP="007A6126">
            <w:pPr>
              <w:pStyle w:val="Brezrazmikov"/>
              <w:rPr>
                <w:i/>
                <w:iCs/>
              </w:rPr>
            </w:pPr>
            <w:r w:rsidRPr="00274BDD">
              <w:rPr>
                <w:i/>
                <w:iCs/>
              </w:rPr>
              <w:t>preostala vrednost</w:t>
            </w:r>
          </w:p>
        </w:tc>
      </w:tr>
      <w:tr w:rsidR="00F851CC" w:rsidRPr="00274BDD" w14:paraId="031338E0" w14:textId="77777777" w:rsidTr="007A6126">
        <w:trPr>
          <w:trHeight w:val="278"/>
        </w:trPr>
        <w:tc>
          <w:tcPr>
            <w:tcW w:w="0" w:type="auto"/>
          </w:tcPr>
          <w:p w14:paraId="246942CF" w14:textId="77777777" w:rsidR="00F851CC" w:rsidRPr="00274BDD" w:rsidRDefault="00F851CC" w:rsidP="007A6126">
            <w:pPr>
              <w:pStyle w:val="Brezrazmikov"/>
              <w:rPr>
                <w:i/>
                <w:iCs/>
                <w:vertAlign w:val="subscript"/>
              </w:rPr>
            </w:pPr>
            <w:proofErr w:type="spellStart"/>
            <w:r w:rsidRPr="00274BDD">
              <w:rPr>
                <w:i/>
                <w:iCs/>
              </w:rPr>
              <w:t>FCFF</w:t>
            </w:r>
            <w:r w:rsidRPr="00274BDD">
              <w:rPr>
                <w:i/>
                <w:iCs/>
                <w:vertAlign w:val="subscript"/>
              </w:rPr>
              <w:t>t</w:t>
            </w:r>
            <w:proofErr w:type="spellEnd"/>
          </w:p>
        </w:tc>
        <w:tc>
          <w:tcPr>
            <w:tcW w:w="0" w:type="auto"/>
          </w:tcPr>
          <w:p w14:paraId="7534BBBD" w14:textId="77777777" w:rsidR="00F851CC" w:rsidRPr="00274BDD" w:rsidRDefault="00F851CC" w:rsidP="007A6126">
            <w:pPr>
              <w:pStyle w:val="Brezrazmikov"/>
              <w:rPr>
                <w:i/>
                <w:iCs/>
              </w:rPr>
            </w:pPr>
            <w:r w:rsidRPr="00274BDD">
              <w:rPr>
                <w:i/>
                <w:iCs/>
              </w:rPr>
              <w:t>prosti denarni tok podjetju v času t</w:t>
            </w:r>
          </w:p>
        </w:tc>
      </w:tr>
      <w:tr w:rsidR="00F851CC" w:rsidRPr="00274BDD" w14:paraId="78AA157A" w14:textId="77777777" w:rsidTr="007A6126">
        <w:trPr>
          <w:trHeight w:val="278"/>
        </w:trPr>
        <w:tc>
          <w:tcPr>
            <w:tcW w:w="0" w:type="auto"/>
          </w:tcPr>
          <w:p w14:paraId="13799C8E" w14:textId="77777777" w:rsidR="00F851CC" w:rsidRPr="00274BDD" w:rsidRDefault="00F851CC" w:rsidP="007A6126">
            <w:pPr>
              <w:pStyle w:val="Brezrazmikov"/>
              <w:rPr>
                <w:i/>
                <w:iCs/>
              </w:rPr>
            </w:pPr>
            <w:r w:rsidRPr="00274BDD">
              <w:rPr>
                <w:i/>
                <w:iCs/>
              </w:rPr>
              <w:t>G</w:t>
            </w:r>
          </w:p>
        </w:tc>
        <w:tc>
          <w:tcPr>
            <w:tcW w:w="0" w:type="auto"/>
          </w:tcPr>
          <w:p w14:paraId="3B77A963" w14:textId="77777777" w:rsidR="00F851CC" w:rsidRPr="00274BDD" w:rsidRDefault="00F851CC" w:rsidP="007A6126">
            <w:pPr>
              <w:pStyle w:val="Brezrazmikov"/>
              <w:rPr>
                <w:i/>
                <w:iCs/>
              </w:rPr>
            </w:pPr>
            <w:r w:rsidRPr="00274BDD">
              <w:rPr>
                <w:i/>
                <w:iCs/>
              </w:rPr>
              <w:t>konstantna rast FCFF</w:t>
            </w:r>
          </w:p>
        </w:tc>
      </w:tr>
      <w:tr w:rsidR="00F851CC" w:rsidRPr="00274BDD" w14:paraId="7D3C4551" w14:textId="77777777" w:rsidTr="007A6126">
        <w:trPr>
          <w:trHeight w:val="278"/>
        </w:trPr>
        <w:tc>
          <w:tcPr>
            <w:tcW w:w="0" w:type="auto"/>
          </w:tcPr>
          <w:p w14:paraId="3006D358" w14:textId="77777777" w:rsidR="00F851CC" w:rsidRPr="00274BDD" w:rsidRDefault="00F851CC" w:rsidP="007A6126">
            <w:pPr>
              <w:pStyle w:val="Brezrazmikov"/>
              <w:rPr>
                <w:i/>
                <w:iCs/>
              </w:rPr>
            </w:pPr>
            <w:r w:rsidRPr="00274BDD">
              <w:rPr>
                <w:i/>
                <w:iCs/>
              </w:rPr>
              <w:t>R</w:t>
            </w:r>
          </w:p>
        </w:tc>
        <w:tc>
          <w:tcPr>
            <w:tcW w:w="0" w:type="auto"/>
          </w:tcPr>
          <w:p w14:paraId="10E6B1B6" w14:textId="77777777" w:rsidR="00F851CC" w:rsidRPr="00274BDD" w:rsidRDefault="00F851CC" w:rsidP="007A6126">
            <w:pPr>
              <w:pStyle w:val="Brezrazmikov"/>
              <w:rPr>
                <w:i/>
                <w:iCs/>
              </w:rPr>
            </w:pPr>
            <w:r w:rsidRPr="00274BDD">
              <w:rPr>
                <w:i/>
                <w:iCs/>
              </w:rPr>
              <w:t>diskontna stopnja</w:t>
            </w:r>
          </w:p>
        </w:tc>
      </w:tr>
    </w:tbl>
    <w:p w14:paraId="0C3C2918" w14:textId="77777777" w:rsidR="00F851CC" w:rsidRDefault="00F851CC" w:rsidP="00F851CC">
      <w:pPr>
        <w:pStyle w:val="Naslov3"/>
        <w:rPr>
          <w:lang w:eastAsia="sl-SI"/>
        </w:rPr>
      </w:pPr>
      <w:bookmarkStart w:id="10" w:name="_Toc18964858"/>
      <w:r>
        <w:rPr>
          <w:lang w:eastAsia="sl-SI"/>
        </w:rPr>
        <w:t>Diskontna stopnja</w:t>
      </w:r>
      <w:bookmarkEnd w:id="10"/>
    </w:p>
    <w:p w14:paraId="7B012A26" w14:textId="77777777" w:rsidR="00F851CC" w:rsidRPr="008D5682" w:rsidRDefault="00F851CC" w:rsidP="00F851CC">
      <w:pPr>
        <w:pStyle w:val="Brezrazmikov"/>
        <w:rPr>
          <w:lang w:eastAsia="sl-SI"/>
        </w:rPr>
      </w:pPr>
      <w:r>
        <w:rPr>
          <w:lang w:eastAsia="sl-SI"/>
        </w:rPr>
        <w:t>Ključni del vrednotenja je določitev primerne zahtevane stopnje donosa, po kateri bomo diskontirali denarne tokove. Ta mora izražati tako časovno vrednost denarja kot tudi tveganje. Ocenimo jo kot tehtano povprečje stroškov kapitala (v nadaljevanju WACC).</w:t>
      </w:r>
      <w:r>
        <w:rPr>
          <w:rStyle w:val="Sprotnaopomba-sklic"/>
          <w:lang w:eastAsia="sl-SI"/>
        </w:rPr>
        <w:footnoteReference w:id="6"/>
      </w:r>
      <w:r>
        <w:rPr>
          <w:lang w:eastAsia="sl-SI"/>
        </w:rPr>
        <w:t xml:space="preserve"> V nadaljevanju bomo namesto oznake </w:t>
      </w:r>
      <w:r>
        <w:rPr>
          <w:i/>
          <w:iCs/>
          <w:lang w:eastAsia="sl-SI"/>
        </w:rPr>
        <w:t>r</w:t>
      </w:r>
      <w:r>
        <w:rPr>
          <w:lang w:eastAsia="sl-SI"/>
        </w:rPr>
        <w:t xml:space="preserve"> uporabljali oznako </w:t>
      </w:r>
      <w:r>
        <w:rPr>
          <w:i/>
          <w:iCs/>
          <w:lang w:eastAsia="sl-SI"/>
        </w:rPr>
        <w:t>WACC</w:t>
      </w:r>
      <w:r>
        <w:rPr>
          <w:lang w:eastAsia="sl-SI"/>
        </w:rPr>
        <w:t>:</w:t>
      </w:r>
    </w:p>
    <w:p w14:paraId="76BAE8FD"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184FF0DA" w14:textId="77777777" w:rsidTr="007A6126">
        <w:tc>
          <w:tcPr>
            <w:tcW w:w="300" w:type="pct"/>
            <w:vAlign w:val="center"/>
          </w:tcPr>
          <w:p w14:paraId="7B893568" w14:textId="77777777" w:rsidR="00F851CC" w:rsidRDefault="00F851CC" w:rsidP="007A6126">
            <w:pPr>
              <w:pStyle w:val="Brezrazmikov"/>
              <w:jc w:val="center"/>
              <w:rPr>
                <w:lang w:eastAsia="sl-SI"/>
              </w:rPr>
            </w:pPr>
          </w:p>
        </w:tc>
        <w:tc>
          <w:tcPr>
            <w:tcW w:w="4399" w:type="pct"/>
            <w:vAlign w:val="center"/>
          </w:tcPr>
          <w:p w14:paraId="59D2CE97" w14:textId="67CBDBBB" w:rsidR="00F851CC" w:rsidRDefault="00F851CC" w:rsidP="007A6126">
            <w:pPr>
              <w:pStyle w:val="Brezrazmikov"/>
              <w:jc w:val="center"/>
              <w:rPr>
                <w:lang w:eastAsia="sl-SI"/>
              </w:rPr>
            </w:pPr>
            <m:oMathPara>
              <m:oMath>
                <m:r>
                  <w:rPr>
                    <w:rFonts w:ascii="Cambria Math" w:hAnsi="Cambria Math"/>
                    <w:lang w:eastAsia="sl-SI"/>
                  </w:rPr>
                  <m:t>WACC=</m:t>
                </m:r>
                <m:d>
                  <m:dPr>
                    <m:ctrlPr>
                      <w:rPr>
                        <w:rFonts w:ascii="Cambria Math" w:hAnsi="Cambria Math"/>
                        <w:i/>
                        <w:lang w:eastAsia="sl-SI"/>
                      </w:rPr>
                    </m:ctrlPr>
                  </m:dPr>
                  <m:e>
                    <m:sSub>
                      <m:sSubPr>
                        <m:ctrlPr>
                          <w:rPr>
                            <w:rFonts w:ascii="Cambria Math" w:hAnsi="Cambria Math"/>
                            <w:i/>
                            <w:lang w:eastAsia="sl-SI"/>
                          </w:rPr>
                        </m:ctrlPr>
                      </m:sSubPr>
                      <m:e>
                        <m:r>
                          <w:rPr>
                            <w:rFonts w:ascii="Cambria Math" w:hAnsi="Cambria Math"/>
                            <w:lang w:eastAsia="sl-SI"/>
                          </w:rPr>
                          <m:t>k</m:t>
                        </m:r>
                      </m:e>
                      <m:sub>
                        <m:r>
                          <w:rPr>
                            <w:rFonts w:ascii="Cambria Math" w:hAnsi="Cambria Math"/>
                            <w:lang w:eastAsia="sl-SI"/>
                          </w:rPr>
                          <m:t>L</m:t>
                        </m:r>
                      </m:sub>
                    </m:sSub>
                    <m:r>
                      <w:rPr>
                        <w:rFonts w:ascii="Cambria Math" w:hAnsi="Cambria Math"/>
                        <w:lang w:eastAsia="sl-SI"/>
                      </w:rPr>
                      <m:t>*</m:t>
                    </m:r>
                    <m:sSub>
                      <m:sSubPr>
                        <m:ctrlPr>
                          <w:rPr>
                            <w:rFonts w:ascii="Cambria Math" w:hAnsi="Cambria Math"/>
                            <w:i/>
                            <w:lang w:eastAsia="sl-SI"/>
                          </w:rPr>
                        </m:ctrlPr>
                      </m:sSubPr>
                      <m:e>
                        <m:r>
                          <w:rPr>
                            <w:rFonts w:ascii="Cambria Math" w:hAnsi="Cambria Math"/>
                            <w:lang w:eastAsia="sl-SI"/>
                          </w:rPr>
                          <m:t>W</m:t>
                        </m:r>
                      </m:e>
                      <m:sub>
                        <m:r>
                          <w:rPr>
                            <w:rFonts w:ascii="Cambria Math" w:hAnsi="Cambria Math"/>
                            <w:lang w:eastAsia="sl-SI"/>
                          </w:rPr>
                          <m:t>L</m:t>
                        </m:r>
                      </m:sub>
                    </m:sSub>
                  </m:e>
                </m:d>
                <m:r>
                  <w:rPr>
                    <w:rFonts w:ascii="Cambria Math" w:hAnsi="Cambria Math"/>
                    <w:lang w:eastAsia="sl-SI"/>
                  </w:rPr>
                  <m:t>+(</m:t>
                </m:r>
                <m:sSub>
                  <m:sSubPr>
                    <m:ctrlPr>
                      <w:rPr>
                        <w:rFonts w:ascii="Cambria Math" w:hAnsi="Cambria Math"/>
                        <w:i/>
                        <w:lang w:eastAsia="sl-SI"/>
                      </w:rPr>
                    </m:ctrlPr>
                  </m:sSubPr>
                  <m:e>
                    <m:r>
                      <w:rPr>
                        <w:rFonts w:ascii="Cambria Math" w:hAnsi="Cambria Math"/>
                        <w:lang w:eastAsia="sl-SI"/>
                      </w:rPr>
                      <m:t>k</m:t>
                    </m:r>
                  </m:e>
                  <m:sub>
                    <m:r>
                      <w:rPr>
                        <w:rFonts w:ascii="Cambria Math" w:hAnsi="Cambria Math"/>
                        <w:lang w:eastAsia="sl-SI"/>
                      </w:rPr>
                      <m:t>D</m:t>
                    </m:r>
                  </m:sub>
                </m:sSub>
                <m:r>
                  <w:rPr>
                    <w:rFonts w:ascii="Cambria Math" w:hAnsi="Cambria Math"/>
                    <w:lang w:eastAsia="sl-SI"/>
                  </w:rPr>
                  <m:t>*</m:t>
                </m:r>
                <m:sSub>
                  <m:sSubPr>
                    <m:ctrlPr>
                      <w:rPr>
                        <w:rFonts w:ascii="Cambria Math" w:hAnsi="Cambria Math"/>
                        <w:i/>
                        <w:lang w:eastAsia="sl-SI"/>
                      </w:rPr>
                    </m:ctrlPr>
                  </m:sSubPr>
                  <m:e>
                    <m:r>
                      <w:rPr>
                        <w:rFonts w:ascii="Cambria Math" w:hAnsi="Cambria Math"/>
                        <w:lang w:eastAsia="sl-SI"/>
                      </w:rPr>
                      <m:t>W</m:t>
                    </m:r>
                  </m:e>
                  <m:sub>
                    <m:r>
                      <w:rPr>
                        <w:rFonts w:ascii="Cambria Math" w:hAnsi="Cambria Math"/>
                        <w:lang w:eastAsia="sl-SI"/>
                      </w:rPr>
                      <m:t>D</m:t>
                    </m:r>
                  </m:sub>
                </m:sSub>
                <m:r>
                  <w:rPr>
                    <w:rFonts w:ascii="Cambria Math" w:hAnsi="Cambria Math"/>
                    <w:lang w:eastAsia="sl-SI"/>
                  </w:rPr>
                  <m:t>)</m:t>
                </m:r>
              </m:oMath>
            </m:oMathPara>
          </w:p>
        </w:tc>
        <w:tc>
          <w:tcPr>
            <w:tcW w:w="301" w:type="pct"/>
            <w:vAlign w:val="center"/>
          </w:tcPr>
          <w:p w14:paraId="074C61C8" w14:textId="1A9BD03C" w:rsidR="00F851CC" w:rsidRDefault="00F851CC" w:rsidP="007A6126">
            <w:pPr>
              <w:pStyle w:val="Brezrazmikov"/>
              <w:jc w:val="center"/>
              <w:rPr>
                <w:lang w:eastAsia="sl-SI"/>
              </w:rPr>
            </w:pPr>
            <w:bookmarkStart w:id="11" w:name="enacba4"/>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4</w:t>
            </w:r>
            <w:r>
              <w:rPr>
                <w:lang w:eastAsia="sl-SI"/>
              </w:rPr>
              <w:fldChar w:fldCharType="end"/>
            </w:r>
            <w:r>
              <w:rPr>
                <w:lang w:eastAsia="sl-SI"/>
              </w:rPr>
              <w:t>)</w:t>
            </w:r>
            <w:bookmarkEnd w:id="11"/>
            <w:r>
              <w:rPr>
                <w:lang w:eastAsia="sl-SI"/>
              </w:rPr>
              <w:t>,</w:t>
            </w:r>
          </w:p>
        </w:tc>
      </w:tr>
    </w:tbl>
    <w:p w14:paraId="4DD7A1B4" w14:textId="77777777" w:rsidR="00F851CC" w:rsidRDefault="00F851CC" w:rsidP="00F851CC">
      <w:pPr>
        <w:pStyle w:val="Brezrazmikov"/>
        <w:rPr>
          <w:lang w:eastAsia="sl-SI"/>
        </w:rPr>
      </w:pPr>
      <w:r>
        <w:rPr>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3762"/>
      </w:tblGrid>
      <w:tr w:rsidR="00F851CC" w:rsidRPr="00274BDD" w14:paraId="3054F877" w14:textId="77777777" w:rsidTr="007A6126">
        <w:trPr>
          <w:trHeight w:val="278"/>
        </w:trPr>
        <w:tc>
          <w:tcPr>
            <w:tcW w:w="0" w:type="auto"/>
          </w:tcPr>
          <w:p w14:paraId="64634D4E" w14:textId="77777777" w:rsidR="00F851CC" w:rsidRPr="00274BDD" w:rsidRDefault="00F851CC" w:rsidP="007A6126">
            <w:pPr>
              <w:pStyle w:val="Brezrazmikov"/>
              <w:rPr>
                <w:i/>
                <w:iCs/>
              </w:rPr>
            </w:pPr>
            <w:r w:rsidRPr="00274BDD">
              <w:rPr>
                <w:i/>
                <w:iCs/>
              </w:rPr>
              <w:t>WACC</w:t>
            </w:r>
          </w:p>
        </w:tc>
        <w:tc>
          <w:tcPr>
            <w:tcW w:w="0" w:type="auto"/>
          </w:tcPr>
          <w:p w14:paraId="50999E26" w14:textId="77777777" w:rsidR="00F851CC" w:rsidRPr="00274BDD" w:rsidRDefault="00F851CC" w:rsidP="007A6126">
            <w:pPr>
              <w:pStyle w:val="Brezrazmikov"/>
              <w:rPr>
                <w:i/>
                <w:iCs/>
                <w:lang w:eastAsia="sl-SI"/>
              </w:rPr>
            </w:pPr>
            <w:r w:rsidRPr="00274BDD">
              <w:rPr>
                <w:i/>
                <w:iCs/>
                <w:lang w:eastAsia="sl-SI"/>
              </w:rPr>
              <w:t>tehtano povprečje stroškov kapitala</w:t>
            </w:r>
          </w:p>
        </w:tc>
      </w:tr>
      <w:tr w:rsidR="00F851CC" w:rsidRPr="00274BDD" w14:paraId="37BE5E46" w14:textId="77777777" w:rsidTr="007A6126">
        <w:trPr>
          <w:trHeight w:val="278"/>
        </w:trPr>
        <w:tc>
          <w:tcPr>
            <w:tcW w:w="0" w:type="auto"/>
          </w:tcPr>
          <w:p w14:paraId="46CCACD8" w14:textId="77777777" w:rsidR="00F851CC" w:rsidRPr="00274BDD" w:rsidRDefault="00F851CC" w:rsidP="007A6126">
            <w:pPr>
              <w:pStyle w:val="Brezrazmikov"/>
              <w:rPr>
                <w:i/>
                <w:iCs/>
                <w:vertAlign w:val="subscript"/>
              </w:rPr>
            </w:pPr>
            <w:proofErr w:type="spellStart"/>
            <w:r w:rsidRPr="00274BDD">
              <w:rPr>
                <w:i/>
                <w:iCs/>
              </w:rPr>
              <w:t>k</w:t>
            </w:r>
            <w:r w:rsidRPr="00274BDD">
              <w:rPr>
                <w:i/>
                <w:iCs/>
                <w:vertAlign w:val="subscript"/>
              </w:rPr>
              <w:t>L</w:t>
            </w:r>
            <w:proofErr w:type="spellEnd"/>
          </w:p>
        </w:tc>
        <w:tc>
          <w:tcPr>
            <w:tcW w:w="0" w:type="auto"/>
          </w:tcPr>
          <w:p w14:paraId="350FBC7A" w14:textId="77777777" w:rsidR="00F851CC" w:rsidRPr="00274BDD" w:rsidRDefault="00F851CC" w:rsidP="007A6126">
            <w:pPr>
              <w:pStyle w:val="Brezrazmikov"/>
              <w:rPr>
                <w:i/>
                <w:iCs/>
                <w:lang w:eastAsia="sl-SI"/>
              </w:rPr>
            </w:pPr>
            <w:r>
              <w:rPr>
                <w:i/>
                <w:iCs/>
                <w:lang w:eastAsia="sl-SI"/>
              </w:rPr>
              <w:t>strošek</w:t>
            </w:r>
            <w:r w:rsidRPr="00274BDD">
              <w:rPr>
                <w:i/>
                <w:iCs/>
                <w:lang w:eastAsia="sl-SI"/>
              </w:rPr>
              <w:t xml:space="preserve"> lastniškega kapitala</w:t>
            </w:r>
          </w:p>
        </w:tc>
      </w:tr>
      <w:tr w:rsidR="00F851CC" w:rsidRPr="00274BDD" w14:paraId="2F8DFF6A" w14:textId="77777777" w:rsidTr="007A6126">
        <w:trPr>
          <w:trHeight w:val="278"/>
        </w:trPr>
        <w:tc>
          <w:tcPr>
            <w:tcW w:w="0" w:type="auto"/>
          </w:tcPr>
          <w:p w14:paraId="1D3387FC" w14:textId="77777777" w:rsidR="00F851CC" w:rsidRPr="00274BDD" w:rsidRDefault="00F851CC" w:rsidP="007A6126">
            <w:pPr>
              <w:pStyle w:val="Brezrazmikov"/>
              <w:rPr>
                <w:i/>
                <w:iCs/>
                <w:vertAlign w:val="subscript"/>
              </w:rPr>
            </w:pPr>
            <w:proofErr w:type="spellStart"/>
            <w:r w:rsidRPr="00274BDD">
              <w:rPr>
                <w:i/>
                <w:iCs/>
              </w:rPr>
              <w:t>k</w:t>
            </w:r>
            <w:r w:rsidRPr="00274BDD">
              <w:rPr>
                <w:i/>
                <w:iCs/>
                <w:vertAlign w:val="subscript"/>
              </w:rPr>
              <w:t>D</w:t>
            </w:r>
            <w:proofErr w:type="spellEnd"/>
          </w:p>
        </w:tc>
        <w:tc>
          <w:tcPr>
            <w:tcW w:w="0" w:type="auto"/>
          </w:tcPr>
          <w:p w14:paraId="5CF49F3E" w14:textId="77777777" w:rsidR="00F851CC" w:rsidRPr="00274BDD" w:rsidRDefault="00F851CC" w:rsidP="007A6126">
            <w:pPr>
              <w:pStyle w:val="Brezrazmikov"/>
              <w:rPr>
                <w:i/>
                <w:iCs/>
                <w:lang w:eastAsia="sl-SI"/>
              </w:rPr>
            </w:pPr>
            <w:r>
              <w:rPr>
                <w:i/>
                <w:iCs/>
                <w:lang w:eastAsia="sl-SI"/>
              </w:rPr>
              <w:t>strošek</w:t>
            </w:r>
            <w:r w:rsidRPr="00274BDD">
              <w:rPr>
                <w:i/>
                <w:iCs/>
                <w:lang w:eastAsia="sl-SI"/>
              </w:rPr>
              <w:t xml:space="preserve"> dolžniškega kapitala</w:t>
            </w:r>
          </w:p>
        </w:tc>
      </w:tr>
      <w:tr w:rsidR="00F851CC" w:rsidRPr="00274BDD" w14:paraId="510AF9A7" w14:textId="77777777" w:rsidTr="007A6126">
        <w:trPr>
          <w:trHeight w:val="278"/>
        </w:trPr>
        <w:tc>
          <w:tcPr>
            <w:tcW w:w="0" w:type="auto"/>
          </w:tcPr>
          <w:p w14:paraId="758C62F1" w14:textId="77777777" w:rsidR="00F851CC" w:rsidRPr="00274BDD" w:rsidRDefault="00F851CC" w:rsidP="007A6126">
            <w:pPr>
              <w:pStyle w:val="Brezrazmikov"/>
              <w:rPr>
                <w:i/>
                <w:iCs/>
              </w:rPr>
            </w:pPr>
            <w:r w:rsidRPr="00274BDD">
              <w:rPr>
                <w:i/>
                <w:iCs/>
              </w:rPr>
              <w:t>W</w:t>
            </w:r>
            <w:r w:rsidRPr="00274BDD">
              <w:rPr>
                <w:i/>
                <w:iCs/>
                <w:vertAlign w:val="subscript"/>
              </w:rPr>
              <w:t>L</w:t>
            </w:r>
          </w:p>
        </w:tc>
        <w:tc>
          <w:tcPr>
            <w:tcW w:w="0" w:type="auto"/>
          </w:tcPr>
          <w:p w14:paraId="25BCA4CC" w14:textId="77777777" w:rsidR="00F851CC" w:rsidRPr="00274BDD" w:rsidRDefault="00F851CC" w:rsidP="007A6126">
            <w:pPr>
              <w:pStyle w:val="Brezrazmikov"/>
              <w:rPr>
                <w:i/>
                <w:iCs/>
                <w:lang w:eastAsia="sl-SI"/>
              </w:rPr>
            </w:pPr>
            <w:r w:rsidRPr="00274BDD">
              <w:rPr>
                <w:i/>
                <w:iCs/>
                <w:lang w:eastAsia="sl-SI"/>
              </w:rPr>
              <w:t>delež lastniškega kapitala v podjetju</w:t>
            </w:r>
          </w:p>
        </w:tc>
      </w:tr>
      <w:tr w:rsidR="00F851CC" w:rsidRPr="00274BDD" w14:paraId="4798C250" w14:textId="77777777" w:rsidTr="007A6126">
        <w:trPr>
          <w:trHeight w:val="278"/>
        </w:trPr>
        <w:tc>
          <w:tcPr>
            <w:tcW w:w="0" w:type="auto"/>
          </w:tcPr>
          <w:p w14:paraId="2D1869D0" w14:textId="77777777" w:rsidR="00F851CC" w:rsidRPr="00274BDD" w:rsidRDefault="00F851CC" w:rsidP="007A6126">
            <w:pPr>
              <w:pStyle w:val="Brezrazmikov"/>
              <w:rPr>
                <w:i/>
                <w:iCs/>
              </w:rPr>
            </w:pPr>
            <w:r w:rsidRPr="00274BDD">
              <w:rPr>
                <w:i/>
                <w:iCs/>
              </w:rPr>
              <w:t>W</w:t>
            </w:r>
            <w:r w:rsidRPr="00274BDD">
              <w:rPr>
                <w:i/>
                <w:iCs/>
                <w:vertAlign w:val="subscript"/>
              </w:rPr>
              <w:t>D</w:t>
            </w:r>
          </w:p>
        </w:tc>
        <w:tc>
          <w:tcPr>
            <w:tcW w:w="0" w:type="auto"/>
          </w:tcPr>
          <w:p w14:paraId="1CA02ADB" w14:textId="77777777" w:rsidR="00F851CC" w:rsidRPr="00274BDD" w:rsidRDefault="00F851CC" w:rsidP="007A6126">
            <w:pPr>
              <w:pStyle w:val="Brezrazmikov"/>
              <w:rPr>
                <w:i/>
                <w:iCs/>
                <w:lang w:eastAsia="sl-SI"/>
              </w:rPr>
            </w:pPr>
            <w:r w:rsidRPr="00274BDD">
              <w:rPr>
                <w:i/>
                <w:iCs/>
                <w:lang w:eastAsia="sl-SI"/>
              </w:rPr>
              <w:t>delež dolžniškega kapitala v podjetju</w:t>
            </w:r>
          </w:p>
        </w:tc>
      </w:tr>
    </w:tbl>
    <w:p w14:paraId="282E6BCD" w14:textId="77777777" w:rsidR="00F851CC" w:rsidRPr="007F7E9F" w:rsidRDefault="00F851CC" w:rsidP="00F851CC">
      <w:pPr>
        <w:pStyle w:val="Brezrazmikov"/>
      </w:pPr>
    </w:p>
    <w:p w14:paraId="17EA5D3C" w14:textId="77777777" w:rsidR="00F851CC" w:rsidRDefault="00F851CC" w:rsidP="00F851CC">
      <w:pPr>
        <w:pStyle w:val="Brezrazmikov"/>
        <w:rPr>
          <w:lang w:eastAsia="sl-SI"/>
        </w:rPr>
      </w:pPr>
      <w:r>
        <w:rPr>
          <w:lang w:eastAsia="sl-SI"/>
        </w:rPr>
        <w:t>WACC je vsota stroškov celotnega kapitala, pri čemer vsako skupino stroškov obtežimo z njenim deležem v sestavi celotnega kapitala. Delež lastniškega kapitala dobimo tako, da vrednost lastniškega kapitala delimo s celotnim kapitalom podjetja. Analogno naredimo tudi za delež dolžniškega kapitala.</w:t>
      </w:r>
    </w:p>
    <w:p w14:paraId="15077E66" w14:textId="77777777" w:rsidR="00F851CC" w:rsidRPr="007F7E9F" w:rsidRDefault="00F851CC" w:rsidP="00F851CC">
      <w:pPr>
        <w:pStyle w:val="Brezrazmikov"/>
      </w:pPr>
    </w:p>
    <w:p w14:paraId="5B88B9FD" w14:textId="77777777" w:rsidR="00F851CC" w:rsidRDefault="00F851CC" w:rsidP="00F851CC">
      <w:pPr>
        <w:pStyle w:val="Brezrazmikov"/>
        <w:rPr>
          <w:lang w:eastAsia="sl-SI"/>
        </w:rPr>
      </w:pPr>
      <w:r w:rsidRPr="00C02197">
        <w:rPr>
          <w:b/>
          <w:lang w:eastAsia="sl-SI"/>
        </w:rPr>
        <w:t>Strošek lastniškega kapitala</w:t>
      </w:r>
      <w:r>
        <w:rPr>
          <w:lang w:eastAsia="sl-SI"/>
        </w:rPr>
        <w:t xml:space="preserve"> ocenimo s CAPM modelom, ki ga izračunamo na sledeč način </w:t>
      </w:r>
      <w:bookmarkStart w:id="12" w:name="_Hlk16636760"/>
      <w:r>
        <w:rPr>
          <w:lang w:eastAsia="sl-SI"/>
        </w:rPr>
        <w:t>(</w:t>
      </w:r>
      <w:proofErr w:type="spellStart"/>
      <w:r>
        <w:rPr>
          <w:lang w:eastAsia="sl-SI"/>
        </w:rPr>
        <w:t>Damodaran</w:t>
      </w:r>
      <w:proofErr w:type="spellEnd"/>
      <w:r>
        <w:rPr>
          <w:lang w:eastAsia="sl-SI"/>
        </w:rPr>
        <w:t xml:space="preserve"> A., 2001, str. </w:t>
      </w:r>
      <w:bookmarkEnd w:id="12"/>
      <w:r>
        <w:rPr>
          <w:lang w:eastAsia="sl-SI"/>
        </w:rPr>
        <w:t>167):</w:t>
      </w:r>
      <w:r>
        <w:rPr>
          <w:rStyle w:val="Sprotnaopomba-sklic"/>
          <w:lang w:eastAsia="sl-SI"/>
        </w:rPr>
        <w:footnoteReference w:id="7"/>
      </w:r>
    </w:p>
    <w:p w14:paraId="2753FBD3"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0CBA2195" w14:textId="77777777" w:rsidTr="007A6126">
        <w:tc>
          <w:tcPr>
            <w:tcW w:w="300" w:type="pct"/>
            <w:vAlign w:val="center"/>
          </w:tcPr>
          <w:p w14:paraId="5BF08A1E" w14:textId="77777777" w:rsidR="00F851CC" w:rsidRDefault="00F851CC" w:rsidP="007A6126">
            <w:pPr>
              <w:pStyle w:val="Brezrazmikov"/>
              <w:jc w:val="center"/>
              <w:rPr>
                <w:lang w:eastAsia="sl-SI"/>
              </w:rPr>
            </w:pPr>
          </w:p>
        </w:tc>
        <w:tc>
          <w:tcPr>
            <w:tcW w:w="4399" w:type="pct"/>
            <w:vAlign w:val="center"/>
          </w:tcPr>
          <w:p w14:paraId="35EF9124" w14:textId="77777777" w:rsidR="00F851CC" w:rsidRDefault="00BB77EE" w:rsidP="007A6126">
            <w:pPr>
              <w:pStyle w:val="Brezrazmikov"/>
              <w:jc w:val="center"/>
              <w:rPr>
                <w:lang w:eastAsia="sl-SI"/>
              </w:rPr>
            </w:pPr>
            <m:oMath>
              <m:sSub>
                <m:sSubPr>
                  <m:ctrlPr>
                    <w:rPr>
                      <w:rFonts w:ascii="Cambria Math" w:hAnsi="Cambria Math"/>
                      <w:i/>
                      <w:lang w:eastAsia="sl-SI"/>
                    </w:rPr>
                  </m:ctrlPr>
                </m:sSubPr>
                <m:e>
                  <m:r>
                    <w:rPr>
                      <w:rFonts w:ascii="Cambria Math" w:hAnsi="Cambria Math"/>
                      <w:lang w:eastAsia="sl-SI"/>
                    </w:rPr>
                    <m:t>k</m:t>
                  </m:r>
                </m:e>
                <m:sub>
                  <m:r>
                    <w:rPr>
                      <w:rFonts w:ascii="Cambria Math" w:hAnsi="Cambria Math"/>
                      <w:lang w:eastAsia="sl-SI"/>
                    </w:rPr>
                    <m:t>L</m:t>
                  </m:r>
                </m:sub>
              </m:sSub>
              <m:r>
                <w:rPr>
                  <w:rFonts w:ascii="Cambria Math" w:hAnsi="Cambria Math"/>
                  <w:lang w:eastAsia="sl-SI"/>
                </w:rPr>
                <m:t xml:space="preserve">= </m:t>
              </m:r>
              <m:sSub>
                <m:sSubPr>
                  <m:ctrlPr>
                    <w:rPr>
                      <w:rFonts w:ascii="Cambria Math" w:hAnsi="Cambria Math"/>
                      <w:i/>
                      <w:lang w:eastAsia="sl-SI"/>
                    </w:rPr>
                  </m:ctrlPr>
                </m:sSubPr>
                <m:e>
                  <m:r>
                    <w:rPr>
                      <w:rFonts w:ascii="Cambria Math" w:hAnsi="Cambria Math"/>
                      <w:lang w:eastAsia="sl-SI"/>
                    </w:rPr>
                    <m:t>r</m:t>
                  </m:r>
                </m:e>
                <m:sub>
                  <m:r>
                    <w:rPr>
                      <w:rFonts w:ascii="Cambria Math" w:hAnsi="Cambria Math"/>
                      <w:lang w:eastAsia="sl-SI"/>
                    </w:rPr>
                    <m:t>f</m:t>
                  </m:r>
                </m:sub>
              </m:sSub>
              <m:r>
                <w:rPr>
                  <w:rFonts w:ascii="Cambria Math" w:hAnsi="Cambria Math"/>
                  <w:lang w:eastAsia="sl-SI"/>
                </w:rPr>
                <m:t>+</m:t>
              </m:r>
              <m:d>
                <m:dPr>
                  <m:ctrlPr>
                    <w:rPr>
                      <w:rFonts w:ascii="Cambria Math" w:hAnsi="Cambria Math"/>
                      <w:i/>
                      <w:lang w:eastAsia="sl-SI"/>
                    </w:rPr>
                  </m:ctrlPr>
                </m:dPr>
                <m:e>
                  <m:sSub>
                    <m:sSubPr>
                      <m:ctrlPr>
                        <w:rPr>
                          <w:rFonts w:ascii="Cambria Math" w:hAnsi="Cambria Math"/>
                          <w:i/>
                          <w:lang w:eastAsia="sl-SI"/>
                        </w:rPr>
                      </m:ctrlPr>
                    </m:sSubPr>
                    <m:e>
                      <m:r>
                        <w:rPr>
                          <w:rFonts w:ascii="Cambria Math" w:hAnsi="Cambria Math"/>
                          <w:lang w:eastAsia="sl-SI"/>
                        </w:rPr>
                        <m:t>r</m:t>
                      </m:r>
                    </m:e>
                    <m:sub>
                      <m:r>
                        <w:rPr>
                          <w:rFonts w:ascii="Cambria Math" w:hAnsi="Cambria Math"/>
                          <w:lang w:eastAsia="sl-SI"/>
                        </w:rPr>
                        <m:t>m</m:t>
                      </m:r>
                    </m:sub>
                  </m:sSub>
                  <m:r>
                    <w:rPr>
                      <w:rFonts w:ascii="Cambria Math" w:hAnsi="Cambria Math"/>
                      <w:lang w:eastAsia="sl-SI"/>
                    </w:rPr>
                    <m:t>-</m:t>
                  </m:r>
                  <m:sSub>
                    <m:sSubPr>
                      <m:ctrlPr>
                        <w:rPr>
                          <w:rFonts w:ascii="Cambria Math" w:hAnsi="Cambria Math"/>
                          <w:i/>
                          <w:lang w:eastAsia="sl-SI"/>
                        </w:rPr>
                      </m:ctrlPr>
                    </m:sSubPr>
                    <m:e>
                      <m:r>
                        <w:rPr>
                          <w:rFonts w:ascii="Cambria Math" w:hAnsi="Cambria Math"/>
                          <w:lang w:eastAsia="sl-SI"/>
                        </w:rPr>
                        <m:t>r</m:t>
                      </m:r>
                    </m:e>
                    <m:sub>
                      <m:r>
                        <w:rPr>
                          <w:rFonts w:ascii="Cambria Math" w:hAnsi="Cambria Math"/>
                          <w:lang w:eastAsia="sl-SI"/>
                        </w:rPr>
                        <m:t>f</m:t>
                      </m:r>
                    </m:sub>
                  </m:sSub>
                </m:e>
              </m:d>
              <m:r>
                <w:rPr>
                  <w:rFonts w:ascii="Cambria Math" w:hAnsi="Cambria Math"/>
                  <w:lang w:eastAsia="sl-SI"/>
                </w:rPr>
                <m:t>*β</m:t>
              </m:r>
            </m:oMath>
            <w:r w:rsidR="00F851CC" w:rsidRPr="005272FC">
              <w:rPr>
                <w:rFonts w:eastAsiaTheme="minorEastAsia"/>
                <w:lang w:eastAsia="sl-SI"/>
              </w:rPr>
              <w:t xml:space="preserve"> </w:t>
            </w:r>
          </w:p>
        </w:tc>
        <w:tc>
          <w:tcPr>
            <w:tcW w:w="301" w:type="pct"/>
            <w:vAlign w:val="center"/>
          </w:tcPr>
          <w:p w14:paraId="429FEFAA" w14:textId="3B73FF2F" w:rsidR="00F851CC" w:rsidRDefault="00F851CC" w:rsidP="007A6126">
            <w:pPr>
              <w:pStyle w:val="Brezrazmikov"/>
              <w:jc w:val="center"/>
              <w:rPr>
                <w:lang w:eastAsia="sl-SI"/>
              </w:rPr>
            </w:pPr>
            <w:bookmarkStart w:id="13" w:name="enacba5"/>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5</w:t>
            </w:r>
            <w:r>
              <w:rPr>
                <w:lang w:eastAsia="sl-SI"/>
              </w:rPr>
              <w:fldChar w:fldCharType="end"/>
            </w:r>
            <w:r>
              <w:rPr>
                <w:lang w:eastAsia="sl-SI"/>
              </w:rPr>
              <w:t>)</w:t>
            </w:r>
            <w:bookmarkEnd w:id="13"/>
            <w:r>
              <w:rPr>
                <w:lang w:eastAsia="sl-SI"/>
              </w:rPr>
              <w:t>,</w:t>
            </w:r>
          </w:p>
        </w:tc>
      </w:tr>
    </w:tbl>
    <w:p w14:paraId="5BA6F5EB" w14:textId="77777777" w:rsidR="00F851CC" w:rsidRDefault="00F851CC" w:rsidP="00F851CC">
      <w:pPr>
        <w:pStyle w:val="Brezrazmikov"/>
        <w:rPr>
          <w:lang w:eastAsia="sl-SI"/>
        </w:rPr>
      </w:pPr>
      <w:r>
        <w:rPr>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5095"/>
      </w:tblGrid>
      <w:tr w:rsidR="00F851CC" w:rsidRPr="00954007" w14:paraId="255D02E3" w14:textId="77777777" w:rsidTr="007A6126">
        <w:trPr>
          <w:trHeight w:val="278"/>
        </w:trPr>
        <w:tc>
          <w:tcPr>
            <w:tcW w:w="0" w:type="auto"/>
          </w:tcPr>
          <w:p w14:paraId="2F351954" w14:textId="77777777" w:rsidR="00F851CC" w:rsidRPr="00954007" w:rsidRDefault="00F851CC" w:rsidP="007A6126">
            <w:pPr>
              <w:pStyle w:val="Brezrazmikov"/>
              <w:rPr>
                <w:i/>
                <w:iCs/>
              </w:rPr>
            </w:pPr>
            <w:proofErr w:type="spellStart"/>
            <w:r w:rsidRPr="00954007">
              <w:rPr>
                <w:i/>
                <w:iCs/>
              </w:rPr>
              <w:t>k</w:t>
            </w:r>
            <w:r>
              <w:rPr>
                <w:i/>
                <w:iCs/>
                <w:vertAlign w:val="subscript"/>
              </w:rPr>
              <w:t>L</w:t>
            </w:r>
            <w:proofErr w:type="spellEnd"/>
          </w:p>
        </w:tc>
        <w:tc>
          <w:tcPr>
            <w:tcW w:w="0" w:type="auto"/>
          </w:tcPr>
          <w:p w14:paraId="23198701" w14:textId="77777777" w:rsidR="00F851CC" w:rsidRPr="00954007" w:rsidRDefault="00F851CC" w:rsidP="007A6126">
            <w:pPr>
              <w:pStyle w:val="Brezrazmikov"/>
              <w:rPr>
                <w:i/>
                <w:iCs/>
                <w:lang w:eastAsia="sl-SI"/>
              </w:rPr>
            </w:pPr>
            <w:r w:rsidRPr="00954007">
              <w:rPr>
                <w:i/>
                <w:iCs/>
                <w:lang w:eastAsia="sl-SI"/>
              </w:rPr>
              <w:t>ocena zahtevanega donosa lastniškega kapitala</w:t>
            </w:r>
          </w:p>
        </w:tc>
      </w:tr>
      <w:tr w:rsidR="00F851CC" w:rsidRPr="00954007" w14:paraId="7F844D41" w14:textId="77777777" w:rsidTr="007A6126">
        <w:trPr>
          <w:trHeight w:val="278"/>
        </w:trPr>
        <w:tc>
          <w:tcPr>
            <w:tcW w:w="0" w:type="auto"/>
          </w:tcPr>
          <w:p w14:paraId="7C4489EA" w14:textId="77777777" w:rsidR="00F851CC" w:rsidRPr="00954007" w:rsidRDefault="00F851CC" w:rsidP="007A6126">
            <w:pPr>
              <w:pStyle w:val="Brezrazmikov"/>
              <w:rPr>
                <w:i/>
                <w:iCs/>
                <w:vertAlign w:val="subscript"/>
              </w:rPr>
            </w:pPr>
            <w:proofErr w:type="spellStart"/>
            <w:r w:rsidRPr="00954007">
              <w:rPr>
                <w:i/>
                <w:iCs/>
              </w:rPr>
              <w:t>r</w:t>
            </w:r>
            <w:r w:rsidRPr="00954007">
              <w:rPr>
                <w:i/>
                <w:iCs/>
                <w:vertAlign w:val="subscript"/>
              </w:rPr>
              <w:t>f</w:t>
            </w:r>
            <w:proofErr w:type="spellEnd"/>
          </w:p>
        </w:tc>
        <w:tc>
          <w:tcPr>
            <w:tcW w:w="0" w:type="auto"/>
          </w:tcPr>
          <w:p w14:paraId="6C6BD2D6" w14:textId="77777777" w:rsidR="00F851CC" w:rsidRPr="00954007" w:rsidRDefault="00F851CC" w:rsidP="007A6126">
            <w:pPr>
              <w:pStyle w:val="Brezrazmikov"/>
              <w:rPr>
                <w:i/>
                <w:iCs/>
                <w:lang w:eastAsia="sl-SI"/>
              </w:rPr>
            </w:pPr>
            <w:r w:rsidRPr="00954007">
              <w:rPr>
                <w:i/>
                <w:iCs/>
                <w:lang w:eastAsia="sl-SI"/>
              </w:rPr>
              <w:t>stopnja donosa v netvegano naložbo</w:t>
            </w:r>
          </w:p>
        </w:tc>
      </w:tr>
      <w:tr w:rsidR="00F851CC" w:rsidRPr="00954007" w14:paraId="43E9F959" w14:textId="77777777" w:rsidTr="007A6126">
        <w:trPr>
          <w:trHeight w:val="278"/>
        </w:trPr>
        <w:tc>
          <w:tcPr>
            <w:tcW w:w="0" w:type="auto"/>
          </w:tcPr>
          <w:p w14:paraId="1194BE03" w14:textId="77777777" w:rsidR="00F851CC" w:rsidRPr="00954007" w:rsidRDefault="00F851CC" w:rsidP="007A6126">
            <w:pPr>
              <w:pStyle w:val="Brezrazmikov"/>
              <w:rPr>
                <w:i/>
                <w:iCs/>
                <w:vertAlign w:val="subscript"/>
              </w:rPr>
            </w:pPr>
            <w:proofErr w:type="spellStart"/>
            <w:r w:rsidRPr="00954007">
              <w:rPr>
                <w:i/>
                <w:iCs/>
              </w:rPr>
              <w:t>r</w:t>
            </w:r>
            <w:r w:rsidRPr="00954007">
              <w:rPr>
                <w:i/>
                <w:iCs/>
                <w:vertAlign w:val="subscript"/>
              </w:rPr>
              <w:t>m</w:t>
            </w:r>
            <w:proofErr w:type="spellEnd"/>
          </w:p>
        </w:tc>
        <w:tc>
          <w:tcPr>
            <w:tcW w:w="0" w:type="auto"/>
          </w:tcPr>
          <w:p w14:paraId="124A3543" w14:textId="77777777" w:rsidR="00F851CC" w:rsidRPr="00954007" w:rsidRDefault="00F851CC" w:rsidP="007A6126">
            <w:pPr>
              <w:pStyle w:val="Brezrazmikov"/>
              <w:rPr>
                <w:i/>
                <w:iCs/>
                <w:lang w:eastAsia="sl-SI"/>
              </w:rPr>
            </w:pPr>
            <w:r w:rsidRPr="00954007">
              <w:rPr>
                <w:i/>
                <w:iCs/>
                <w:lang w:eastAsia="sl-SI"/>
              </w:rPr>
              <w:t>stopnja donosa lastniškega kapitala</w:t>
            </w:r>
          </w:p>
        </w:tc>
      </w:tr>
      <w:tr w:rsidR="00F851CC" w:rsidRPr="00954007" w14:paraId="5A529EE2" w14:textId="77777777" w:rsidTr="007A6126">
        <w:trPr>
          <w:trHeight w:val="278"/>
        </w:trPr>
        <w:tc>
          <w:tcPr>
            <w:tcW w:w="0" w:type="auto"/>
          </w:tcPr>
          <w:p w14:paraId="020F930B" w14:textId="77777777" w:rsidR="00F851CC" w:rsidRPr="00954007" w:rsidRDefault="00F851CC" w:rsidP="007A6126">
            <w:pPr>
              <w:pStyle w:val="Brezrazmikov"/>
              <w:rPr>
                <w:i/>
                <w:iCs/>
              </w:rPr>
            </w:pPr>
            <w:proofErr w:type="spellStart"/>
            <w:r w:rsidRPr="00954007">
              <w:rPr>
                <w:i/>
                <w:iCs/>
              </w:rPr>
              <w:lastRenderedPageBreak/>
              <w:t>r</w:t>
            </w:r>
            <w:r w:rsidRPr="00954007">
              <w:rPr>
                <w:i/>
                <w:iCs/>
                <w:vertAlign w:val="subscript"/>
              </w:rPr>
              <w:t>m</w:t>
            </w:r>
            <w:proofErr w:type="spellEnd"/>
            <w:r w:rsidRPr="00954007">
              <w:rPr>
                <w:i/>
                <w:iCs/>
              </w:rPr>
              <w:t xml:space="preserve"> - </w:t>
            </w:r>
            <w:proofErr w:type="spellStart"/>
            <w:r w:rsidRPr="00954007">
              <w:rPr>
                <w:i/>
                <w:iCs/>
              </w:rPr>
              <w:t>r</w:t>
            </w:r>
            <w:r w:rsidRPr="00954007">
              <w:rPr>
                <w:i/>
                <w:iCs/>
                <w:vertAlign w:val="subscript"/>
              </w:rPr>
              <w:t>f</w:t>
            </w:r>
            <w:proofErr w:type="spellEnd"/>
            <w:r w:rsidRPr="00954007">
              <w:rPr>
                <w:i/>
                <w:iCs/>
              </w:rPr>
              <w:t xml:space="preserve"> </w:t>
            </w:r>
          </w:p>
        </w:tc>
        <w:tc>
          <w:tcPr>
            <w:tcW w:w="0" w:type="auto"/>
          </w:tcPr>
          <w:p w14:paraId="2A88B9F4" w14:textId="77777777" w:rsidR="00F851CC" w:rsidRPr="00954007" w:rsidRDefault="00F851CC" w:rsidP="007A6126">
            <w:pPr>
              <w:pStyle w:val="Brezrazmikov"/>
              <w:rPr>
                <w:i/>
                <w:iCs/>
                <w:lang w:eastAsia="sl-SI"/>
              </w:rPr>
            </w:pPr>
            <w:r>
              <w:rPr>
                <w:i/>
                <w:iCs/>
                <w:lang w:eastAsia="sl-SI"/>
              </w:rPr>
              <w:t>t</w:t>
            </w:r>
            <w:r w:rsidRPr="00954007">
              <w:rPr>
                <w:i/>
                <w:iCs/>
                <w:lang w:eastAsia="sl-SI"/>
              </w:rPr>
              <w:t>ržna premija za tveganje</w:t>
            </w:r>
          </w:p>
        </w:tc>
      </w:tr>
      <w:tr w:rsidR="00F851CC" w:rsidRPr="00954007" w14:paraId="00D1EBD1" w14:textId="77777777" w:rsidTr="007A6126">
        <w:trPr>
          <w:trHeight w:val="278"/>
        </w:trPr>
        <w:tc>
          <w:tcPr>
            <w:tcW w:w="0" w:type="auto"/>
          </w:tcPr>
          <w:p w14:paraId="2EA61B65" w14:textId="77777777" w:rsidR="00F851CC" w:rsidRPr="00954007" w:rsidRDefault="00F851CC" w:rsidP="007A6126">
            <w:pPr>
              <w:pStyle w:val="Brezrazmikov"/>
              <w:rPr>
                <w:i/>
                <w:iCs/>
              </w:rPr>
            </w:pPr>
            <m:oMathPara>
              <m:oMathParaPr>
                <m:jc m:val="left"/>
              </m:oMathParaPr>
              <m:oMath>
                <m:r>
                  <w:rPr>
                    <w:rFonts w:ascii="Cambria Math" w:hAnsi="Cambria Math"/>
                    <w:lang w:eastAsia="sl-SI"/>
                  </w:rPr>
                  <m:t>β</m:t>
                </m:r>
              </m:oMath>
            </m:oMathPara>
          </w:p>
        </w:tc>
        <w:tc>
          <w:tcPr>
            <w:tcW w:w="0" w:type="auto"/>
          </w:tcPr>
          <w:p w14:paraId="3575BC9F" w14:textId="77777777" w:rsidR="00F851CC" w:rsidRPr="00954007" w:rsidRDefault="00F851CC" w:rsidP="007A6126">
            <w:pPr>
              <w:pStyle w:val="Brezrazmikov"/>
              <w:rPr>
                <w:i/>
                <w:iCs/>
                <w:lang w:eastAsia="sl-SI"/>
              </w:rPr>
            </w:pPr>
            <w:r w:rsidRPr="00954007">
              <w:rPr>
                <w:i/>
                <w:iCs/>
                <w:lang w:eastAsia="sl-SI"/>
              </w:rPr>
              <w:t>beta koeficient</w:t>
            </w:r>
            <w:r>
              <w:rPr>
                <w:i/>
                <w:iCs/>
                <w:lang w:eastAsia="sl-SI"/>
              </w:rPr>
              <w:t xml:space="preserve"> -</w:t>
            </w:r>
            <w:r w:rsidRPr="00954007">
              <w:rPr>
                <w:i/>
                <w:iCs/>
                <w:lang w:eastAsia="sl-SI"/>
              </w:rPr>
              <w:t xml:space="preserve"> mera posebnega tveganja naložbe</w:t>
            </w:r>
          </w:p>
        </w:tc>
      </w:tr>
    </w:tbl>
    <w:p w14:paraId="1050726B" w14:textId="77777777" w:rsidR="00F851CC" w:rsidRDefault="00F851CC" w:rsidP="00F851CC">
      <w:pPr>
        <w:pStyle w:val="Brezrazmikov"/>
        <w:rPr>
          <w:u w:val="single"/>
          <w:lang w:eastAsia="sl-SI"/>
        </w:rPr>
      </w:pPr>
    </w:p>
    <w:p w14:paraId="79421CE7" w14:textId="77777777" w:rsidR="00F851CC" w:rsidRDefault="00F851CC" w:rsidP="00F851CC">
      <w:pPr>
        <w:pStyle w:val="Brezrazmikov"/>
        <w:rPr>
          <w:lang w:eastAsia="sl-SI"/>
        </w:rPr>
      </w:pPr>
      <w:r w:rsidRPr="00C02197">
        <w:rPr>
          <w:u w:val="single"/>
          <w:lang w:eastAsia="sl-SI"/>
        </w:rPr>
        <w:t>Stopnja donosa v netvegano naložbo</w:t>
      </w:r>
      <w:r>
        <w:rPr>
          <w:lang w:eastAsia="sl-SI"/>
        </w:rPr>
        <w:t xml:space="preserve"> po navadi temelji na stopnji donosa državnih obveznic. Državne obveznice vzamemo, ker so te visoko likvidne, tveganje za neplačilo pa je zelo nizko (</w:t>
      </w:r>
      <w:proofErr w:type="spellStart"/>
      <w:r>
        <w:rPr>
          <w:lang w:eastAsia="sl-SI"/>
        </w:rPr>
        <w:t>Damodaran</w:t>
      </w:r>
      <w:proofErr w:type="spellEnd"/>
      <w:r>
        <w:rPr>
          <w:lang w:eastAsia="sl-SI"/>
        </w:rPr>
        <w:t xml:space="preserve"> A., 2001, str. 188). Ker je trenutno stanje donosnosti zaradi ničelnih obresti zelo slabo in v prihodnosti ni nujno, da bodo obresti ostale tako nizke, smo namesto državnih obveznic vzeli </w:t>
      </w:r>
      <w:proofErr w:type="spellStart"/>
      <w:r>
        <w:rPr>
          <w:i/>
          <w:iCs/>
          <w:lang w:eastAsia="sl-SI"/>
        </w:rPr>
        <w:t>r</w:t>
      </w:r>
      <w:r>
        <w:rPr>
          <w:i/>
          <w:iCs/>
          <w:vertAlign w:val="subscript"/>
          <w:lang w:eastAsia="sl-SI"/>
        </w:rPr>
        <w:t>f</w:t>
      </w:r>
      <w:proofErr w:type="spellEnd"/>
      <w:r>
        <w:rPr>
          <w:lang w:eastAsia="sl-SI"/>
        </w:rPr>
        <w:t xml:space="preserve"> s spletne strani </w:t>
      </w:r>
      <w:proofErr w:type="spellStart"/>
      <w:r>
        <w:rPr>
          <w:lang w:eastAsia="sl-SI"/>
        </w:rPr>
        <w:t>Duff</w:t>
      </w:r>
      <w:proofErr w:type="spellEnd"/>
      <w:r>
        <w:rPr>
          <w:lang w:eastAsia="sl-SI"/>
        </w:rPr>
        <w:t xml:space="preserve"> </w:t>
      </w:r>
      <w:proofErr w:type="spellStart"/>
      <w:r>
        <w:rPr>
          <w:lang w:eastAsia="sl-SI"/>
        </w:rPr>
        <w:t>and</w:t>
      </w:r>
      <w:proofErr w:type="spellEnd"/>
      <w:r>
        <w:rPr>
          <w:lang w:eastAsia="sl-SI"/>
        </w:rPr>
        <w:t xml:space="preserve"> </w:t>
      </w:r>
      <w:proofErr w:type="spellStart"/>
      <w:r>
        <w:rPr>
          <w:lang w:eastAsia="sl-SI"/>
        </w:rPr>
        <w:t>Phelps</w:t>
      </w:r>
      <w:proofErr w:type="spellEnd"/>
      <w:r>
        <w:rPr>
          <w:lang w:eastAsia="sl-SI"/>
        </w:rPr>
        <w:t xml:space="preserve">, kjer so izračunali ameriško normalizirano netvegano stopnjo donosa (ang. – </w:t>
      </w:r>
      <w:proofErr w:type="spellStart"/>
      <w:r>
        <w:rPr>
          <w:lang w:eastAsia="sl-SI"/>
        </w:rPr>
        <w:t>normalized</w:t>
      </w:r>
      <w:proofErr w:type="spellEnd"/>
      <w:r>
        <w:rPr>
          <w:lang w:eastAsia="sl-SI"/>
        </w:rPr>
        <w:t xml:space="preserve"> </w:t>
      </w:r>
      <w:proofErr w:type="spellStart"/>
      <w:r>
        <w:rPr>
          <w:lang w:eastAsia="sl-SI"/>
        </w:rPr>
        <w:t>risk-free</w:t>
      </w:r>
      <w:proofErr w:type="spellEnd"/>
      <w:r>
        <w:rPr>
          <w:lang w:eastAsia="sl-SI"/>
        </w:rPr>
        <w:t xml:space="preserve"> </w:t>
      </w:r>
      <w:proofErr w:type="spellStart"/>
      <w:r>
        <w:rPr>
          <w:lang w:eastAsia="sl-SI"/>
        </w:rPr>
        <w:t>rate</w:t>
      </w:r>
      <w:proofErr w:type="spellEnd"/>
      <w:r>
        <w:rPr>
          <w:lang w:eastAsia="sl-SI"/>
        </w:rPr>
        <w:t>) v višini 3,5 %.</w:t>
      </w:r>
      <w:r>
        <w:rPr>
          <w:rStyle w:val="Sprotnaopomba-sklic"/>
          <w:lang w:eastAsia="sl-SI"/>
        </w:rPr>
        <w:footnoteReference w:id="8"/>
      </w:r>
    </w:p>
    <w:p w14:paraId="785BD1CC" w14:textId="77777777" w:rsidR="00F851CC" w:rsidRDefault="00F851CC" w:rsidP="00F851CC">
      <w:pPr>
        <w:pStyle w:val="Brezrazmikov"/>
      </w:pPr>
      <w:r>
        <w:rPr>
          <w:lang w:eastAsia="sl-SI"/>
        </w:rPr>
        <w:t xml:space="preserve">Razliko med stopnjo donosa lastniškega kapitala in netvegano naložbo nam predstavlja </w:t>
      </w:r>
      <w:r w:rsidRPr="00870329">
        <w:rPr>
          <w:u w:val="single"/>
          <w:lang w:eastAsia="sl-SI"/>
        </w:rPr>
        <w:t>tržna premija za tveganje</w:t>
      </w:r>
      <w:r>
        <w:rPr>
          <w:lang w:eastAsia="sl-SI"/>
        </w:rPr>
        <w:t xml:space="preserve">, ki jo investitorji zahtevajo za vlaganje v lastniški kapital podjetja namesto v netvegane vrednostne papirje. </w:t>
      </w:r>
      <w:r w:rsidRPr="004D62B0">
        <w:rPr>
          <w:lang w:eastAsia="sl-SI"/>
        </w:rPr>
        <w:t xml:space="preserve">Tržno premijo za tveganje </w:t>
      </w:r>
      <w:r>
        <w:rPr>
          <w:lang w:eastAsia="sl-SI"/>
        </w:rPr>
        <w:t>smo prevzeli iz</w:t>
      </w:r>
      <w:r w:rsidRPr="004D62B0">
        <w:rPr>
          <w:lang w:eastAsia="sl-SI"/>
        </w:rPr>
        <w:t xml:space="preserve"> podatkov iz spletne strani </w:t>
      </w:r>
      <w:proofErr w:type="spellStart"/>
      <w:r w:rsidRPr="004D62B0">
        <w:rPr>
          <w:lang w:eastAsia="sl-SI"/>
        </w:rPr>
        <w:t>Damodaran</w:t>
      </w:r>
      <w:proofErr w:type="spellEnd"/>
      <w:r w:rsidRPr="004D62B0">
        <w:rPr>
          <w:lang w:eastAsia="sl-SI"/>
        </w:rPr>
        <w:t>, kjer so na mesečni ravni objavljeni podatki o implicitni stopnji tržne premije za tveganje.</w:t>
      </w:r>
      <w:r>
        <w:rPr>
          <w:rStyle w:val="Sprotnaopomba-sklic"/>
          <w:lang w:eastAsia="sl-SI"/>
        </w:rPr>
        <w:footnoteReference w:id="9"/>
      </w:r>
      <w:r w:rsidRPr="004D62B0">
        <w:rPr>
          <w:lang w:eastAsia="sl-SI"/>
        </w:rPr>
        <w:t xml:space="preserve"> Ta je izračunana kot razlika med povprečnim donosom indeksa S&amp;P 500 za preteklih 12 mesecev glede na 20-letno netvegano stopnjo </w:t>
      </w:r>
      <w:r w:rsidRPr="00712770">
        <w:rPr>
          <w:lang w:eastAsia="sl-SI"/>
        </w:rPr>
        <w:t>donosa.</w:t>
      </w:r>
      <w:r>
        <w:rPr>
          <w:rStyle w:val="Sprotnaopomba-sklic"/>
          <w:lang w:eastAsia="sl-SI"/>
        </w:rPr>
        <w:footnoteReference w:id="10"/>
      </w:r>
      <w:r>
        <w:t xml:space="preserve"> Tako smo dobili tržno premijo za tveganje v višini 5,19 %.</w:t>
      </w:r>
    </w:p>
    <w:p w14:paraId="758C7BB6" w14:textId="77777777" w:rsidR="00F851CC" w:rsidRDefault="00F851CC" w:rsidP="00F851CC">
      <w:pPr>
        <w:pStyle w:val="Brezrazmikov"/>
      </w:pPr>
    </w:p>
    <w:p w14:paraId="2972F805" w14:textId="77777777" w:rsidR="00F851CC" w:rsidRDefault="00F851CC" w:rsidP="00F851CC">
      <w:pPr>
        <w:pStyle w:val="Brezrazmikov"/>
      </w:pPr>
      <w:r>
        <w:t xml:space="preserve">K izračunu stroška lastniškega kapitala po CAPM modelu se dodatno upoštevajo še razne prilagoditve oz. nesistematična tveganja. Sem spadajo tveganje za majhnost podjetja, deželna tveganja in druga specifična tveganja. Pri določitvi premije za majhnost podjetja smo izhajali iz podatkov </w:t>
      </w:r>
      <w:proofErr w:type="spellStart"/>
      <w:r>
        <w:t>Duff</w:t>
      </w:r>
      <w:proofErr w:type="spellEnd"/>
      <w:r>
        <w:t xml:space="preserve"> &amp; </w:t>
      </w:r>
      <w:proofErr w:type="spellStart"/>
      <w:r>
        <w:t>Phelps</w:t>
      </w:r>
      <w:proofErr w:type="spellEnd"/>
      <w:r>
        <w:t xml:space="preserve"> za leto 2017, ki premijo za majhnost podjetja delijo v tri kategorije glede na velikost družbe oz. tržne kapitalizacije. Ta pomeni skupno tržno vrednost vseh delnic podjetja, ki se izračuna tako, da se tržna vrednost delnice pomnoži s številom vseh delnic podjetja. </w:t>
      </w:r>
    </w:p>
    <w:p w14:paraId="3AA197E1" w14:textId="162C7671" w:rsidR="00F851CC" w:rsidRDefault="00F851CC" w:rsidP="00F851CC">
      <w:pPr>
        <w:pStyle w:val="Napis"/>
        <w:keepNext/>
      </w:pPr>
      <w:bookmarkStart w:id="14" w:name="_Ref13480141"/>
      <w:bookmarkStart w:id="15" w:name="_Toc18964916"/>
      <w:r>
        <w:t xml:space="preserve">Tabela </w:t>
      </w:r>
      <w:fldSimple w:instr=" SEQ Tabela \* ARABIC ">
        <w:r w:rsidR="00325440">
          <w:rPr>
            <w:noProof/>
          </w:rPr>
          <w:t>1</w:t>
        </w:r>
      </w:fldSimple>
      <w:bookmarkEnd w:id="14"/>
      <w:r>
        <w:t>: Premija za majhnost podjetja</w:t>
      </w:r>
      <w:bookmarkEnd w:id="15"/>
    </w:p>
    <w:tbl>
      <w:tblPr>
        <w:tblStyle w:val="Tabelamrea"/>
        <w:tblW w:w="5000" w:type="pct"/>
        <w:tblLook w:val="04A0" w:firstRow="1" w:lastRow="0" w:firstColumn="1" w:lastColumn="0" w:noHBand="0" w:noVBand="1"/>
      </w:tblPr>
      <w:tblGrid>
        <w:gridCol w:w="2830"/>
        <w:gridCol w:w="4536"/>
        <w:gridCol w:w="2030"/>
      </w:tblGrid>
      <w:tr w:rsidR="00F851CC" w14:paraId="6DAF89EB" w14:textId="77777777" w:rsidTr="007A6126">
        <w:tc>
          <w:tcPr>
            <w:tcW w:w="1506" w:type="pct"/>
            <w:tcBorders>
              <w:bottom w:val="single" w:sz="8" w:space="0" w:color="auto"/>
            </w:tcBorders>
          </w:tcPr>
          <w:p w14:paraId="644C7830" w14:textId="77777777" w:rsidR="00F851CC" w:rsidRPr="00590E3F" w:rsidRDefault="00F851CC" w:rsidP="007A6126">
            <w:pPr>
              <w:pStyle w:val="Brezrazmikov"/>
              <w:rPr>
                <w:b/>
                <w:bCs/>
              </w:rPr>
            </w:pPr>
            <w:r w:rsidRPr="00590E3F">
              <w:rPr>
                <w:b/>
                <w:bCs/>
              </w:rPr>
              <w:t>Tip podjetja</w:t>
            </w:r>
          </w:p>
        </w:tc>
        <w:tc>
          <w:tcPr>
            <w:tcW w:w="2414" w:type="pct"/>
            <w:tcBorders>
              <w:bottom w:val="single" w:sz="8" w:space="0" w:color="auto"/>
            </w:tcBorders>
          </w:tcPr>
          <w:p w14:paraId="64ABC764" w14:textId="77777777" w:rsidR="00F851CC" w:rsidRPr="00590E3F" w:rsidRDefault="00F851CC" w:rsidP="007A6126">
            <w:pPr>
              <w:pStyle w:val="Brezrazmikov"/>
              <w:rPr>
                <w:b/>
                <w:bCs/>
              </w:rPr>
            </w:pPr>
            <w:r w:rsidRPr="00590E3F">
              <w:rPr>
                <w:b/>
                <w:bCs/>
              </w:rPr>
              <w:t>Tržna kapitalizacija</w:t>
            </w:r>
          </w:p>
        </w:tc>
        <w:tc>
          <w:tcPr>
            <w:tcW w:w="1080" w:type="pct"/>
            <w:tcBorders>
              <w:bottom w:val="single" w:sz="8" w:space="0" w:color="auto"/>
            </w:tcBorders>
          </w:tcPr>
          <w:p w14:paraId="2D0D2E22" w14:textId="77777777" w:rsidR="00F851CC" w:rsidRPr="00590E3F" w:rsidRDefault="00F851CC" w:rsidP="007A6126">
            <w:pPr>
              <w:pStyle w:val="Brezrazmikov"/>
              <w:rPr>
                <w:b/>
                <w:bCs/>
              </w:rPr>
            </w:pPr>
            <w:r w:rsidRPr="00590E3F">
              <w:rPr>
                <w:b/>
                <w:bCs/>
              </w:rPr>
              <w:t xml:space="preserve">Premija </w:t>
            </w:r>
          </w:p>
        </w:tc>
      </w:tr>
      <w:tr w:rsidR="00F851CC" w14:paraId="76C15F69" w14:textId="77777777" w:rsidTr="007A6126">
        <w:tc>
          <w:tcPr>
            <w:tcW w:w="1506" w:type="pct"/>
            <w:tcBorders>
              <w:top w:val="single" w:sz="8" w:space="0" w:color="auto"/>
            </w:tcBorders>
          </w:tcPr>
          <w:p w14:paraId="024AE5B9" w14:textId="77777777" w:rsidR="00F851CC" w:rsidRDefault="00F851CC" w:rsidP="007A6126">
            <w:pPr>
              <w:pStyle w:val="Brezrazmikov"/>
            </w:pPr>
            <w:r>
              <w:t>Velike družbe</w:t>
            </w:r>
          </w:p>
        </w:tc>
        <w:tc>
          <w:tcPr>
            <w:tcW w:w="2414" w:type="pct"/>
            <w:tcBorders>
              <w:top w:val="single" w:sz="8" w:space="0" w:color="auto"/>
            </w:tcBorders>
          </w:tcPr>
          <w:p w14:paraId="0E5BACAC" w14:textId="77777777" w:rsidR="00F851CC" w:rsidRDefault="00F851CC" w:rsidP="007A6126">
            <w:pPr>
              <w:pStyle w:val="Brezrazmikov"/>
            </w:pPr>
            <w:r>
              <w:t>2.392.689 USD – 10.711.194 USD</w:t>
            </w:r>
          </w:p>
        </w:tc>
        <w:tc>
          <w:tcPr>
            <w:tcW w:w="1080" w:type="pct"/>
            <w:tcBorders>
              <w:top w:val="single" w:sz="8" w:space="0" w:color="auto"/>
            </w:tcBorders>
          </w:tcPr>
          <w:p w14:paraId="6DFBFA61" w14:textId="77777777" w:rsidR="00F851CC" w:rsidRDefault="00F851CC" w:rsidP="007A6126">
            <w:pPr>
              <w:pStyle w:val="Brezrazmikov"/>
            </w:pPr>
            <w:r>
              <w:t>1,02 %</w:t>
            </w:r>
          </w:p>
        </w:tc>
      </w:tr>
      <w:tr w:rsidR="00F851CC" w14:paraId="6C304D44" w14:textId="77777777" w:rsidTr="007A6126">
        <w:tc>
          <w:tcPr>
            <w:tcW w:w="1506" w:type="pct"/>
          </w:tcPr>
          <w:p w14:paraId="737628DE" w14:textId="77777777" w:rsidR="00F851CC" w:rsidRDefault="00F851CC" w:rsidP="007A6126">
            <w:pPr>
              <w:pStyle w:val="Brezrazmikov"/>
            </w:pPr>
            <w:r>
              <w:t>Srednje družbe</w:t>
            </w:r>
          </w:p>
        </w:tc>
        <w:tc>
          <w:tcPr>
            <w:tcW w:w="2414" w:type="pct"/>
          </w:tcPr>
          <w:p w14:paraId="170AB1E1" w14:textId="77777777" w:rsidR="00F851CC" w:rsidRDefault="00F851CC" w:rsidP="007A6126">
            <w:pPr>
              <w:pStyle w:val="Brezrazmikov"/>
            </w:pPr>
            <w:r>
              <w:t>569.279 USD – 2.390.899 USD</w:t>
            </w:r>
          </w:p>
        </w:tc>
        <w:tc>
          <w:tcPr>
            <w:tcW w:w="1080" w:type="pct"/>
          </w:tcPr>
          <w:p w14:paraId="1056C781" w14:textId="77777777" w:rsidR="00F851CC" w:rsidRDefault="00F851CC" w:rsidP="007A6126">
            <w:pPr>
              <w:pStyle w:val="Brezrazmikov"/>
            </w:pPr>
            <w:r>
              <w:t>1,75 %</w:t>
            </w:r>
          </w:p>
        </w:tc>
      </w:tr>
      <w:tr w:rsidR="00F851CC" w14:paraId="79129EB9" w14:textId="77777777" w:rsidTr="007A6126">
        <w:tc>
          <w:tcPr>
            <w:tcW w:w="1506" w:type="pct"/>
          </w:tcPr>
          <w:p w14:paraId="14112CC1" w14:textId="77777777" w:rsidR="00F851CC" w:rsidRDefault="00F851CC" w:rsidP="007A6126">
            <w:pPr>
              <w:pStyle w:val="Brezrazmikov"/>
            </w:pPr>
            <w:r>
              <w:t>Majhne družbe</w:t>
            </w:r>
          </w:p>
        </w:tc>
        <w:tc>
          <w:tcPr>
            <w:tcW w:w="2414" w:type="pct"/>
          </w:tcPr>
          <w:p w14:paraId="71EEB61C" w14:textId="77777777" w:rsidR="00F851CC" w:rsidRDefault="00F851CC" w:rsidP="007A6126">
            <w:pPr>
              <w:pStyle w:val="Brezrazmikov"/>
            </w:pPr>
            <w:r>
              <w:t>2.516 USD – 567.843 USD</w:t>
            </w:r>
          </w:p>
        </w:tc>
        <w:tc>
          <w:tcPr>
            <w:tcW w:w="1080" w:type="pct"/>
          </w:tcPr>
          <w:p w14:paraId="6DCD53BE" w14:textId="77777777" w:rsidR="00F851CC" w:rsidRDefault="00F851CC" w:rsidP="007A6126">
            <w:pPr>
              <w:pStyle w:val="Brezrazmikov"/>
            </w:pPr>
            <w:r>
              <w:t>3,67 %</w:t>
            </w:r>
          </w:p>
        </w:tc>
      </w:tr>
    </w:tbl>
    <w:p w14:paraId="5A602567" w14:textId="77777777" w:rsidR="00F851CC" w:rsidRDefault="00F851CC" w:rsidP="00F851CC">
      <w:pPr>
        <w:pStyle w:val="Brezrazmikov"/>
      </w:pPr>
      <w:r>
        <w:t xml:space="preserve">Vir: </w:t>
      </w:r>
      <w:proofErr w:type="spellStart"/>
      <w:r>
        <w:t>Duff</w:t>
      </w:r>
      <w:proofErr w:type="spellEnd"/>
      <w:r>
        <w:t xml:space="preserve"> &amp; </w:t>
      </w:r>
      <w:proofErr w:type="spellStart"/>
      <w:r>
        <w:t>Phelps</w:t>
      </w:r>
      <w:proofErr w:type="spellEnd"/>
      <w:r>
        <w:t xml:space="preserve">, </w:t>
      </w:r>
      <w:proofErr w:type="spellStart"/>
      <w:r>
        <w:t>Valuation</w:t>
      </w:r>
      <w:proofErr w:type="spellEnd"/>
      <w:r>
        <w:t xml:space="preserve"> </w:t>
      </w:r>
      <w:proofErr w:type="spellStart"/>
      <w:r>
        <w:t>Handbook</w:t>
      </w:r>
      <w:proofErr w:type="spellEnd"/>
      <w:r>
        <w:t xml:space="preserve"> 2017</w:t>
      </w:r>
    </w:p>
    <w:p w14:paraId="3587C68C" w14:textId="77777777" w:rsidR="00F851CC" w:rsidRDefault="00F851CC" w:rsidP="00F851CC">
      <w:pPr>
        <w:pStyle w:val="Brezrazmikov"/>
      </w:pPr>
    </w:p>
    <w:p w14:paraId="34D8B271" w14:textId="77777777" w:rsidR="00F851CC" w:rsidRPr="004008A7" w:rsidRDefault="00F851CC" w:rsidP="00F851CC">
      <w:pPr>
        <w:pStyle w:val="Brezrazmikov"/>
        <w:rPr>
          <w:color w:val="000000" w:themeColor="text1"/>
        </w:rPr>
      </w:pPr>
      <w:r>
        <w:rPr>
          <w:color w:val="000000" w:themeColor="text1"/>
        </w:rPr>
        <w:t>Tveganje, ki je povezano s političnim sistemom in stabilnostjo neke države, imenujemo d</w:t>
      </w:r>
      <w:r w:rsidRPr="004008A7">
        <w:rPr>
          <w:color w:val="000000" w:themeColor="text1"/>
        </w:rPr>
        <w:t>eželno tveganje</w:t>
      </w:r>
      <w:r>
        <w:rPr>
          <w:color w:val="000000" w:themeColor="text1"/>
        </w:rPr>
        <w:t xml:space="preserve">. Sem spadajo pribitki zaradi regulacije s strani države, ki lahko omejujejo podjetja pri ustvarjanju večjih donosov. Deželna tveganja se razlikujejo od vsake države posebej. Vrednost premije smo prevzeli s spletne strani </w:t>
      </w:r>
      <w:proofErr w:type="spellStart"/>
      <w:r>
        <w:rPr>
          <w:color w:val="000000" w:themeColor="text1"/>
        </w:rPr>
        <w:t>Damodaran</w:t>
      </w:r>
      <w:proofErr w:type="spellEnd"/>
      <w:r>
        <w:rPr>
          <w:color w:val="000000" w:themeColor="text1"/>
        </w:rPr>
        <w:t xml:space="preserve"> </w:t>
      </w:r>
      <w:proofErr w:type="spellStart"/>
      <w:r>
        <w:rPr>
          <w:color w:val="000000" w:themeColor="text1"/>
        </w:rPr>
        <w:t>online</w:t>
      </w:r>
      <w:proofErr w:type="spellEnd"/>
      <w:r>
        <w:rPr>
          <w:color w:val="000000" w:themeColor="text1"/>
        </w:rPr>
        <w:t xml:space="preserve">, kjer so izračunane vrednosti deželnega tveganja za vsako državo posebej. Tako smo za premijo deželnega tveganja Slovenije upoštevali </w:t>
      </w:r>
      <w:r>
        <w:rPr>
          <w:color w:val="000000" w:themeColor="text1"/>
        </w:rPr>
        <w:lastRenderedPageBreak/>
        <w:t>2,22 %. Premije za specifična tveganja nismo v</w:t>
      </w:r>
      <w:r w:rsidRPr="004008A7">
        <w:rPr>
          <w:color w:val="000000" w:themeColor="text1"/>
        </w:rPr>
        <w:t xml:space="preserve">ključili, saj so ta odvisna od specifičnih lastnosti podjetja, ki jih v našem primeru nismo obravnavali. </w:t>
      </w:r>
    </w:p>
    <w:p w14:paraId="78425AC3" w14:textId="77777777" w:rsidR="00F851CC" w:rsidRPr="00D513F8" w:rsidRDefault="00F851CC" w:rsidP="00F851CC">
      <w:pPr>
        <w:pStyle w:val="Brezrazmikov"/>
      </w:pPr>
    </w:p>
    <w:p w14:paraId="24A0D025" w14:textId="77777777" w:rsidR="00F851CC" w:rsidRDefault="00F851CC" w:rsidP="00F851CC">
      <w:pPr>
        <w:pStyle w:val="Brezrazmikov"/>
        <w:rPr>
          <w:lang w:eastAsia="sl-SI"/>
        </w:rPr>
      </w:pPr>
      <w:r w:rsidRPr="00D513F8">
        <w:rPr>
          <w:u w:val="single"/>
          <w:lang w:eastAsia="sl-SI"/>
        </w:rPr>
        <w:t>Koeficient beta</w:t>
      </w:r>
      <w:r w:rsidRPr="00D513F8">
        <w:rPr>
          <w:lang w:eastAsia="sl-SI"/>
        </w:rPr>
        <w:t xml:space="preserve"> izraža mero sistematičnega tveganja, ki pove, </w:t>
      </w:r>
      <w:r>
        <w:rPr>
          <w:lang w:eastAsia="sl-SI"/>
        </w:rPr>
        <w:t xml:space="preserve">kako je z gibanjem trga povezana donosnost posamezne naložbe. Beta koeficient, ki je večji od ena, nam pove, da je naložba v kapital podjetja bolj tvegana od povprečnega tveganja na trgu. Če je beta manjša od ena, velja ravno obratno. Za koeficient beta uporabimo beta z zadolženostjo, saj je obravnavano podjetje Gorenje zadolženo. Koeficient izračunamo po naslednji enačbi: </w:t>
      </w:r>
    </w:p>
    <w:p w14:paraId="485DE519"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7803CEC6" w14:textId="77777777" w:rsidTr="007A6126">
        <w:tc>
          <w:tcPr>
            <w:tcW w:w="300" w:type="pct"/>
            <w:vAlign w:val="center"/>
          </w:tcPr>
          <w:p w14:paraId="552AB8C3" w14:textId="77777777" w:rsidR="00F851CC" w:rsidRDefault="00F851CC" w:rsidP="007A6126">
            <w:pPr>
              <w:pStyle w:val="Brezrazmikov"/>
              <w:jc w:val="center"/>
              <w:rPr>
                <w:lang w:eastAsia="sl-SI"/>
              </w:rPr>
            </w:pPr>
          </w:p>
        </w:tc>
        <w:tc>
          <w:tcPr>
            <w:tcW w:w="4399" w:type="pct"/>
            <w:vAlign w:val="center"/>
          </w:tcPr>
          <w:p w14:paraId="62FEF205" w14:textId="77777777" w:rsidR="00F851CC" w:rsidRDefault="00BB77EE" w:rsidP="007A6126">
            <w:pPr>
              <w:pStyle w:val="Brezrazmikov"/>
              <w:jc w:val="center"/>
              <w:rPr>
                <w:lang w:eastAsia="sl-SI"/>
              </w:rPr>
            </w:pPr>
            <m:oMathPara>
              <m:oMath>
                <m:sSub>
                  <m:sSubPr>
                    <m:ctrlPr>
                      <w:rPr>
                        <w:rFonts w:ascii="Cambria Math" w:hAnsi="Cambria Math"/>
                        <w:i/>
                        <w:lang w:eastAsia="sl-SI"/>
                      </w:rPr>
                    </m:ctrlPr>
                  </m:sSubPr>
                  <m:e>
                    <m:r>
                      <w:rPr>
                        <w:rFonts w:ascii="Cambria Math" w:hAnsi="Cambria Math"/>
                        <w:lang w:eastAsia="sl-SI"/>
                      </w:rPr>
                      <m:t>β</m:t>
                    </m:r>
                  </m:e>
                  <m:sub>
                    <m:r>
                      <w:rPr>
                        <w:rFonts w:ascii="Cambria Math" w:hAnsi="Cambria Math"/>
                        <w:lang w:eastAsia="sl-SI"/>
                      </w:rPr>
                      <m:t>L</m:t>
                    </m:r>
                  </m:sub>
                </m:sSub>
                <m:r>
                  <w:rPr>
                    <w:rFonts w:ascii="Cambria Math" w:hAnsi="Cambria Math"/>
                    <w:lang w:eastAsia="sl-SI"/>
                  </w:rPr>
                  <m:t xml:space="preserve">= </m:t>
                </m:r>
                <m:sSub>
                  <m:sSubPr>
                    <m:ctrlPr>
                      <w:rPr>
                        <w:rFonts w:ascii="Cambria Math" w:hAnsi="Cambria Math"/>
                        <w:i/>
                        <w:lang w:eastAsia="sl-SI"/>
                      </w:rPr>
                    </m:ctrlPr>
                  </m:sSubPr>
                  <m:e>
                    <m:r>
                      <w:rPr>
                        <w:rFonts w:ascii="Cambria Math" w:hAnsi="Cambria Math"/>
                        <w:lang w:eastAsia="sl-SI"/>
                      </w:rPr>
                      <m:t>β</m:t>
                    </m:r>
                  </m:e>
                  <m:sub>
                    <m:r>
                      <w:rPr>
                        <w:rFonts w:ascii="Cambria Math" w:hAnsi="Cambria Math"/>
                        <w:lang w:eastAsia="sl-SI"/>
                      </w:rPr>
                      <m:t>U</m:t>
                    </m:r>
                  </m:sub>
                </m:sSub>
                <m:r>
                  <w:rPr>
                    <w:rFonts w:ascii="Cambria Math" w:hAnsi="Cambria Math"/>
                    <w:lang w:eastAsia="sl-SI"/>
                  </w:rPr>
                  <m:t>*</m:t>
                </m:r>
                <m:d>
                  <m:dPr>
                    <m:ctrlPr>
                      <w:rPr>
                        <w:rFonts w:ascii="Cambria Math" w:hAnsi="Cambria Math"/>
                        <w:i/>
                        <w:lang w:eastAsia="sl-SI"/>
                      </w:rPr>
                    </m:ctrlPr>
                  </m:dPr>
                  <m:e>
                    <m:r>
                      <w:rPr>
                        <w:rFonts w:ascii="Cambria Math" w:hAnsi="Cambria Math"/>
                        <w:lang w:eastAsia="sl-SI"/>
                      </w:rPr>
                      <m:t>1+</m:t>
                    </m:r>
                    <m:d>
                      <m:dPr>
                        <m:ctrlPr>
                          <w:rPr>
                            <w:rFonts w:ascii="Cambria Math" w:hAnsi="Cambria Math"/>
                            <w:i/>
                            <w:lang w:eastAsia="sl-SI"/>
                          </w:rPr>
                        </m:ctrlPr>
                      </m:dPr>
                      <m:e>
                        <m:r>
                          <w:rPr>
                            <w:rFonts w:ascii="Cambria Math" w:hAnsi="Cambria Math"/>
                            <w:lang w:eastAsia="sl-SI"/>
                          </w:rPr>
                          <m:t>1-T</m:t>
                        </m:r>
                      </m:e>
                    </m:d>
                    <m:r>
                      <w:rPr>
                        <w:rFonts w:ascii="Cambria Math" w:hAnsi="Cambria Math"/>
                        <w:lang w:eastAsia="sl-SI"/>
                      </w:rPr>
                      <m:t>*</m:t>
                    </m:r>
                    <m:f>
                      <m:fPr>
                        <m:ctrlPr>
                          <w:rPr>
                            <w:rFonts w:ascii="Cambria Math" w:hAnsi="Cambria Math"/>
                            <w:i/>
                            <w:lang w:eastAsia="sl-SI"/>
                          </w:rPr>
                        </m:ctrlPr>
                      </m:fPr>
                      <m:num>
                        <m:r>
                          <w:rPr>
                            <w:rFonts w:ascii="Cambria Math" w:hAnsi="Cambria Math"/>
                            <w:lang w:eastAsia="sl-SI"/>
                          </w:rPr>
                          <m:t>D</m:t>
                        </m:r>
                      </m:num>
                      <m:den>
                        <m:r>
                          <w:rPr>
                            <w:rFonts w:ascii="Cambria Math" w:hAnsi="Cambria Math"/>
                            <w:lang w:eastAsia="sl-SI"/>
                          </w:rPr>
                          <m:t>E</m:t>
                        </m:r>
                      </m:den>
                    </m:f>
                    <m:r>
                      <w:rPr>
                        <w:rFonts w:ascii="Cambria Math" w:hAnsi="Cambria Math"/>
                        <w:lang w:eastAsia="sl-SI"/>
                      </w:rPr>
                      <m:t xml:space="preserve"> </m:t>
                    </m:r>
                  </m:e>
                </m:d>
              </m:oMath>
            </m:oMathPara>
          </w:p>
        </w:tc>
        <w:tc>
          <w:tcPr>
            <w:tcW w:w="301" w:type="pct"/>
            <w:vAlign w:val="center"/>
          </w:tcPr>
          <w:p w14:paraId="69979A35" w14:textId="42148E5C" w:rsidR="00F851CC" w:rsidRDefault="00F851CC" w:rsidP="007A6126">
            <w:pPr>
              <w:pStyle w:val="Brezrazmikov"/>
              <w:jc w:val="center"/>
              <w:rPr>
                <w:lang w:eastAsia="sl-SI"/>
              </w:rPr>
            </w:pPr>
            <w:bookmarkStart w:id="16" w:name="enacba6"/>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6</w:t>
            </w:r>
            <w:r>
              <w:rPr>
                <w:lang w:eastAsia="sl-SI"/>
              </w:rPr>
              <w:fldChar w:fldCharType="end"/>
            </w:r>
            <w:r>
              <w:rPr>
                <w:lang w:eastAsia="sl-SI"/>
              </w:rPr>
              <w:t>)</w:t>
            </w:r>
            <w:bookmarkEnd w:id="16"/>
            <w:r>
              <w:rPr>
                <w:lang w:eastAsia="sl-SI"/>
              </w:rPr>
              <w:t>,</w:t>
            </w:r>
          </w:p>
        </w:tc>
      </w:tr>
    </w:tbl>
    <w:p w14:paraId="452074DF" w14:textId="77777777" w:rsidR="00F851CC" w:rsidRDefault="00F851CC" w:rsidP="00F851CC">
      <w:pPr>
        <w:pStyle w:val="Brezrazmikov"/>
        <w:rPr>
          <w:lang w:eastAsia="sl-SI"/>
        </w:rPr>
      </w:pPr>
      <w:r>
        <w:rPr>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5456"/>
      </w:tblGrid>
      <w:tr w:rsidR="00F851CC" w:rsidRPr="007D70DA" w14:paraId="0449B629" w14:textId="77777777" w:rsidTr="007A6126">
        <w:tc>
          <w:tcPr>
            <w:tcW w:w="0" w:type="auto"/>
          </w:tcPr>
          <w:p w14:paraId="09305B11" w14:textId="77777777" w:rsidR="00F851CC" w:rsidRPr="007D70DA" w:rsidRDefault="00F851CC" w:rsidP="007A6126">
            <w:pPr>
              <w:pStyle w:val="Brezrazmikov"/>
              <w:rPr>
                <w:i/>
                <w:iCs/>
                <w:vertAlign w:val="subscript"/>
              </w:rPr>
            </w:pPr>
            <m:oMath>
              <m:r>
                <w:rPr>
                  <w:rFonts w:ascii="Cambria Math" w:hAnsi="Cambria Math"/>
                  <w:lang w:eastAsia="sl-SI"/>
                </w:rPr>
                <m:t>β</m:t>
              </m:r>
            </m:oMath>
            <w:r w:rsidRPr="007D70DA">
              <w:rPr>
                <w:rFonts w:eastAsiaTheme="minorEastAsia"/>
                <w:i/>
                <w:iCs/>
                <w:vertAlign w:val="subscript"/>
                <w:lang w:eastAsia="sl-SI"/>
              </w:rPr>
              <w:t>L</w:t>
            </w:r>
          </w:p>
        </w:tc>
        <w:tc>
          <w:tcPr>
            <w:tcW w:w="0" w:type="auto"/>
          </w:tcPr>
          <w:p w14:paraId="1F225CAA" w14:textId="77777777" w:rsidR="00F851CC" w:rsidRPr="007D70DA" w:rsidRDefault="00F851CC" w:rsidP="007A6126">
            <w:pPr>
              <w:pStyle w:val="Brezrazmikov"/>
              <w:rPr>
                <w:i/>
                <w:iCs/>
                <w:lang w:eastAsia="sl-SI"/>
              </w:rPr>
            </w:pPr>
            <w:r w:rsidRPr="007D70DA">
              <w:rPr>
                <w:i/>
                <w:iCs/>
                <w:lang w:eastAsia="sl-SI"/>
              </w:rPr>
              <w:t xml:space="preserve">beta z zadolženostjo (ang. </w:t>
            </w:r>
            <w:proofErr w:type="spellStart"/>
            <w:r w:rsidRPr="007D70DA">
              <w:rPr>
                <w:i/>
                <w:iCs/>
                <w:lang w:eastAsia="sl-SI"/>
              </w:rPr>
              <w:t>levered</w:t>
            </w:r>
            <w:proofErr w:type="spellEnd"/>
            <w:r w:rsidRPr="007D70DA">
              <w:rPr>
                <w:i/>
                <w:iCs/>
                <w:lang w:eastAsia="sl-SI"/>
              </w:rPr>
              <w:t xml:space="preserve"> beta)</w:t>
            </w:r>
          </w:p>
        </w:tc>
      </w:tr>
      <w:tr w:rsidR="00F851CC" w:rsidRPr="007D70DA" w14:paraId="00D9080B" w14:textId="77777777" w:rsidTr="007A6126">
        <w:tc>
          <w:tcPr>
            <w:tcW w:w="0" w:type="auto"/>
          </w:tcPr>
          <w:p w14:paraId="1ADDF28D" w14:textId="77777777" w:rsidR="00F851CC" w:rsidRPr="007D70DA" w:rsidRDefault="00F851CC" w:rsidP="007A6126">
            <w:pPr>
              <w:pStyle w:val="Brezrazmikov"/>
              <w:rPr>
                <w:i/>
                <w:iCs/>
                <w:vertAlign w:val="subscript"/>
              </w:rPr>
            </w:pPr>
            <m:oMath>
              <m:r>
                <w:rPr>
                  <w:rFonts w:ascii="Cambria Math" w:hAnsi="Cambria Math"/>
                  <w:lang w:eastAsia="sl-SI"/>
                </w:rPr>
                <m:t>β</m:t>
              </m:r>
            </m:oMath>
            <w:r w:rsidRPr="007D70DA">
              <w:rPr>
                <w:rFonts w:eastAsiaTheme="minorEastAsia"/>
                <w:i/>
                <w:iCs/>
                <w:vertAlign w:val="subscript"/>
                <w:lang w:eastAsia="sl-SI"/>
              </w:rPr>
              <w:t>U</w:t>
            </w:r>
          </w:p>
        </w:tc>
        <w:tc>
          <w:tcPr>
            <w:tcW w:w="0" w:type="auto"/>
          </w:tcPr>
          <w:p w14:paraId="4FAED2C7" w14:textId="77777777" w:rsidR="00F851CC" w:rsidRPr="007D70DA" w:rsidRDefault="00F851CC" w:rsidP="007A6126">
            <w:pPr>
              <w:pStyle w:val="Brezrazmikov"/>
              <w:rPr>
                <w:i/>
                <w:iCs/>
                <w:lang w:eastAsia="sl-SI"/>
              </w:rPr>
            </w:pPr>
            <w:r w:rsidRPr="007D70DA">
              <w:rPr>
                <w:i/>
                <w:iCs/>
                <w:lang w:eastAsia="sl-SI"/>
              </w:rPr>
              <w:t xml:space="preserve">beta brez zadolženosti (ang. </w:t>
            </w:r>
            <w:proofErr w:type="spellStart"/>
            <w:r w:rsidRPr="007D70DA">
              <w:rPr>
                <w:i/>
                <w:iCs/>
                <w:lang w:eastAsia="sl-SI"/>
              </w:rPr>
              <w:t>unlevered</w:t>
            </w:r>
            <w:proofErr w:type="spellEnd"/>
            <w:r w:rsidRPr="007D70DA">
              <w:rPr>
                <w:i/>
                <w:iCs/>
                <w:lang w:eastAsia="sl-SI"/>
              </w:rPr>
              <w:t xml:space="preserve"> beta)</w:t>
            </w:r>
          </w:p>
        </w:tc>
      </w:tr>
      <w:tr w:rsidR="00F851CC" w:rsidRPr="007D70DA" w14:paraId="64F9863A" w14:textId="77777777" w:rsidTr="007A6126">
        <w:tc>
          <w:tcPr>
            <w:tcW w:w="0" w:type="auto"/>
          </w:tcPr>
          <w:p w14:paraId="2116491E" w14:textId="77777777" w:rsidR="00F851CC" w:rsidRPr="007D70DA" w:rsidRDefault="006B1D0C" w:rsidP="007A6126">
            <w:pPr>
              <w:pStyle w:val="Brezrazmikov"/>
              <w:rPr>
                <w:i/>
                <w:iCs/>
                <w:vertAlign w:val="subscript"/>
              </w:rPr>
            </w:pPr>
            <w:r>
              <w:rPr>
                <w:i/>
                <w:iCs/>
              </w:rPr>
              <w:t>T</w:t>
            </w:r>
          </w:p>
        </w:tc>
        <w:tc>
          <w:tcPr>
            <w:tcW w:w="0" w:type="auto"/>
          </w:tcPr>
          <w:p w14:paraId="6EFFC370" w14:textId="77777777" w:rsidR="00F851CC" w:rsidRPr="007D70DA" w:rsidRDefault="00F851CC" w:rsidP="007A6126">
            <w:pPr>
              <w:pStyle w:val="Brezrazmikov"/>
              <w:rPr>
                <w:i/>
                <w:iCs/>
                <w:lang w:eastAsia="sl-SI"/>
              </w:rPr>
            </w:pPr>
            <w:r w:rsidRPr="007D70DA">
              <w:rPr>
                <w:i/>
                <w:iCs/>
                <w:lang w:eastAsia="sl-SI"/>
              </w:rPr>
              <w:t>efektivna davčna stopnja</w:t>
            </w:r>
          </w:p>
        </w:tc>
      </w:tr>
      <w:tr w:rsidR="00F851CC" w:rsidRPr="007D70DA" w14:paraId="48B3CC71" w14:textId="77777777" w:rsidTr="007A6126">
        <w:tc>
          <w:tcPr>
            <w:tcW w:w="0" w:type="auto"/>
          </w:tcPr>
          <w:p w14:paraId="539F3BE8" w14:textId="77777777" w:rsidR="00F851CC" w:rsidRPr="007D70DA" w:rsidRDefault="00BB77EE" w:rsidP="007A6126">
            <w:pPr>
              <w:pStyle w:val="Brezrazmikov"/>
              <w:rPr>
                <w:i/>
                <w:iCs/>
              </w:rPr>
            </w:pPr>
            <m:oMathPara>
              <m:oMathParaPr>
                <m:jc m:val="left"/>
              </m:oMathParaPr>
              <m:oMath>
                <m:f>
                  <m:fPr>
                    <m:ctrlPr>
                      <w:rPr>
                        <w:rFonts w:ascii="Cambria Math" w:hAnsi="Cambria Math"/>
                        <w:i/>
                        <w:iCs/>
                        <w:lang w:eastAsia="sl-SI"/>
                      </w:rPr>
                    </m:ctrlPr>
                  </m:fPr>
                  <m:num>
                    <m:r>
                      <w:rPr>
                        <w:rFonts w:ascii="Cambria Math" w:hAnsi="Cambria Math"/>
                        <w:lang w:eastAsia="sl-SI"/>
                      </w:rPr>
                      <m:t>D</m:t>
                    </m:r>
                  </m:num>
                  <m:den>
                    <m:r>
                      <w:rPr>
                        <w:rFonts w:ascii="Cambria Math" w:hAnsi="Cambria Math"/>
                        <w:lang w:eastAsia="sl-SI"/>
                      </w:rPr>
                      <m:t>E</m:t>
                    </m:r>
                  </m:den>
                </m:f>
              </m:oMath>
            </m:oMathPara>
          </w:p>
        </w:tc>
        <w:tc>
          <w:tcPr>
            <w:tcW w:w="0" w:type="auto"/>
            <w:vAlign w:val="center"/>
          </w:tcPr>
          <w:p w14:paraId="1ECA0F25" w14:textId="77777777" w:rsidR="00F851CC" w:rsidRPr="007D70DA" w:rsidRDefault="00F851CC" w:rsidP="007A6126">
            <w:pPr>
              <w:pStyle w:val="Brezrazmikov"/>
              <w:jc w:val="left"/>
              <w:rPr>
                <w:i/>
                <w:iCs/>
                <w:lang w:eastAsia="sl-SI"/>
              </w:rPr>
            </w:pPr>
            <w:r w:rsidRPr="007D70DA">
              <w:rPr>
                <w:i/>
                <w:iCs/>
                <w:lang w:eastAsia="sl-SI"/>
              </w:rPr>
              <w:t>razmerje med dolgom in lastniškim kapitalom podjetja</w:t>
            </w:r>
          </w:p>
        </w:tc>
      </w:tr>
    </w:tbl>
    <w:p w14:paraId="34B6E843" w14:textId="77777777" w:rsidR="00F851CC" w:rsidRDefault="00F851CC" w:rsidP="00F851CC">
      <w:pPr>
        <w:pStyle w:val="Brezrazmikov"/>
        <w:rPr>
          <w:lang w:eastAsia="sl-SI"/>
        </w:rPr>
      </w:pPr>
    </w:p>
    <w:p w14:paraId="67F92AAE" w14:textId="77777777" w:rsidR="00F851CC" w:rsidRDefault="00F851CC" w:rsidP="00F851CC">
      <w:pPr>
        <w:pStyle w:val="Brezrazmikov"/>
        <w:rPr>
          <w:lang w:eastAsia="sl-SI"/>
        </w:rPr>
      </w:pPr>
      <w:proofErr w:type="spellStart"/>
      <w:r>
        <w:rPr>
          <w:lang w:eastAsia="sl-SI"/>
        </w:rPr>
        <w:t>Koeficicient</w:t>
      </w:r>
      <w:proofErr w:type="spellEnd"/>
      <w:r>
        <w:rPr>
          <w:lang w:eastAsia="sl-SI"/>
        </w:rPr>
        <w:t xml:space="preserve"> beta brez zadolženosti smo dobili s spletne strani </w:t>
      </w:r>
      <w:proofErr w:type="spellStart"/>
      <w:r>
        <w:rPr>
          <w:lang w:eastAsia="sl-SI"/>
        </w:rPr>
        <w:t>Damodaran</w:t>
      </w:r>
      <w:proofErr w:type="spellEnd"/>
      <w:r>
        <w:rPr>
          <w:lang w:eastAsia="sl-SI"/>
        </w:rPr>
        <w:t xml:space="preserve"> </w:t>
      </w:r>
      <w:proofErr w:type="spellStart"/>
      <w:r>
        <w:rPr>
          <w:lang w:eastAsia="sl-SI"/>
        </w:rPr>
        <w:t>online</w:t>
      </w:r>
      <w:proofErr w:type="spellEnd"/>
      <w:r>
        <w:rPr>
          <w:lang w:eastAsia="sl-SI"/>
        </w:rPr>
        <w:t>.</w:t>
      </w:r>
      <w:r>
        <w:rPr>
          <w:rStyle w:val="Sprotnaopomba-sklic"/>
          <w:lang w:eastAsia="sl-SI"/>
        </w:rPr>
        <w:footnoteReference w:id="11"/>
      </w:r>
      <w:r>
        <w:rPr>
          <w:lang w:eastAsia="sl-SI"/>
        </w:rPr>
        <w:t xml:space="preserve"> Izbrali smo </w:t>
      </w:r>
      <w:proofErr w:type="spellStart"/>
      <w:r>
        <w:rPr>
          <w:lang w:eastAsia="sl-SI"/>
        </w:rPr>
        <w:t>neuteženo</w:t>
      </w:r>
      <w:proofErr w:type="spellEnd"/>
      <w:r>
        <w:rPr>
          <w:lang w:eastAsia="sl-SI"/>
        </w:rPr>
        <w:t xml:space="preserve"> beto za Evropska podjetja v panogi bele tehnike oz. ang. – </w:t>
      </w:r>
      <w:proofErr w:type="spellStart"/>
      <w:r w:rsidRPr="006D2F3F">
        <w:rPr>
          <w:i/>
          <w:iCs/>
          <w:lang w:eastAsia="sl-SI"/>
        </w:rPr>
        <w:t>Household</w:t>
      </w:r>
      <w:proofErr w:type="spellEnd"/>
      <w:r w:rsidRPr="006D2F3F">
        <w:rPr>
          <w:i/>
          <w:iCs/>
          <w:lang w:eastAsia="sl-SI"/>
        </w:rPr>
        <w:t xml:space="preserve"> </w:t>
      </w:r>
      <w:proofErr w:type="spellStart"/>
      <w:r w:rsidRPr="006D2F3F">
        <w:rPr>
          <w:i/>
          <w:iCs/>
          <w:lang w:eastAsia="sl-SI"/>
        </w:rPr>
        <w:t>product</w:t>
      </w:r>
      <w:proofErr w:type="spellEnd"/>
      <w:r>
        <w:rPr>
          <w:lang w:eastAsia="sl-SI"/>
        </w:rPr>
        <w:t>. Za to področje znaša beta koeficient brez zadolženosti 0,72. Vrednost dolžniškega kapitala predstavlja 53,69-odstotni delež v celotnem financiranju Skupine Gorenje. Ostalih 46,31 % pripada lastniškemu kapitalu.</w:t>
      </w:r>
    </w:p>
    <w:p w14:paraId="5CE734F8" w14:textId="431AB369" w:rsidR="00F851CC" w:rsidRDefault="00F851CC" w:rsidP="00F851CC">
      <w:pPr>
        <w:pStyle w:val="Brezrazmikov"/>
        <w:rPr>
          <w:lang w:eastAsia="sl-SI"/>
        </w:rPr>
      </w:pPr>
      <w:r>
        <w:rPr>
          <w:lang w:eastAsia="sl-SI"/>
        </w:rPr>
        <w:t xml:space="preserve">Po enačbi </w:t>
      </w:r>
      <w:r>
        <w:rPr>
          <w:lang w:eastAsia="sl-SI"/>
        </w:rPr>
        <w:fldChar w:fldCharType="begin"/>
      </w:r>
      <w:r>
        <w:rPr>
          <w:lang w:eastAsia="sl-SI"/>
        </w:rPr>
        <w:instrText xml:space="preserve"> REF enacba6 \h </w:instrText>
      </w:r>
      <w:r>
        <w:rPr>
          <w:lang w:eastAsia="sl-SI"/>
        </w:rPr>
      </w:r>
      <w:r>
        <w:rPr>
          <w:lang w:eastAsia="sl-SI"/>
        </w:rPr>
        <w:fldChar w:fldCharType="separate"/>
      </w:r>
      <w:r w:rsidR="00325440">
        <w:rPr>
          <w:lang w:eastAsia="sl-SI"/>
        </w:rPr>
        <w:t>(</w:t>
      </w:r>
      <w:r w:rsidR="00325440">
        <w:rPr>
          <w:noProof/>
          <w:lang w:eastAsia="sl-SI"/>
        </w:rPr>
        <w:t>6</w:t>
      </w:r>
      <w:r w:rsidR="00325440">
        <w:rPr>
          <w:lang w:eastAsia="sl-SI"/>
        </w:rPr>
        <w:t>)</w:t>
      </w:r>
      <w:r>
        <w:rPr>
          <w:lang w:eastAsia="sl-SI"/>
        </w:rPr>
        <w:fldChar w:fldCharType="end"/>
      </w:r>
      <w:r>
        <w:rPr>
          <w:lang w:eastAsia="sl-SI"/>
        </w:rPr>
        <w:t xml:space="preserve"> smo tako izračunali beto z zadolženostjo in dobili 1,40, kar pomeni, da je naložba v Skupino Gorenje bolj tvegana od povprečnega podjetja na trgu. </w:t>
      </w:r>
    </w:p>
    <w:p w14:paraId="2CE7ED2E" w14:textId="77777777" w:rsidR="00F851CC" w:rsidRDefault="00F851CC" w:rsidP="00F851CC">
      <w:pPr>
        <w:pStyle w:val="Brezrazmikov"/>
        <w:rPr>
          <w:lang w:eastAsia="sl-SI"/>
        </w:rPr>
      </w:pPr>
    </w:p>
    <w:p w14:paraId="5882C471" w14:textId="77777777" w:rsidR="00F851CC" w:rsidRDefault="00F851CC" w:rsidP="00F851CC">
      <w:pPr>
        <w:pStyle w:val="Brezrazmikov"/>
        <w:rPr>
          <w:lang w:eastAsia="sl-SI"/>
        </w:rPr>
      </w:pPr>
      <w:r w:rsidRPr="00870329">
        <w:rPr>
          <w:b/>
          <w:lang w:eastAsia="sl-SI"/>
        </w:rPr>
        <w:t>Strošek dolžniškega kapitala</w:t>
      </w:r>
      <w:r>
        <w:rPr>
          <w:lang w:eastAsia="sl-SI"/>
        </w:rPr>
        <w:t xml:space="preserve"> dobimo tako, da povprečno obrestno mero podjetja prilagodimo za efektivno davčno stopnjo (</w:t>
      </w:r>
      <w:proofErr w:type="spellStart"/>
      <w:r>
        <w:rPr>
          <w:lang w:eastAsia="sl-SI"/>
        </w:rPr>
        <w:t>Damodaran</w:t>
      </w:r>
      <w:proofErr w:type="spellEnd"/>
      <w:r>
        <w:rPr>
          <w:lang w:eastAsia="sl-SI"/>
        </w:rPr>
        <w:t xml:space="preserve"> A., 2001, str. 578):</w:t>
      </w:r>
    </w:p>
    <w:p w14:paraId="2BB70EE0"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15C26966" w14:textId="77777777" w:rsidTr="007A6126">
        <w:tc>
          <w:tcPr>
            <w:tcW w:w="300" w:type="pct"/>
            <w:vAlign w:val="center"/>
          </w:tcPr>
          <w:p w14:paraId="28C26977" w14:textId="77777777" w:rsidR="00F851CC" w:rsidRDefault="00F851CC" w:rsidP="007A6126">
            <w:pPr>
              <w:pStyle w:val="Brezrazmikov"/>
              <w:jc w:val="center"/>
              <w:rPr>
                <w:lang w:eastAsia="sl-SI"/>
              </w:rPr>
            </w:pPr>
          </w:p>
        </w:tc>
        <w:tc>
          <w:tcPr>
            <w:tcW w:w="4399" w:type="pct"/>
            <w:vAlign w:val="center"/>
          </w:tcPr>
          <w:p w14:paraId="4554B5A6" w14:textId="77777777" w:rsidR="00F851CC" w:rsidRDefault="00BB77EE" w:rsidP="007A6126">
            <w:pPr>
              <w:pStyle w:val="Brezrazmikov"/>
              <w:jc w:val="center"/>
              <w:rPr>
                <w:lang w:eastAsia="sl-SI"/>
              </w:rPr>
            </w:pPr>
            <m:oMathPara>
              <m:oMath>
                <m:sSub>
                  <m:sSubPr>
                    <m:ctrlPr>
                      <w:rPr>
                        <w:rFonts w:ascii="Cambria Math" w:hAnsi="Cambria Math"/>
                        <w:i/>
                        <w:lang w:eastAsia="sl-SI"/>
                      </w:rPr>
                    </m:ctrlPr>
                  </m:sSubPr>
                  <m:e>
                    <m:r>
                      <w:rPr>
                        <w:rFonts w:ascii="Cambria Math" w:hAnsi="Cambria Math"/>
                        <w:lang w:eastAsia="sl-SI"/>
                      </w:rPr>
                      <m:t>k</m:t>
                    </m:r>
                  </m:e>
                  <m:sub>
                    <m:r>
                      <w:rPr>
                        <w:rFonts w:ascii="Cambria Math" w:hAnsi="Cambria Math"/>
                        <w:lang w:eastAsia="sl-SI"/>
                      </w:rPr>
                      <m:t>D</m:t>
                    </m:r>
                  </m:sub>
                </m:sSub>
                <m:r>
                  <w:rPr>
                    <w:rFonts w:ascii="Cambria Math" w:hAnsi="Cambria Math"/>
                    <w:lang w:eastAsia="sl-SI"/>
                  </w:rPr>
                  <m:t xml:space="preserve">= </m:t>
                </m:r>
                <m:sSub>
                  <m:sSubPr>
                    <m:ctrlPr>
                      <w:rPr>
                        <w:rFonts w:ascii="Cambria Math" w:hAnsi="Cambria Math"/>
                        <w:i/>
                        <w:lang w:eastAsia="sl-SI"/>
                      </w:rPr>
                    </m:ctrlPr>
                  </m:sSubPr>
                  <m:e>
                    <m:r>
                      <w:rPr>
                        <w:rFonts w:ascii="Cambria Math" w:hAnsi="Cambria Math"/>
                        <w:lang w:eastAsia="sl-SI"/>
                      </w:rPr>
                      <m:t>r</m:t>
                    </m:r>
                  </m:e>
                  <m:sub>
                    <m:r>
                      <w:rPr>
                        <w:rFonts w:ascii="Cambria Math" w:hAnsi="Cambria Math"/>
                        <w:lang w:eastAsia="sl-SI"/>
                      </w:rPr>
                      <m:t>POVP</m:t>
                    </m:r>
                  </m:sub>
                </m:sSub>
                <m:r>
                  <w:rPr>
                    <w:rFonts w:ascii="Cambria Math" w:hAnsi="Cambria Math"/>
                    <w:lang w:eastAsia="sl-SI"/>
                  </w:rPr>
                  <m:t>*(1-T)</m:t>
                </m:r>
              </m:oMath>
            </m:oMathPara>
          </w:p>
        </w:tc>
        <w:tc>
          <w:tcPr>
            <w:tcW w:w="301" w:type="pct"/>
            <w:vAlign w:val="center"/>
          </w:tcPr>
          <w:p w14:paraId="5DC97CB7" w14:textId="25014A88" w:rsidR="00F851CC" w:rsidRDefault="00F851CC" w:rsidP="007A6126">
            <w:pPr>
              <w:pStyle w:val="Brezrazmikov"/>
              <w:jc w:val="center"/>
              <w:rPr>
                <w:lang w:eastAsia="sl-SI"/>
              </w:rPr>
            </w:pPr>
            <w:bookmarkStart w:id="17" w:name="enacba7"/>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7</w:t>
            </w:r>
            <w:r>
              <w:rPr>
                <w:lang w:eastAsia="sl-SI"/>
              </w:rPr>
              <w:fldChar w:fldCharType="end"/>
            </w:r>
            <w:r>
              <w:rPr>
                <w:lang w:eastAsia="sl-SI"/>
              </w:rPr>
              <w:t>)</w:t>
            </w:r>
            <w:bookmarkEnd w:id="17"/>
            <w:r>
              <w:rPr>
                <w:lang w:eastAsia="sl-SI"/>
              </w:rPr>
              <w:t>,</w:t>
            </w:r>
          </w:p>
        </w:tc>
      </w:tr>
    </w:tbl>
    <w:p w14:paraId="5E523DA1" w14:textId="77777777" w:rsidR="00F851CC" w:rsidRDefault="00F851CC" w:rsidP="00F851CC">
      <w:pPr>
        <w:pStyle w:val="Brezrazmikov"/>
        <w:rPr>
          <w:lang w:eastAsia="sl-SI"/>
        </w:rPr>
      </w:pPr>
      <w:r>
        <w:rPr>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3583"/>
      </w:tblGrid>
      <w:tr w:rsidR="00F851CC" w:rsidRPr="0044490F" w14:paraId="2FDB9F4C" w14:textId="77777777" w:rsidTr="007A6126">
        <w:tc>
          <w:tcPr>
            <w:tcW w:w="0" w:type="auto"/>
          </w:tcPr>
          <w:p w14:paraId="14131F95" w14:textId="77777777" w:rsidR="00F851CC" w:rsidRPr="0044490F" w:rsidRDefault="00F851CC" w:rsidP="007A6126">
            <w:pPr>
              <w:pStyle w:val="Brezrazmikov"/>
              <w:rPr>
                <w:i/>
                <w:iCs/>
                <w:vertAlign w:val="subscript"/>
                <w:lang w:eastAsia="sl-SI"/>
              </w:rPr>
            </w:pPr>
            <w:proofErr w:type="spellStart"/>
            <w:r w:rsidRPr="0044490F">
              <w:rPr>
                <w:i/>
                <w:iCs/>
                <w:lang w:eastAsia="sl-SI"/>
              </w:rPr>
              <w:t>k</w:t>
            </w:r>
            <w:r w:rsidRPr="0044490F">
              <w:rPr>
                <w:i/>
                <w:iCs/>
                <w:vertAlign w:val="subscript"/>
                <w:lang w:eastAsia="sl-SI"/>
              </w:rPr>
              <w:t>D</w:t>
            </w:r>
            <w:proofErr w:type="spellEnd"/>
          </w:p>
        </w:tc>
        <w:tc>
          <w:tcPr>
            <w:tcW w:w="0" w:type="auto"/>
          </w:tcPr>
          <w:p w14:paraId="3CAF65A7" w14:textId="77777777" w:rsidR="00F851CC" w:rsidRPr="0044490F" w:rsidRDefault="00F851CC" w:rsidP="007A6126">
            <w:pPr>
              <w:pStyle w:val="Brezrazmikov"/>
              <w:rPr>
                <w:i/>
                <w:iCs/>
                <w:lang w:eastAsia="sl-SI"/>
              </w:rPr>
            </w:pPr>
            <w:r w:rsidRPr="0044490F">
              <w:rPr>
                <w:i/>
                <w:iCs/>
                <w:lang w:eastAsia="sl-SI"/>
              </w:rPr>
              <w:t>ocena stroška dolžniškega kapitala</w:t>
            </w:r>
          </w:p>
        </w:tc>
      </w:tr>
      <w:tr w:rsidR="00F851CC" w:rsidRPr="0044490F" w14:paraId="34244873" w14:textId="77777777" w:rsidTr="007A6126">
        <w:tc>
          <w:tcPr>
            <w:tcW w:w="0" w:type="auto"/>
          </w:tcPr>
          <w:p w14:paraId="177AE21B" w14:textId="77777777" w:rsidR="00F851CC" w:rsidRPr="0044490F" w:rsidRDefault="00F851CC" w:rsidP="007A6126">
            <w:pPr>
              <w:pStyle w:val="Brezrazmikov"/>
              <w:rPr>
                <w:i/>
                <w:iCs/>
                <w:vertAlign w:val="subscript"/>
                <w:lang w:eastAsia="sl-SI"/>
              </w:rPr>
            </w:pPr>
            <w:proofErr w:type="spellStart"/>
            <w:r w:rsidRPr="0044490F">
              <w:rPr>
                <w:i/>
                <w:iCs/>
                <w:lang w:eastAsia="sl-SI"/>
              </w:rPr>
              <w:t>r</w:t>
            </w:r>
            <w:r w:rsidRPr="0044490F">
              <w:rPr>
                <w:i/>
                <w:iCs/>
                <w:vertAlign w:val="subscript"/>
                <w:lang w:eastAsia="sl-SI"/>
              </w:rPr>
              <w:t>POVP</w:t>
            </w:r>
            <w:proofErr w:type="spellEnd"/>
          </w:p>
        </w:tc>
        <w:tc>
          <w:tcPr>
            <w:tcW w:w="0" w:type="auto"/>
          </w:tcPr>
          <w:p w14:paraId="6040E1D3" w14:textId="77777777" w:rsidR="00F851CC" w:rsidRPr="0044490F" w:rsidRDefault="00F851CC" w:rsidP="007A6126">
            <w:pPr>
              <w:pStyle w:val="Brezrazmikov"/>
              <w:rPr>
                <w:i/>
                <w:iCs/>
                <w:lang w:eastAsia="sl-SI"/>
              </w:rPr>
            </w:pPr>
            <w:r w:rsidRPr="0044490F">
              <w:rPr>
                <w:i/>
                <w:iCs/>
                <w:lang w:eastAsia="sl-SI"/>
              </w:rPr>
              <w:t>povprečna obrestna mera podjetja</w:t>
            </w:r>
          </w:p>
        </w:tc>
      </w:tr>
      <w:tr w:rsidR="00F851CC" w:rsidRPr="0044490F" w14:paraId="65F1FA82" w14:textId="77777777" w:rsidTr="007A6126">
        <w:tc>
          <w:tcPr>
            <w:tcW w:w="0" w:type="auto"/>
          </w:tcPr>
          <w:p w14:paraId="6EFC33B9" w14:textId="77777777" w:rsidR="00F851CC" w:rsidRPr="0044490F" w:rsidRDefault="00F851CC" w:rsidP="007A6126">
            <w:pPr>
              <w:pStyle w:val="Brezrazmikov"/>
              <w:rPr>
                <w:i/>
                <w:iCs/>
                <w:lang w:eastAsia="sl-SI"/>
              </w:rPr>
            </w:pPr>
            <w:r>
              <w:rPr>
                <w:i/>
                <w:iCs/>
                <w:lang w:eastAsia="sl-SI"/>
              </w:rPr>
              <w:t>T</w:t>
            </w:r>
          </w:p>
        </w:tc>
        <w:tc>
          <w:tcPr>
            <w:tcW w:w="0" w:type="auto"/>
          </w:tcPr>
          <w:p w14:paraId="5C593924" w14:textId="77777777" w:rsidR="00F851CC" w:rsidRPr="0044490F" w:rsidRDefault="00F851CC" w:rsidP="007A6126">
            <w:pPr>
              <w:pStyle w:val="Brezrazmikov"/>
              <w:rPr>
                <w:i/>
                <w:iCs/>
                <w:lang w:eastAsia="sl-SI"/>
              </w:rPr>
            </w:pPr>
            <w:r w:rsidRPr="0044490F">
              <w:rPr>
                <w:i/>
                <w:iCs/>
                <w:lang w:eastAsia="sl-SI"/>
              </w:rPr>
              <w:t>efektivna davčna stopnja</w:t>
            </w:r>
          </w:p>
        </w:tc>
      </w:tr>
    </w:tbl>
    <w:p w14:paraId="0F2444AA" w14:textId="77777777" w:rsidR="00F851CC" w:rsidRDefault="00F851CC" w:rsidP="00F851CC">
      <w:pPr>
        <w:pStyle w:val="Brezrazmikov"/>
        <w:rPr>
          <w:lang w:eastAsia="sl-SI"/>
        </w:rPr>
      </w:pPr>
    </w:p>
    <w:p w14:paraId="7D6AF5C3" w14:textId="77777777" w:rsidR="00F851CC" w:rsidRDefault="00F851CC" w:rsidP="00F851CC">
      <w:pPr>
        <w:pStyle w:val="Brezrazmikov"/>
        <w:rPr>
          <w:lang w:eastAsia="sl-SI"/>
        </w:rPr>
      </w:pPr>
    </w:p>
    <w:p w14:paraId="0B632909" w14:textId="77777777" w:rsidR="006B1D0C" w:rsidRDefault="006B1D0C" w:rsidP="00F851CC">
      <w:pPr>
        <w:pStyle w:val="Brezrazmikov"/>
        <w:rPr>
          <w:lang w:eastAsia="sl-SI"/>
        </w:rPr>
      </w:pPr>
    </w:p>
    <w:p w14:paraId="762A0706" w14:textId="77777777" w:rsidR="006B1D0C" w:rsidRDefault="006B1D0C" w:rsidP="00F851CC">
      <w:pPr>
        <w:pStyle w:val="Brezrazmikov"/>
        <w:rPr>
          <w:lang w:eastAsia="sl-SI"/>
        </w:rPr>
      </w:pPr>
    </w:p>
    <w:p w14:paraId="455C5954" w14:textId="77777777" w:rsidR="00F851CC" w:rsidRDefault="00F851CC" w:rsidP="00F851CC">
      <w:pPr>
        <w:pStyle w:val="Brezrazmikov"/>
        <w:rPr>
          <w:lang w:eastAsia="sl-SI"/>
        </w:rPr>
      </w:pPr>
      <w:r>
        <w:rPr>
          <w:lang w:eastAsia="sl-SI"/>
        </w:rPr>
        <w:lastRenderedPageBreak/>
        <w:t>Sedaj, ko imamo razložene vse komponente za izračun tehtanega povprečja stroškov kapitala, lahko zapišemo še končno formulo za izračun vrednosti podjetja</w:t>
      </w:r>
      <w:r w:rsidRPr="007C2C4E">
        <w:rPr>
          <w:lang w:eastAsia="sl-SI"/>
        </w:rPr>
        <w:t xml:space="preserve"> </w:t>
      </w:r>
      <w:r>
        <w:rPr>
          <w:lang w:eastAsia="sl-SI"/>
        </w:rPr>
        <w:t>(</w:t>
      </w:r>
      <w:proofErr w:type="spellStart"/>
      <w:r>
        <w:rPr>
          <w:lang w:eastAsia="sl-SI"/>
        </w:rPr>
        <w:t>Damodaran</w:t>
      </w:r>
      <w:proofErr w:type="spellEnd"/>
      <w:r>
        <w:rPr>
          <w:lang w:eastAsia="sl-SI"/>
        </w:rPr>
        <w:t xml:space="preserve"> A., 2001, str. 386):</w:t>
      </w:r>
    </w:p>
    <w:p w14:paraId="02DBD7F1"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324B26CD" w14:textId="77777777" w:rsidTr="007A6126">
        <w:tc>
          <w:tcPr>
            <w:tcW w:w="300" w:type="pct"/>
            <w:vAlign w:val="center"/>
          </w:tcPr>
          <w:p w14:paraId="46F7E5A8" w14:textId="77777777" w:rsidR="00F851CC" w:rsidRDefault="00F851CC" w:rsidP="007A6126">
            <w:pPr>
              <w:pStyle w:val="Brezrazmikov"/>
              <w:jc w:val="center"/>
              <w:rPr>
                <w:lang w:eastAsia="sl-SI"/>
              </w:rPr>
            </w:pPr>
          </w:p>
        </w:tc>
        <w:tc>
          <w:tcPr>
            <w:tcW w:w="4399" w:type="pct"/>
            <w:vAlign w:val="center"/>
          </w:tcPr>
          <w:p w14:paraId="2F324536" w14:textId="77777777" w:rsidR="00F851CC" w:rsidRPr="003E22C3" w:rsidRDefault="00F851CC" w:rsidP="007A6126">
            <w:pPr>
              <w:pStyle w:val="Brezrazmikov"/>
              <w:jc w:val="center"/>
              <w:rPr>
                <w:rFonts w:eastAsiaTheme="minorEastAsia"/>
                <w:lang w:eastAsia="sl-SI"/>
              </w:rPr>
            </w:pPr>
            <m:oMathPara>
              <m:oMath>
                <m:r>
                  <w:rPr>
                    <w:rFonts w:ascii="Cambria Math" w:hAnsi="Cambria Math"/>
                    <w:lang w:eastAsia="sl-SI"/>
                  </w:rPr>
                  <m:t xml:space="preserve">V=PV+ </m:t>
                </m:r>
                <m:f>
                  <m:fPr>
                    <m:ctrlPr>
                      <w:rPr>
                        <w:rFonts w:ascii="Cambria Math" w:hAnsi="Cambria Math"/>
                        <w:i/>
                        <w:lang w:eastAsia="sl-SI"/>
                      </w:rPr>
                    </m:ctrlPr>
                  </m:fPr>
                  <m:num>
                    <m:r>
                      <w:rPr>
                        <w:rFonts w:ascii="Cambria Math" w:hAnsi="Cambria Math"/>
                        <w:lang w:eastAsia="sl-SI"/>
                      </w:rPr>
                      <m:t>TV</m:t>
                    </m:r>
                  </m:num>
                  <m:den>
                    <m:sSup>
                      <m:sSupPr>
                        <m:ctrlPr>
                          <w:rPr>
                            <w:rFonts w:ascii="Cambria Math" w:hAnsi="Cambria Math"/>
                            <w:i/>
                            <w:lang w:eastAsia="sl-SI"/>
                          </w:rPr>
                        </m:ctrlPr>
                      </m:sSupPr>
                      <m:e>
                        <m:d>
                          <m:dPr>
                            <m:ctrlPr>
                              <w:rPr>
                                <w:rFonts w:ascii="Cambria Math" w:hAnsi="Cambria Math"/>
                                <w:i/>
                                <w:lang w:eastAsia="sl-SI"/>
                              </w:rPr>
                            </m:ctrlPr>
                          </m:dPr>
                          <m:e>
                            <m:r>
                              <w:rPr>
                                <w:rFonts w:ascii="Cambria Math" w:hAnsi="Cambria Math"/>
                                <w:lang w:eastAsia="sl-SI"/>
                              </w:rPr>
                              <m:t>1+WACC</m:t>
                            </m:r>
                          </m:e>
                        </m:d>
                      </m:e>
                      <m:sup>
                        <m:r>
                          <w:rPr>
                            <w:rFonts w:ascii="Cambria Math" w:hAnsi="Cambria Math"/>
                            <w:lang w:eastAsia="sl-SI"/>
                          </w:rPr>
                          <m:t>n</m:t>
                        </m:r>
                      </m:sup>
                    </m:sSup>
                  </m:den>
                </m:f>
                <m:r>
                  <w:rPr>
                    <w:rFonts w:ascii="Cambria Math" w:hAnsi="Cambria Math"/>
                    <w:lang w:eastAsia="sl-SI"/>
                  </w:rPr>
                  <m:t xml:space="preserve"> =</m:t>
                </m:r>
                <m:nary>
                  <m:naryPr>
                    <m:chr m:val="∑"/>
                    <m:limLoc m:val="undOvr"/>
                    <m:ctrlPr>
                      <w:rPr>
                        <w:rFonts w:ascii="Cambria Math" w:hAnsi="Cambria Math"/>
                        <w:i/>
                        <w:lang w:eastAsia="sl-SI"/>
                      </w:rPr>
                    </m:ctrlPr>
                  </m:naryPr>
                  <m:sub>
                    <m:r>
                      <w:rPr>
                        <w:rFonts w:ascii="Cambria Math" w:hAnsi="Cambria Math"/>
                        <w:lang w:eastAsia="sl-SI"/>
                      </w:rPr>
                      <m:t>t=1</m:t>
                    </m:r>
                  </m:sub>
                  <m:sup>
                    <m:r>
                      <w:rPr>
                        <w:rFonts w:ascii="Cambria Math" w:hAnsi="Cambria Math"/>
                        <w:lang w:eastAsia="sl-SI"/>
                      </w:rPr>
                      <m:t>n</m:t>
                    </m:r>
                  </m:sup>
                  <m:e>
                    <m:d>
                      <m:dPr>
                        <m:ctrlPr>
                          <w:rPr>
                            <w:rFonts w:ascii="Cambria Math" w:hAnsi="Cambria Math"/>
                            <w:i/>
                            <w:lang w:eastAsia="sl-SI"/>
                          </w:rPr>
                        </m:ctrlPr>
                      </m:dPr>
                      <m:e>
                        <m:f>
                          <m:fPr>
                            <m:ctrlPr>
                              <w:rPr>
                                <w:rFonts w:ascii="Cambria Math" w:hAnsi="Cambria Math"/>
                                <w:i/>
                                <w:lang w:eastAsia="sl-SI"/>
                              </w:rPr>
                            </m:ctrlPr>
                          </m:fPr>
                          <m:num>
                            <m:sSub>
                              <m:sSubPr>
                                <m:ctrlPr>
                                  <w:rPr>
                                    <w:rFonts w:ascii="Cambria Math" w:hAnsi="Cambria Math"/>
                                    <w:i/>
                                    <w:lang w:eastAsia="sl-SI"/>
                                  </w:rPr>
                                </m:ctrlPr>
                              </m:sSubPr>
                              <m:e>
                                <m:r>
                                  <w:rPr>
                                    <w:rFonts w:ascii="Cambria Math" w:hAnsi="Cambria Math"/>
                                    <w:lang w:eastAsia="sl-SI"/>
                                  </w:rPr>
                                  <m:t>FCFF</m:t>
                                </m:r>
                              </m:e>
                              <m:sub>
                                <m:r>
                                  <w:rPr>
                                    <w:rFonts w:ascii="Cambria Math" w:hAnsi="Cambria Math"/>
                                    <w:lang w:eastAsia="sl-SI"/>
                                  </w:rPr>
                                  <m:t>t</m:t>
                                </m:r>
                              </m:sub>
                            </m:sSub>
                          </m:num>
                          <m:den>
                            <m:sSup>
                              <m:sSupPr>
                                <m:ctrlPr>
                                  <w:rPr>
                                    <w:rFonts w:ascii="Cambria Math" w:hAnsi="Cambria Math"/>
                                    <w:i/>
                                    <w:lang w:eastAsia="sl-SI"/>
                                  </w:rPr>
                                </m:ctrlPr>
                              </m:sSupPr>
                              <m:e>
                                <m:r>
                                  <w:rPr>
                                    <w:rFonts w:ascii="Cambria Math" w:hAnsi="Cambria Math"/>
                                    <w:lang w:eastAsia="sl-SI"/>
                                  </w:rPr>
                                  <m:t>(1+WACC)</m:t>
                                </m:r>
                              </m:e>
                              <m:sup>
                                <m:r>
                                  <w:rPr>
                                    <w:rFonts w:ascii="Cambria Math" w:hAnsi="Cambria Math"/>
                                    <w:lang w:eastAsia="sl-SI"/>
                                  </w:rPr>
                                  <m:t>t</m:t>
                                </m:r>
                              </m:sup>
                            </m:sSup>
                          </m:den>
                        </m:f>
                      </m:e>
                    </m:d>
                  </m:e>
                </m:nary>
                <m:r>
                  <w:rPr>
                    <w:rFonts w:ascii="Cambria Math" w:hAnsi="Cambria Math"/>
                    <w:lang w:eastAsia="sl-SI"/>
                  </w:rPr>
                  <m:t>+</m:t>
                </m:r>
                <m:f>
                  <m:fPr>
                    <m:ctrlPr>
                      <w:rPr>
                        <w:rFonts w:ascii="Cambria Math" w:hAnsi="Cambria Math"/>
                        <w:i/>
                        <w:lang w:eastAsia="sl-SI"/>
                      </w:rPr>
                    </m:ctrlPr>
                  </m:fPr>
                  <m:num>
                    <m:r>
                      <w:rPr>
                        <w:rFonts w:ascii="Cambria Math" w:hAnsi="Cambria Math"/>
                        <w:lang w:eastAsia="sl-SI"/>
                      </w:rPr>
                      <m:t xml:space="preserve"> </m:t>
                    </m:r>
                    <m:f>
                      <m:fPr>
                        <m:ctrlPr>
                          <w:rPr>
                            <w:rFonts w:ascii="Cambria Math" w:hAnsi="Cambria Math"/>
                            <w:i/>
                            <w:color w:val="000000" w:themeColor="text1"/>
                            <w:lang w:eastAsia="sl-SI"/>
                          </w:rPr>
                        </m:ctrlPr>
                      </m:fPr>
                      <m:num>
                        <m:sSub>
                          <m:sSubPr>
                            <m:ctrlPr>
                              <w:rPr>
                                <w:rFonts w:ascii="Cambria Math" w:hAnsi="Cambria Math"/>
                                <w:i/>
                                <w:color w:val="000000" w:themeColor="text1"/>
                                <w:lang w:eastAsia="sl-SI"/>
                              </w:rPr>
                            </m:ctrlPr>
                          </m:sSubPr>
                          <m:e>
                            <m:r>
                              <w:rPr>
                                <w:rFonts w:ascii="Cambria Math" w:hAnsi="Cambria Math"/>
                                <w:color w:val="000000" w:themeColor="text1"/>
                                <w:lang w:eastAsia="sl-SI"/>
                              </w:rPr>
                              <m:t>FCFF</m:t>
                            </m:r>
                          </m:e>
                          <m:sub>
                            <m:r>
                              <w:rPr>
                                <w:rFonts w:ascii="Cambria Math" w:hAnsi="Cambria Math"/>
                                <w:color w:val="000000" w:themeColor="text1"/>
                                <w:lang w:eastAsia="sl-SI"/>
                              </w:rPr>
                              <m:t>n</m:t>
                            </m:r>
                          </m:sub>
                        </m:sSub>
                        <m:r>
                          <w:rPr>
                            <w:rFonts w:ascii="Cambria Math" w:hAnsi="Cambria Math"/>
                            <w:color w:val="000000" w:themeColor="text1"/>
                            <w:lang w:eastAsia="sl-SI"/>
                          </w:rPr>
                          <m:t>*</m:t>
                        </m:r>
                        <m:d>
                          <m:dPr>
                            <m:ctrlPr>
                              <w:rPr>
                                <w:rFonts w:ascii="Cambria Math" w:hAnsi="Cambria Math"/>
                                <w:i/>
                                <w:color w:val="000000" w:themeColor="text1"/>
                                <w:lang w:eastAsia="sl-SI"/>
                              </w:rPr>
                            </m:ctrlPr>
                          </m:dPr>
                          <m:e>
                            <m:r>
                              <w:rPr>
                                <w:rFonts w:ascii="Cambria Math" w:hAnsi="Cambria Math"/>
                                <w:color w:val="000000" w:themeColor="text1"/>
                                <w:lang w:eastAsia="sl-SI"/>
                              </w:rPr>
                              <m:t>1+g</m:t>
                            </m:r>
                          </m:e>
                        </m:d>
                      </m:num>
                      <m:den>
                        <m:r>
                          <w:rPr>
                            <w:rFonts w:ascii="Cambria Math" w:hAnsi="Cambria Math"/>
                            <w:color w:val="000000" w:themeColor="text1"/>
                            <w:lang w:eastAsia="sl-SI"/>
                          </w:rPr>
                          <m:t>WACC-g</m:t>
                        </m:r>
                      </m:den>
                    </m:f>
                    <m:r>
                      <w:rPr>
                        <w:rFonts w:ascii="Cambria Math" w:hAnsi="Cambria Math"/>
                        <w:color w:val="000000" w:themeColor="text1"/>
                        <w:lang w:eastAsia="sl-SI"/>
                      </w:rPr>
                      <m:t xml:space="preserve"> </m:t>
                    </m:r>
                  </m:num>
                  <m:den>
                    <m:sSup>
                      <m:sSupPr>
                        <m:ctrlPr>
                          <w:rPr>
                            <w:rFonts w:ascii="Cambria Math" w:hAnsi="Cambria Math"/>
                            <w:i/>
                            <w:lang w:eastAsia="sl-SI"/>
                          </w:rPr>
                        </m:ctrlPr>
                      </m:sSupPr>
                      <m:e>
                        <m:r>
                          <w:rPr>
                            <w:rFonts w:ascii="Cambria Math" w:hAnsi="Cambria Math"/>
                            <w:lang w:eastAsia="sl-SI"/>
                          </w:rPr>
                          <m:t>(1+WACC)</m:t>
                        </m:r>
                      </m:e>
                      <m:sup>
                        <m:r>
                          <w:rPr>
                            <w:rFonts w:ascii="Cambria Math" w:hAnsi="Cambria Math"/>
                            <w:lang w:eastAsia="sl-SI"/>
                          </w:rPr>
                          <m:t>n</m:t>
                        </m:r>
                      </m:sup>
                    </m:sSup>
                  </m:den>
                </m:f>
              </m:oMath>
            </m:oMathPara>
          </w:p>
        </w:tc>
        <w:tc>
          <w:tcPr>
            <w:tcW w:w="301" w:type="pct"/>
            <w:vAlign w:val="center"/>
          </w:tcPr>
          <w:p w14:paraId="3695F7AB" w14:textId="08987A5B" w:rsidR="00F851CC" w:rsidRDefault="00F851CC" w:rsidP="007A6126">
            <w:pPr>
              <w:pStyle w:val="Brezrazmikov"/>
              <w:jc w:val="center"/>
              <w:rPr>
                <w:lang w:eastAsia="sl-SI"/>
              </w:rPr>
            </w:pPr>
            <w:bookmarkStart w:id="18" w:name="enacba8"/>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8</w:t>
            </w:r>
            <w:r>
              <w:rPr>
                <w:lang w:eastAsia="sl-SI"/>
              </w:rPr>
              <w:fldChar w:fldCharType="end"/>
            </w:r>
            <w:r>
              <w:rPr>
                <w:lang w:eastAsia="sl-SI"/>
              </w:rPr>
              <w:t>)</w:t>
            </w:r>
            <w:bookmarkEnd w:id="18"/>
            <w:r>
              <w:rPr>
                <w:lang w:eastAsia="sl-SI"/>
              </w:rPr>
              <w:t>,</w:t>
            </w:r>
          </w:p>
        </w:tc>
      </w:tr>
    </w:tbl>
    <w:p w14:paraId="081C4B7C" w14:textId="77777777" w:rsidR="00F851CC" w:rsidRDefault="00F851CC" w:rsidP="00F851CC">
      <w:pPr>
        <w:pStyle w:val="Brezrazmikov"/>
        <w:rPr>
          <w:lang w:eastAsia="sl-SI"/>
        </w:rPr>
      </w:pPr>
      <w:r>
        <w:rPr>
          <w:lang w:eastAsia="sl-SI"/>
        </w:rPr>
        <w:t>kjer je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3649"/>
      </w:tblGrid>
      <w:tr w:rsidR="00F851CC" w:rsidRPr="0044490F" w14:paraId="370A84CB" w14:textId="77777777" w:rsidTr="007A6126">
        <w:tc>
          <w:tcPr>
            <w:tcW w:w="0" w:type="auto"/>
          </w:tcPr>
          <w:p w14:paraId="408892B0" w14:textId="77777777" w:rsidR="00F851CC" w:rsidRPr="0044490F" w:rsidRDefault="00F851CC" w:rsidP="007A6126">
            <w:pPr>
              <w:pStyle w:val="Brezrazmikov"/>
              <w:rPr>
                <w:i/>
                <w:iCs/>
              </w:rPr>
            </w:pPr>
            <w:r w:rsidRPr="0044490F">
              <w:rPr>
                <w:i/>
                <w:iCs/>
              </w:rPr>
              <w:t>V</w:t>
            </w:r>
          </w:p>
        </w:tc>
        <w:tc>
          <w:tcPr>
            <w:tcW w:w="0" w:type="auto"/>
          </w:tcPr>
          <w:p w14:paraId="52703E15" w14:textId="77777777" w:rsidR="00F851CC" w:rsidRPr="0044490F" w:rsidRDefault="00F851CC" w:rsidP="007A6126">
            <w:pPr>
              <w:pStyle w:val="Brezrazmikov"/>
              <w:rPr>
                <w:i/>
                <w:iCs/>
              </w:rPr>
            </w:pPr>
            <w:r w:rsidRPr="0044490F">
              <w:rPr>
                <w:i/>
                <w:iCs/>
              </w:rPr>
              <w:t>vrednost podjetja</w:t>
            </w:r>
          </w:p>
        </w:tc>
      </w:tr>
      <w:tr w:rsidR="00F851CC" w:rsidRPr="0044490F" w14:paraId="25E0C51F" w14:textId="77777777" w:rsidTr="007A6126">
        <w:tc>
          <w:tcPr>
            <w:tcW w:w="0" w:type="auto"/>
          </w:tcPr>
          <w:p w14:paraId="29953F6E" w14:textId="77777777" w:rsidR="00F851CC" w:rsidRPr="0044490F" w:rsidRDefault="00F851CC" w:rsidP="007A6126">
            <w:pPr>
              <w:pStyle w:val="Brezrazmikov"/>
              <w:rPr>
                <w:i/>
                <w:iCs/>
              </w:rPr>
            </w:pPr>
            <w:r w:rsidRPr="0044490F">
              <w:rPr>
                <w:i/>
                <w:iCs/>
              </w:rPr>
              <w:t>PV</w:t>
            </w:r>
          </w:p>
        </w:tc>
        <w:tc>
          <w:tcPr>
            <w:tcW w:w="0" w:type="auto"/>
          </w:tcPr>
          <w:p w14:paraId="5DAF3713" w14:textId="77777777" w:rsidR="00F851CC" w:rsidRPr="0044490F" w:rsidRDefault="00F851CC" w:rsidP="007A6126">
            <w:pPr>
              <w:pStyle w:val="Brezrazmikov"/>
              <w:rPr>
                <w:i/>
                <w:iCs/>
              </w:rPr>
            </w:pPr>
            <w:r w:rsidRPr="0044490F">
              <w:rPr>
                <w:i/>
                <w:iCs/>
              </w:rPr>
              <w:t>sedanja vrednost</w:t>
            </w:r>
          </w:p>
        </w:tc>
      </w:tr>
      <w:tr w:rsidR="00F851CC" w:rsidRPr="0044490F" w14:paraId="3BE8CF93" w14:textId="77777777" w:rsidTr="007A6126">
        <w:tc>
          <w:tcPr>
            <w:tcW w:w="0" w:type="auto"/>
          </w:tcPr>
          <w:p w14:paraId="3AF6FB59" w14:textId="77777777" w:rsidR="00F851CC" w:rsidRPr="0044490F" w:rsidRDefault="00F851CC" w:rsidP="007A6126">
            <w:pPr>
              <w:pStyle w:val="Brezrazmikov"/>
              <w:rPr>
                <w:i/>
                <w:iCs/>
              </w:rPr>
            </w:pPr>
            <w:r>
              <w:rPr>
                <w:i/>
                <w:iCs/>
              </w:rPr>
              <w:t>T</w:t>
            </w:r>
            <w:r w:rsidRPr="0044490F">
              <w:rPr>
                <w:i/>
                <w:iCs/>
              </w:rPr>
              <w:t>V</w:t>
            </w:r>
          </w:p>
        </w:tc>
        <w:tc>
          <w:tcPr>
            <w:tcW w:w="0" w:type="auto"/>
          </w:tcPr>
          <w:p w14:paraId="30154AF1" w14:textId="77777777" w:rsidR="00F851CC" w:rsidRPr="0044490F" w:rsidRDefault="00F851CC" w:rsidP="007A6126">
            <w:pPr>
              <w:pStyle w:val="Brezrazmikov"/>
              <w:rPr>
                <w:i/>
                <w:iCs/>
              </w:rPr>
            </w:pPr>
            <w:r>
              <w:rPr>
                <w:i/>
                <w:iCs/>
              </w:rPr>
              <w:t>preostala</w:t>
            </w:r>
            <w:r w:rsidRPr="0044490F">
              <w:rPr>
                <w:i/>
                <w:iCs/>
              </w:rPr>
              <w:t xml:space="preserve"> vrednost</w:t>
            </w:r>
          </w:p>
        </w:tc>
      </w:tr>
      <w:tr w:rsidR="00F851CC" w:rsidRPr="0044490F" w14:paraId="18EE9025" w14:textId="77777777" w:rsidTr="007A6126">
        <w:tc>
          <w:tcPr>
            <w:tcW w:w="0" w:type="auto"/>
          </w:tcPr>
          <w:p w14:paraId="6D7013F0" w14:textId="77777777" w:rsidR="00F851CC" w:rsidRPr="0044490F" w:rsidRDefault="00F851CC" w:rsidP="007A6126">
            <w:pPr>
              <w:pStyle w:val="Brezrazmikov"/>
              <w:rPr>
                <w:i/>
                <w:iCs/>
              </w:rPr>
            </w:pPr>
            <w:proofErr w:type="spellStart"/>
            <w:r w:rsidRPr="0044490F">
              <w:rPr>
                <w:i/>
                <w:iCs/>
              </w:rPr>
              <w:t>FCFF</w:t>
            </w:r>
            <w:r w:rsidRPr="0044490F">
              <w:rPr>
                <w:i/>
                <w:iCs/>
                <w:vertAlign w:val="subscript"/>
              </w:rPr>
              <w:t>t</w:t>
            </w:r>
            <w:proofErr w:type="spellEnd"/>
          </w:p>
        </w:tc>
        <w:tc>
          <w:tcPr>
            <w:tcW w:w="0" w:type="auto"/>
          </w:tcPr>
          <w:p w14:paraId="7FB9E0B6" w14:textId="77777777" w:rsidR="00F851CC" w:rsidRPr="0044490F" w:rsidRDefault="00F851CC" w:rsidP="007A6126">
            <w:pPr>
              <w:pStyle w:val="Brezrazmikov"/>
              <w:rPr>
                <w:i/>
                <w:iCs/>
              </w:rPr>
            </w:pPr>
            <w:r w:rsidRPr="0044490F">
              <w:rPr>
                <w:i/>
                <w:iCs/>
              </w:rPr>
              <w:t>prosti denarni tok podjetju v času t</w:t>
            </w:r>
          </w:p>
        </w:tc>
      </w:tr>
      <w:tr w:rsidR="00F851CC" w:rsidRPr="0044490F" w14:paraId="50663913" w14:textId="77777777" w:rsidTr="007A6126">
        <w:tc>
          <w:tcPr>
            <w:tcW w:w="0" w:type="auto"/>
          </w:tcPr>
          <w:p w14:paraId="131C8FD2" w14:textId="77777777" w:rsidR="00F851CC" w:rsidRPr="0044490F" w:rsidRDefault="00F851CC" w:rsidP="007A6126">
            <w:pPr>
              <w:pStyle w:val="Brezrazmikov"/>
              <w:rPr>
                <w:i/>
                <w:iCs/>
              </w:rPr>
            </w:pPr>
            <w:r w:rsidRPr="0044490F">
              <w:rPr>
                <w:i/>
                <w:iCs/>
              </w:rPr>
              <w:t>n</w:t>
            </w:r>
          </w:p>
        </w:tc>
        <w:tc>
          <w:tcPr>
            <w:tcW w:w="0" w:type="auto"/>
          </w:tcPr>
          <w:p w14:paraId="49C61D7E" w14:textId="77777777" w:rsidR="00F851CC" w:rsidRPr="0044490F" w:rsidRDefault="00F851CC" w:rsidP="007A6126">
            <w:pPr>
              <w:pStyle w:val="Brezrazmikov"/>
              <w:rPr>
                <w:i/>
                <w:iCs/>
              </w:rPr>
            </w:pPr>
            <w:r w:rsidRPr="0044490F">
              <w:rPr>
                <w:i/>
                <w:iCs/>
              </w:rPr>
              <w:t>število let napovedovanja</w:t>
            </w:r>
          </w:p>
        </w:tc>
      </w:tr>
      <w:tr w:rsidR="00F851CC" w:rsidRPr="0044490F" w14:paraId="3B45FB84" w14:textId="77777777" w:rsidTr="007A6126">
        <w:tc>
          <w:tcPr>
            <w:tcW w:w="0" w:type="auto"/>
          </w:tcPr>
          <w:p w14:paraId="7CA8609F" w14:textId="77777777" w:rsidR="00F851CC" w:rsidRPr="0044490F" w:rsidRDefault="00F851CC" w:rsidP="007A6126">
            <w:pPr>
              <w:pStyle w:val="Brezrazmikov"/>
              <w:rPr>
                <w:i/>
                <w:iCs/>
              </w:rPr>
            </w:pPr>
            <w:r w:rsidRPr="0044490F">
              <w:rPr>
                <w:i/>
                <w:iCs/>
              </w:rPr>
              <w:t>WACC</w:t>
            </w:r>
          </w:p>
        </w:tc>
        <w:tc>
          <w:tcPr>
            <w:tcW w:w="0" w:type="auto"/>
          </w:tcPr>
          <w:p w14:paraId="628FA1FB" w14:textId="77777777" w:rsidR="00F851CC" w:rsidRPr="0044490F" w:rsidRDefault="00F851CC" w:rsidP="007A6126">
            <w:pPr>
              <w:pStyle w:val="Brezrazmikov"/>
              <w:rPr>
                <w:i/>
                <w:iCs/>
              </w:rPr>
            </w:pPr>
            <w:r w:rsidRPr="0044490F">
              <w:rPr>
                <w:i/>
                <w:iCs/>
              </w:rPr>
              <w:t>tehtano povprečje stroškov kapitala</w:t>
            </w:r>
          </w:p>
        </w:tc>
      </w:tr>
      <w:tr w:rsidR="00F851CC" w:rsidRPr="0044490F" w14:paraId="57F103FE" w14:textId="77777777" w:rsidTr="007A6126">
        <w:tc>
          <w:tcPr>
            <w:tcW w:w="0" w:type="auto"/>
          </w:tcPr>
          <w:p w14:paraId="06CECEEC" w14:textId="77777777" w:rsidR="00F851CC" w:rsidRPr="0044490F" w:rsidRDefault="00F851CC" w:rsidP="007A6126">
            <w:pPr>
              <w:pStyle w:val="Brezrazmikov"/>
              <w:rPr>
                <w:i/>
                <w:iCs/>
              </w:rPr>
            </w:pPr>
            <w:r w:rsidRPr="0044490F">
              <w:rPr>
                <w:i/>
                <w:iCs/>
              </w:rPr>
              <w:t>g</w:t>
            </w:r>
          </w:p>
        </w:tc>
        <w:tc>
          <w:tcPr>
            <w:tcW w:w="0" w:type="auto"/>
          </w:tcPr>
          <w:p w14:paraId="46E4F0A7" w14:textId="77777777" w:rsidR="00F851CC" w:rsidRPr="0044490F" w:rsidRDefault="00F851CC" w:rsidP="007A6126">
            <w:pPr>
              <w:pStyle w:val="Brezrazmikov"/>
              <w:rPr>
                <w:i/>
                <w:iCs/>
              </w:rPr>
            </w:pPr>
            <w:r w:rsidRPr="0044490F">
              <w:rPr>
                <w:i/>
                <w:iCs/>
              </w:rPr>
              <w:t>konstantna rast FCFF</w:t>
            </w:r>
          </w:p>
        </w:tc>
      </w:tr>
    </w:tbl>
    <w:p w14:paraId="5433127F" w14:textId="77777777" w:rsidR="00F851CC" w:rsidRDefault="00F851CC" w:rsidP="00F851CC">
      <w:pPr>
        <w:pStyle w:val="Brezrazmikov"/>
        <w:rPr>
          <w:lang w:eastAsia="sl-SI"/>
        </w:rPr>
      </w:pPr>
    </w:p>
    <w:p w14:paraId="46596934" w14:textId="77777777" w:rsidR="00F851CC" w:rsidRDefault="00F851CC" w:rsidP="00F851CC">
      <w:pPr>
        <w:pStyle w:val="Brezrazmikov"/>
        <w:rPr>
          <w:lang w:eastAsia="sl-SI"/>
        </w:rPr>
      </w:pPr>
      <w:r>
        <w:rPr>
          <w:lang w:eastAsia="sl-SI"/>
        </w:rPr>
        <w:t>S to formulo dobimo vrednost celotnega kapitala v podjetju. Ker nas zanima vrednost naložbe za morebitnega investitorja, potrebujemo le vrednost lastniškega kapitala (v nadaljevanju V</w:t>
      </w:r>
      <w:r>
        <w:rPr>
          <w:vertAlign w:val="subscript"/>
          <w:lang w:eastAsia="sl-SI"/>
        </w:rPr>
        <w:t>L</w:t>
      </w:r>
      <w:r>
        <w:rPr>
          <w:lang w:eastAsia="sl-SI"/>
        </w:rPr>
        <w:t xml:space="preserve">). To dobimo tako, da od vrednosti </w:t>
      </w:r>
      <w:r w:rsidRPr="00336BF4">
        <w:rPr>
          <w:i/>
          <w:iCs/>
          <w:lang w:eastAsia="sl-SI"/>
        </w:rPr>
        <w:t>V</w:t>
      </w:r>
      <w:r>
        <w:rPr>
          <w:lang w:eastAsia="sl-SI"/>
        </w:rPr>
        <w:t xml:space="preserve">, ki smo jo izračunali, odštejemo neto dolg podjetja, pri čemer neto dolg predstavlja vsoto kratkoročnih in dolgoročnih finančnih obveznosti zmanjšanih za denarna sredstva. </w:t>
      </w:r>
    </w:p>
    <w:p w14:paraId="6F25CC46" w14:textId="77777777" w:rsidR="00F851CC" w:rsidRDefault="00F851CC" w:rsidP="00F851CC">
      <w:pPr>
        <w:pStyle w:val="Brezrazmikov"/>
        <w:rPr>
          <w:lang w:eastAsia="sl-SI"/>
        </w:rPr>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8281"/>
        <w:gridCol w:w="567"/>
      </w:tblGrid>
      <w:tr w:rsidR="00F851CC" w14:paraId="1094D7EA" w14:textId="77777777" w:rsidTr="007A6126">
        <w:tc>
          <w:tcPr>
            <w:tcW w:w="300" w:type="pct"/>
            <w:vAlign w:val="center"/>
          </w:tcPr>
          <w:p w14:paraId="181A9836" w14:textId="77777777" w:rsidR="00F851CC" w:rsidRDefault="00F851CC" w:rsidP="007A6126">
            <w:pPr>
              <w:pStyle w:val="Brezrazmikov"/>
              <w:jc w:val="center"/>
              <w:rPr>
                <w:lang w:eastAsia="sl-SI"/>
              </w:rPr>
            </w:pPr>
          </w:p>
        </w:tc>
        <w:tc>
          <w:tcPr>
            <w:tcW w:w="4399" w:type="pct"/>
            <w:vAlign w:val="center"/>
          </w:tcPr>
          <w:p w14:paraId="4F4E0FFB" w14:textId="77777777" w:rsidR="00F851CC" w:rsidRDefault="00BB77EE" w:rsidP="007A6126">
            <w:pPr>
              <w:pStyle w:val="Brezrazmikov"/>
              <w:jc w:val="center"/>
              <w:rPr>
                <w:lang w:eastAsia="sl-SI"/>
              </w:rPr>
            </w:pPr>
            <m:oMath>
              <m:sSub>
                <m:sSubPr>
                  <m:ctrlPr>
                    <w:rPr>
                      <w:rFonts w:ascii="Cambria Math" w:hAnsi="Cambria Math"/>
                      <w:i/>
                      <w:lang w:eastAsia="sl-SI"/>
                    </w:rPr>
                  </m:ctrlPr>
                </m:sSubPr>
                <m:e>
                  <m:r>
                    <w:rPr>
                      <w:rFonts w:ascii="Cambria Math" w:hAnsi="Cambria Math"/>
                      <w:lang w:eastAsia="sl-SI"/>
                    </w:rPr>
                    <m:t>V</m:t>
                  </m:r>
                </m:e>
                <m:sub>
                  <m:r>
                    <w:rPr>
                      <w:rFonts w:ascii="Cambria Math" w:hAnsi="Cambria Math"/>
                      <w:lang w:eastAsia="sl-SI"/>
                    </w:rPr>
                    <m:t>L</m:t>
                  </m:r>
                </m:sub>
              </m:sSub>
              <m:r>
                <w:rPr>
                  <w:rFonts w:ascii="Cambria Math" w:hAnsi="Cambria Math"/>
                  <w:lang w:eastAsia="sl-SI"/>
                </w:rPr>
                <m:t>=V-(dol. fin. obv. + krat. fin. obv.- denarna sredstva</m:t>
              </m:r>
            </m:oMath>
            <w:r w:rsidR="00F851CC">
              <w:rPr>
                <w:rFonts w:eastAsiaTheme="minorEastAsia"/>
                <w:lang w:eastAsia="sl-SI"/>
              </w:rPr>
              <w:t>)</w:t>
            </w:r>
          </w:p>
        </w:tc>
        <w:tc>
          <w:tcPr>
            <w:tcW w:w="301" w:type="pct"/>
            <w:vAlign w:val="center"/>
          </w:tcPr>
          <w:p w14:paraId="00C7EB27" w14:textId="232DDE4D" w:rsidR="00F851CC" w:rsidRDefault="00F851CC" w:rsidP="007A6126">
            <w:pPr>
              <w:pStyle w:val="Brezrazmikov"/>
              <w:jc w:val="center"/>
              <w:rPr>
                <w:lang w:eastAsia="sl-SI"/>
              </w:rPr>
            </w:pPr>
            <w:bookmarkStart w:id="19" w:name="enacba9"/>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9</w:t>
            </w:r>
            <w:r>
              <w:rPr>
                <w:lang w:eastAsia="sl-SI"/>
              </w:rPr>
              <w:fldChar w:fldCharType="end"/>
            </w:r>
            <w:r>
              <w:rPr>
                <w:lang w:eastAsia="sl-SI"/>
              </w:rPr>
              <w:t>)</w:t>
            </w:r>
            <w:bookmarkEnd w:id="19"/>
          </w:p>
        </w:tc>
      </w:tr>
    </w:tbl>
    <w:p w14:paraId="392BEDF2" w14:textId="77777777" w:rsidR="00F851CC" w:rsidRDefault="00F851CC" w:rsidP="00F851CC"/>
    <w:p w14:paraId="65543C42" w14:textId="77777777" w:rsidR="00F851CC" w:rsidRDefault="00F851CC" w:rsidP="00343C67">
      <w:pPr>
        <w:pStyle w:val="Brezrazmikov"/>
      </w:pPr>
      <w:r>
        <w:t xml:space="preserve">Ceno delnice iz vrednosti lastniškega kapitala dobimo tako, da </w:t>
      </w:r>
      <w:r>
        <w:rPr>
          <w:lang w:eastAsia="sl-SI"/>
        </w:rPr>
        <w:t>V</w:t>
      </w:r>
      <w:r>
        <w:rPr>
          <w:vertAlign w:val="subscript"/>
          <w:lang w:eastAsia="sl-SI"/>
        </w:rPr>
        <w:t>L</w:t>
      </w:r>
      <w:r>
        <w:t xml:space="preserve"> delimo s številom vseh delnic:</w:t>
      </w:r>
    </w:p>
    <w:p w14:paraId="6B98A251" w14:textId="77777777" w:rsidR="00343C67" w:rsidRDefault="00343C67" w:rsidP="00343C67">
      <w:pPr>
        <w:pStyle w:val="Brezrazmikov"/>
      </w:pPr>
    </w:p>
    <w:tbl>
      <w:tblPr>
        <w:tblStyle w:val="Tabelamrea"/>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256"/>
        <w:gridCol w:w="616"/>
      </w:tblGrid>
      <w:tr w:rsidR="00F851CC" w14:paraId="39C2CE1A" w14:textId="77777777" w:rsidTr="007A6126">
        <w:tc>
          <w:tcPr>
            <w:tcW w:w="300" w:type="pct"/>
          </w:tcPr>
          <w:p w14:paraId="5997DE4F" w14:textId="77777777" w:rsidR="00F851CC" w:rsidRDefault="00F851CC" w:rsidP="00343C67">
            <w:pPr>
              <w:pStyle w:val="Brezrazmikov"/>
            </w:pPr>
          </w:p>
          <w:p w14:paraId="3238514B" w14:textId="77777777" w:rsidR="00343C67" w:rsidRPr="00343C67" w:rsidRDefault="00343C67" w:rsidP="00343C67">
            <w:pPr>
              <w:pStyle w:val="Brezrazmikov"/>
            </w:pPr>
          </w:p>
        </w:tc>
        <w:tc>
          <w:tcPr>
            <w:tcW w:w="4399" w:type="pct"/>
          </w:tcPr>
          <w:p w14:paraId="359386DC" w14:textId="77777777" w:rsidR="00F851CC" w:rsidRDefault="00F851CC" w:rsidP="007A6126">
            <w:pPr>
              <w:pStyle w:val="Brezrazmikov"/>
              <w:rPr>
                <w:lang w:eastAsia="sl-SI"/>
              </w:rPr>
            </w:pPr>
            <m:oMathPara>
              <m:oMath>
                <m:r>
                  <w:rPr>
                    <w:rFonts w:ascii="Cambria Math" w:hAnsi="Cambria Math"/>
                    <w:lang w:eastAsia="sl-SI"/>
                  </w:rPr>
                  <m:t xml:space="preserve">Cena delnice= </m:t>
                </m:r>
                <m:f>
                  <m:fPr>
                    <m:ctrlPr>
                      <w:rPr>
                        <w:rFonts w:ascii="Cambria Math" w:hAnsi="Cambria Math"/>
                        <w:i/>
                        <w:lang w:eastAsia="sl-SI"/>
                      </w:rPr>
                    </m:ctrlPr>
                  </m:fPr>
                  <m:num>
                    <m:r>
                      <w:rPr>
                        <w:rFonts w:ascii="Cambria Math" w:hAnsi="Cambria Math"/>
                        <w:lang w:eastAsia="sl-SI"/>
                      </w:rPr>
                      <m:t>Vrednost lastniškega kapitala</m:t>
                    </m:r>
                  </m:num>
                  <m:den>
                    <m:r>
                      <w:rPr>
                        <w:rFonts w:ascii="Cambria Math" w:hAnsi="Cambria Math"/>
                        <w:lang w:eastAsia="sl-SI"/>
                      </w:rPr>
                      <m:t>Število vseh delnic podjetja</m:t>
                    </m:r>
                  </m:den>
                </m:f>
              </m:oMath>
            </m:oMathPara>
          </w:p>
        </w:tc>
        <w:tc>
          <w:tcPr>
            <w:tcW w:w="301" w:type="pct"/>
            <w:vAlign w:val="center"/>
          </w:tcPr>
          <w:p w14:paraId="77A96CE0" w14:textId="4A3217DD" w:rsidR="00F851CC" w:rsidRDefault="00F851CC" w:rsidP="007A6126">
            <w:pPr>
              <w:pStyle w:val="Brezrazmikov"/>
              <w:jc w:val="center"/>
              <w:rPr>
                <w:lang w:eastAsia="sl-SI"/>
              </w:rPr>
            </w:pPr>
            <w:r>
              <w:rPr>
                <w:lang w:eastAsia="sl-SI"/>
              </w:rPr>
              <w:t>(</w:t>
            </w:r>
            <w:r>
              <w:rPr>
                <w:lang w:eastAsia="sl-SI"/>
              </w:rPr>
              <w:fldChar w:fldCharType="begin"/>
            </w:r>
            <w:r>
              <w:rPr>
                <w:lang w:eastAsia="sl-SI"/>
              </w:rPr>
              <w:instrText xml:space="preserve"> seq enacba </w:instrText>
            </w:r>
            <w:r>
              <w:rPr>
                <w:lang w:eastAsia="sl-SI"/>
              </w:rPr>
              <w:fldChar w:fldCharType="separate"/>
            </w:r>
            <w:r w:rsidR="00325440">
              <w:rPr>
                <w:noProof/>
                <w:lang w:eastAsia="sl-SI"/>
              </w:rPr>
              <w:t>10</w:t>
            </w:r>
            <w:r>
              <w:rPr>
                <w:lang w:eastAsia="sl-SI"/>
              </w:rPr>
              <w:fldChar w:fldCharType="end"/>
            </w:r>
            <w:r>
              <w:rPr>
                <w:lang w:eastAsia="sl-SI"/>
              </w:rPr>
              <w:t>)</w:t>
            </w:r>
          </w:p>
        </w:tc>
      </w:tr>
    </w:tbl>
    <w:p w14:paraId="4AECDF0D" w14:textId="77777777" w:rsidR="00F851CC" w:rsidRDefault="00F851CC" w:rsidP="00F851CC">
      <w:pPr>
        <w:pStyle w:val="Naslov1"/>
      </w:pPr>
      <w:bookmarkStart w:id="20" w:name="_Toc18964859"/>
      <w:r>
        <w:t>Predstavitev Skupine Gorenje</w:t>
      </w:r>
      <w:bookmarkEnd w:id="20"/>
    </w:p>
    <w:p w14:paraId="7C35E4B0" w14:textId="77777777" w:rsidR="00F851CC" w:rsidRDefault="00F851CC" w:rsidP="00F851CC">
      <w:pPr>
        <w:pStyle w:val="Naslov2"/>
      </w:pPr>
      <w:bookmarkStart w:id="21" w:name="_Toc18964860"/>
      <w:r>
        <w:t>Zgodovina in nastanek</w:t>
      </w:r>
      <w:bookmarkEnd w:id="21"/>
    </w:p>
    <w:p w14:paraId="3A933FFB" w14:textId="77777777" w:rsidR="00F851CC" w:rsidRDefault="00F851CC" w:rsidP="00F851CC">
      <w:pPr>
        <w:pStyle w:val="Brezrazmikov"/>
      </w:pPr>
      <w:r>
        <w:t xml:space="preserve">Podjetje Gorenje je bilo ustanovljeno leta 1950 in je do danes postalo eden izmed vodilnih proizvajalcev izdelkov za dom v Evropi. Podjetje se je v povojnih časih v vasi Gorenje razvilo iz obrtne delavnice z desetimi zaposlenimi, kjer so proizvajali kmetijske stroje. Leta 1958 so podjetje preselili v Velenje, kjer so začeli z izdelavo prvih štedilnikov na trda goriva. </w:t>
      </w:r>
      <w:r w:rsidRPr="008D716B">
        <w:t xml:space="preserve">Podjetje se je preimenovalo v Gorenje, Tovarna gospodinjske opreme, Velenje. </w:t>
      </w:r>
      <w:r>
        <w:t>Z izgradnjo novih prostorov je z razširitvijo proizvodnje štedilnikov še na hladilnike in pralne stroje sledila usmeritev v panogo bele tehnike. Vedno večja vlaganja v razvoj so pripomogla k neprestanemu širjenju poslovanja, ki je Gorenje pripeljalo do stanja, v katerem je danes (Šest desetletij Gorenja, 2010).</w:t>
      </w:r>
    </w:p>
    <w:p w14:paraId="3E0A4664" w14:textId="77777777" w:rsidR="00F851CC" w:rsidRDefault="00F851CC" w:rsidP="00F851CC">
      <w:pPr>
        <w:pStyle w:val="Naslov2"/>
      </w:pPr>
      <w:bookmarkStart w:id="22" w:name="_Toc18964861"/>
      <w:r w:rsidRPr="00036984">
        <w:lastRenderedPageBreak/>
        <w:t>Gorenje</w:t>
      </w:r>
      <w:r>
        <w:t xml:space="preserve"> danes</w:t>
      </w:r>
      <w:bookmarkEnd w:id="22"/>
    </w:p>
    <w:p w14:paraId="2B3B4BBD" w14:textId="77777777" w:rsidR="00F851CC" w:rsidRDefault="00F851CC" w:rsidP="00F851CC">
      <w:pPr>
        <w:pStyle w:val="Brezrazmikov"/>
      </w:pPr>
      <w:r>
        <w:t xml:space="preserve">Danes se </w:t>
      </w:r>
      <w:r w:rsidRPr="00CE3E4B">
        <w:t>Skupina Gorenje osredotoča na osnovno dejavnost izdelkov in storitev za dom, kjer so prejeli že številne nagrade za inovativnost za svoje izdelke. Je delniška družba z osnovnim kapitalom v višini 101.415.882,14 EUR. Skupina je eden izmed največjih slovenskih izvoznikov, saj 95 % svojih prihodkov ustvari na globalnem trg</w:t>
      </w:r>
      <w:r>
        <w:t>u. Njeni ključni trgi so v Rusiji, na Nizozemskem, v Nemčiji, Sloveniji, Skandinaviji, Srednji in Jugovzhodni Evropi ter v ZDA in Avstraliji, kjer so v letu 2017 skupno ustvarili 1,31 milijarde EUR prihodkov. Večinska proizvodnja poteka v Sloveniji, del pa tudi na Češkem in v Srbiji (Letno poročilo Skupine Gorenje 2017).</w:t>
      </w:r>
    </w:p>
    <w:p w14:paraId="1CD54A3C" w14:textId="77777777" w:rsidR="00F851CC" w:rsidRDefault="00F851CC" w:rsidP="00F851CC">
      <w:pPr>
        <w:pStyle w:val="Brezrazmikov"/>
      </w:pPr>
    </w:p>
    <w:p w14:paraId="3D8D9898" w14:textId="77777777" w:rsidR="00F851CC" w:rsidRDefault="00F851CC" w:rsidP="00F851CC">
      <w:pPr>
        <w:pStyle w:val="Brezrazmikov"/>
      </w:pPr>
      <w:r>
        <w:t xml:space="preserve">Večinski lastnik Skupine Gorenje je v letu 2018 postala kitajska družba </w:t>
      </w:r>
      <w:proofErr w:type="spellStart"/>
      <w:r>
        <w:t>Hisense</w:t>
      </w:r>
      <w:proofErr w:type="spellEnd"/>
      <w:r>
        <w:t xml:space="preserve"> </w:t>
      </w:r>
      <w:r w:rsidRPr="00A90A3D">
        <w:t xml:space="preserve">Luxembourg Home </w:t>
      </w:r>
      <w:proofErr w:type="spellStart"/>
      <w:r w:rsidRPr="00A90A3D">
        <w:t>Appliance</w:t>
      </w:r>
      <w:proofErr w:type="spellEnd"/>
      <w:r w:rsidRPr="00A90A3D">
        <w:t xml:space="preserve"> Holding</w:t>
      </w:r>
      <w:r>
        <w:t>, ki je eden izmed najprodornejših svetovnih proizvajalcev gospodinjskih aparatov in elektrotehnike.</w:t>
      </w:r>
      <w:r>
        <w:rPr>
          <w:rStyle w:val="Sprotnaopomba-sklic"/>
        </w:rPr>
        <w:footnoteReference w:id="12"/>
      </w:r>
    </w:p>
    <w:p w14:paraId="7C23CCEB" w14:textId="77777777" w:rsidR="00F851CC" w:rsidRDefault="00F851CC" w:rsidP="00F851CC">
      <w:pPr>
        <w:pStyle w:val="Naslov2"/>
      </w:pPr>
      <w:bookmarkStart w:id="23" w:name="_Toc18964862"/>
      <w:r>
        <w:t>Lastniška struktura</w:t>
      </w:r>
      <w:bookmarkEnd w:id="23"/>
    </w:p>
    <w:p w14:paraId="04793B13" w14:textId="35AD842E" w:rsidR="00F851CC" w:rsidRDefault="00F851CC" w:rsidP="00F851CC">
      <w:pPr>
        <w:pStyle w:val="Brezrazmikov"/>
      </w:pPr>
      <w:r>
        <w:t xml:space="preserve">Na </w:t>
      </w:r>
      <w:r w:rsidR="00CD0613">
        <w:rPr>
          <w:i/>
          <w:iCs/>
        </w:rPr>
        <w:fldChar w:fldCharType="begin"/>
      </w:r>
      <w:r w:rsidR="00CD0613" w:rsidRPr="00CD0613">
        <w:rPr>
          <w:i/>
          <w:iCs/>
        </w:rPr>
        <w:instrText xml:space="preserve"> REF  _Ref13046005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1</w:t>
      </w:r>
      <w:r w:rsidR="00CD0613">
        <w:rPr>
          <w:i/>
          <w:iCs/>
        </w:rPr>
        <w:fldChar w:fldCharType="end"/>
      </w:r>
      <w:r>
        <w:t xml:space="preserve"> lahko vidimo lastniško strukturo po državah na dan 31. 12. 2017, iz katere je razvidno, da imajo največji del Gorenja v lasti slovenski delničarji, za njimi Hrvaška (15 % delež) ter Združene države Amerike (13 %). </w:t>
      </w:r>
    </w:p>
    <w:p w14:paraId="39DC0A5D" w14:textId="31905F94" w:rsidR="00F851CC" w:rsidRDefault="00F851CC" w:rsidP="00F851CC">
      <w:pPr>
        <w:pStyle w:val="Napis"/>
        <w:keepNext/>
        <w:jc w:val="left"/>
      </w:pPr>
      <w:bookmarkStart w:id="24" w:name="_Ref13046005"/>
      <w:bookmarkStart w:id="25" w:name="_Toc18964891"/>
      <w:r>
        <w:t xml:space="preserve">Slika </w:t>
      </w:r>
      <w:fldSimple w:instr=" SEQ Slika \* ARABIC ">
        <w:r w:rsidR="00325440">
          <w:rPr>
            <w:noProof/>
          </w:rPr>
          <w:t>1</w:t>
        </w:r>
      </w:fldSimple>
      <w:bookmarkEnd w:id="24"/>
      <w:r>
        <w:t>: Lastniška struktura po državah</w:t>
      </w:r>
      <w:bookmarkEnd w:id="25"/>
    </w:p>
    <w:p w14:paraId="4986700B" w14:textId="77777777" w:rsidR="00F851CC" w:rsidRDefault="00F851CC" w:rsidP="00F851CC">
      <w:pPr>
        <w:pStyle w:val="Brezrazmikov"/>
      </w:pPr>
      <w:r>
        <w:rPr>
          <w:noProof/>
          <w:lang w:eastAsia="sl-SI"/>
        </w:rPr>
        <w:drawing>
          <wp:inline distT="0" distB="0" distL="0" distR="0" wp14:anchorId="71C76A04" wp14:editId="0A3B040E">
            <wp:extent cx="5524500" cy="2651125"/>
            <wp:effectExtent l="0" t="0" r="0" b="0"/>
            <wp:docPr id="10" name="Grafikon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85432B" w14:textId="77777777" w:rsidR="00F851CC" w:rsidRPr="00AD561E" w:rsidRDefault="00F851CC" w:rsidP="00F851CC">
      <w:pPr>
        <w:pStyle w:val="Brezrazmikov"/>
      </w:pPr>
      <w:r>
        <w:t>Vir: Letno poročilo Skupine Gorenje 2017</w:t>
      </w:r>
    </w:p>
    <w:p w14:paraId="246E950D" w14:textId="77777777" w:rsidR="00F851CC" w:rsidRPr="007C67FC" w:rsidRDefault="00F851CC" w:rsidP="00F851CC">
      <w:pPr>
        <w:pStyle w:val="Naslov2"/>
      </w:pPr>
      <w:bookmarkStart w:id="26" w:name="_Toc18964863"/>
      <w:r>
        <w:lastRenderedPageBreak/>
        <w:t>Delnica GRVG</w:t>
      </w:r>
      <w:bookmarkEnd w:id="26"/>
    </w:p>
    <w:p w14:paraId="4158D1B0" w14:textId="77777777" w:rsidR="00F851CC" w:rsidRDefault="00F851CC" w:rsidP="00F851CC">
      <w:pPr>
        <w:pStyle w:val="Brezrazmikov"/>
      </w:pPr>
      <w:r w:rsidRPr="000D7A88">
        <w:t xml:space="preserve">Na </w:t>
      </w:r>
      <w:r>
        <w:t xml:space="preserve">dan </w:t>
      </w:r>
      <w:r w:rsidRPr="000D7A88">
        <w:t>31. 12. 2017 je bilo v delniško knjigo vpisanih 12.247 delničarjev, kar predstavlja 8,7</w:t>
      </w:r>
      <w:r>
        <w:t xml:space="preserve">-odstotno </w:t>
      </w:r>
      <w:r w:rsidRPr="000D7A88">
        <w:t>zmanjšanje števila delničarjev v primerjavi s koncem leta 2016</w:t>
      </w:r>
      <w:r>
        <w:t xml:space="preserve"> oz. 30-odstotno zmanjšanje po letu 2013. Število delnic se je od leta 2013 povečalo za 11 %.</w:t>
      </w:r>
    </w:p>
    <w:p w14:paraId="07712F19" w14:textId="19179AC0" w:rsidR="00F851CC" w:rsidRDefault="00F851CC" w:rsidP="00F851CC">
      <w:pPr>
        <w:pStyle w:val="Napis"/>
        <w:keepNext/>
      </w:pPr>
      <w:bookmarkStart w:id="27" w:name="_Toc13411323"/>
      <w:bookmarkStart w:id="28" w:name="_Toc18964917"/>
      <w:r>
        <w:t xml:space="preserve">Tabela </w:t>
      </w:r>
      <w:fldSimple w:instr=" SEQ Tabela \* ARABIC ">
        <w:r w:rsidR="00325440">
          <w:rPr>
            <w:noProof/>
          </w:rPr>
          <w:t>2</w:t>
        </w:r>
      </w:fldSimple>
      <w:r>
        <w:t>: Število delničarjev in delnic</w:t>
      </w:r>
      <w:bookmarkEnd w:id="27"/>
      <w:bookmarkEnd w:id="28"/>
    </w:p>
    <w:tbl>
      <w:tblPr>
        <w:tblStyle w:val="Tabelamrea"/>
        <w:tblpPr w:leftFromText="141" w:rightFromText="141" w:vertAnchor="text" w:horzAnchor="margin" w:tblpY="-67"/>
        <w:tblW w:w="5000" w:type="pct"/>
        <w:tblLook w:val="04A0" w:firstRow="1" w:lastRow="0" w:firstColumn="1" w:lastColumn="0" w:noHBand="0" w:noVBand="1"/>
      </w:tblPr>
      <w:tblGrid>
        <w:gridCol w:w="2866"/>
        <w:gridCol w:w="1306"/>
        <w:gridCol w:w="1306"/>
        <w:gridCol w:w="1306"/>
        <w:gridCol w:w="1306"/>
        <w:gridCol w:w="1306"/>
      </w:tblGrid>
      <w:tr w:rsidR="00F851CC" w14:paraId="2F7E9F11" w14:textId="77777777" w:rsidTr="007A6126">
        <w:trPr>
          <w:trHeight w:val="315"/>
        </w:trPr>
        <w:tc>
          <w:tcPr>
            <w:tcW w:w="1525" w:type="pct"/>
            <w:noWrap/>
            <w:hideMark/>
          </w:tcPr>
          <w:p w14:paraId="1C28839D" w14:textId="77777777" w:rsidR="00F851CC" w:rsidRPr="0098634D" w:rsidRDefault="00F851CC" w:rsidP="007A6126">
            <w:pPr>
              <w:rPr>
                <w:rFonts w:cs="Times New Roman"/>
                <w:b/>
                <w:bCs/>
                <w:color w:val="000000"/>
                <w:szCs w:val="24"/>
              </w:rPr>
            </w:pPr>
            <w:r w:rsidRPr="0098634D">
              <w:rPr>
                <w:rFonts w:cs="Times New Roman"/>
                <w:b/>
                <w:bCs/>
                <w:color w:val="000000"/>
                <w:szCs w:val="24"/>
              </w:rPr>
              <w:t> </w:t>
            </w:r>
          </w:p>
        </w:tc>
        <w:tc>
          <w:tcPr>
            <w:tcW w:w="695" w:type="pct"/>
            <w:noWrap/>
            <w:hideMark/>
          </w:tcPr>
          <w:p w14:paraId="594DD3FB" w14:textId="77777777" w:rsidR="00F851CC" w:rsidRPr="0098634D" w:rsidRDefault="00F851CC" w:rsidP="007A6126">
            <w:pPr>
              <w:jc w:val="right"/>
              <w:rPr>
                <w:rFonts w:cs="Times New Roman"/>
                <w:b/>
                <w:bCs/>
                <w:color w:val="000000"/>
                <w:szCs w:val="24"/>
              </w:rPr>
            </w:pPr>
            <w:r w:rsidRPr="0098634D">
              <w:rPr>
                <w:rFonts w:cs="Times New Roman"/>
                <w:b/>
                <w:bCs/>
                <w:color w:val="000000"/>
                <w:szCs w:val="24"/>
              </w:rPr>
              <w:t>2013</w:t>
            </w:r>
          </w:p>
        </w:tc>
        <w:tc>
          <w:tcPr>
            <w:tcW w:w="695" w:type="pct"/>
            <w:noWrap/>
            <w:hideMark/>
          </w:tcPr>
          <w:p w14:paraId="19CA3BFF" w14:textId="77777777" w:rsidR="00F851CC" w:rsidRPr="0098634D" w:rsidRDefault="00F851CC" w:rsidP="007A6126">
            <w:pPr>
              <w:jc w:val="right"/>
              <w:rPr>
                <w:rFonts w:cs="Times New Roman"/>
                <w:b/>
                <w:bCs/>
                <w:color w:val="000000"/>
                <w:szCs w:val="24"/>
              </w:rPr>
            </w:pPr>
            <w:r w:rsidRPr="0098634D">
              <w:rPr>
                <w:rFonts w:cs="Times New Roman"/>
                <w:b/>
                <w:bCs/>
                <w:color w:val="000000"/>
                <w:szCs w:val="24"/>
              </w:rPr>
              <w:t>2014</w:t>
            </w:r>
          </w:p>
        </w:tc>
        <w:tc>
          <w:tcPr>
            <w:tcW w:w="695" w:type="pct"/>
            <w:noWrap/>
            <w:hideMark/>
          </w:tcPr>
          <w:p w14:paraId="7E6C6A1E" w14:textId="77777777" w:rsidR="00F851CC" w:rsidRPr="0098634D" w:rsidRDefault="00F851CC" w:rsidP="007A6126">
            <w:pPr>
              <w:jc w:val="right"/>
              <w:rPr>
                <w:rFonts w:cs="Times New Roman"/>
                <w:b/>
                <w:bCs/>
                <w:color w:val="000000"/>
                <w:szCs w:val="24"/>
              </w:rPr>
            </w:pPr>
            <w:r w:rsidRPr="0098634D">
              <w:rPr>
                <w:rFonts w:cs="Times New Roman"/>
                <w:b/>
                <w:bCs/>
                <w:color w:val="000000"/>
                <w:szCs w:val="24"/>
              </w:rPr>
              <w:t>2015</w:t>
            </w:r>
          </w:p>
        </w:tc>
        <w:tc>
          <w:tcPr>
            <w:tcW w:w="695" w:type="pct"/>
            <w:noWrap/>
            <w:hideMark/>
          </w:tcPr>
          <w:p w14:paraId="203001DA" w14:textId="77777777" w:rsidR="00F851CC" w:rsidRPr="0098634D" w:rsidRDefault="00F851CC" w:rsidP="007A6126">
            <w:pPr>
              <w:jc w:val="right"/>
              <w:rPr>
                <w:rFonts w:cs="Times New Roman"/>
                <w:b/>
                <w:bCs/>
                <w:color w:val="000000"/>
                <w:szCs w:val="24"/>
              </w:rPr>
            </w:pPr>
            <w:r w:rsidRPr="0098634D">
              <w:rPr>
                <w:rFonts w:cs="Times New Roman"/>
                <w:b/>
                <w:bCs/>
                <w:color w:val="000000"/>
                <w:szCs w:val="24"/>
              </w:rPr>
              <w:t>2016</w:t>
            </w:r>
          </w:p>
        </w:tc>
        <w:tc>
          <w:tcPr>
            <w:tcW w:w="695" w:type="pct"/>
            <w:noWrap/>
            <w:hideMark/>
          </w:tcPr>
          <w:p w14:paraId="6CC3D2E5" w14:textId="77777777" w:rsidR="00F851CC" w:rsidRPr="0098634D" w:rsidRDefault="00F851CC" w:rsidP="007A6126">
            <w:pPr>
              <w:jc w:val="right"/>
              <w:rPr>
                <w:rFonts w:cs="Times New Roman"/>
                <w:b/>
                <w:bCs/>
                <w:color w:val="000000"/>
                <w:szCs w:val="24"/>
              </w:rPr>
            </w:pPr>
            <w:r w:rsidRPr="0098634D">
              <w:rPr>
                <w:rFonts w:cs="Times New Roman"/>
                <w:b/>
                <w:bCs/>
                <w:color w:val="000000"/>
                <w:szCs w:val="24"/>
              </w:rPr>
              <w:t>2017</w:t>
            </w:r>
          </w:p>
        </w:tc>
      </w:tr>
      <w:tr w:rsidR="00F851CC" w14:paraId="0EC73114" w14:textId="77777777" w:rsidTr="007A6126">
        <w:trPr>
          <w:trHeight w:val="300"/>
        </w:trPr>
        <w:tc>
          <w:tcPr>
            <w:tcW w:w="1525" w:type="pct"/>
            <w:noWrap/>
            <w:hideMark/>
          </w:tcPr>
          <w:p w14:paraId="27A91D07" w14:textId="77777777" w:rsidR="00F851CC" w:rsidRPr="0098634D" w:rsidRDefault="00F851CC" w:rsidP="007A6126">
            <w:pPr>
              <w:rPr>
                <w:rFonts w:cs="Times New Roman"/>
                <w:color w:val="000000"/>
                <w:szCs w:val="24"/>
              </w:rPr>
            </w:pPr>
            <w:r w:rsidRPr="0098634D">
              <w:rPr>
                <w:rFonts w:cs="Times New Roman"/>
                <w:color w:val="000000"/>
                <w:szCs w:val="24"/>
              </w:rPr>
              <w:t xml:space="preserve">Število izdanih delnic </w:t>
            </w:r>
          </w:p>
        </w:tc>
        <w:tc>
          <w:tcPr>
            <w:tcW w:w="695" w:type="pct"/>
            <w:noWrap/>
            <w:hideMark/>
          </w:tcPr>
          <w:p w14:paraId="1DCB64D2" w14:textId="77777777" w:rsidR="00F851CC" w:rsidRPr="0098634D" w:rsidRDefault="00F851CC" w:rsidP="007A6126">
            <w:pPr>
              <w:jc w:val="right"/>
              <w:rPr>
                <w:rFonts w:cs="Times New Roman"/>
                <w:color w:val="000000"/>
                <w:szCs w:val="24"/>
              </w:rPr>
            </w:pPr>
            <w:r w:rsidRPr="0098634D">
              <w:rPr>
                <w:rFonts w:cs="Times New Roman"/>
                <w:color w:val="000000"/>
                <w:szCs w:val="24"/>
              </w:rPr>
              <w:t>22.104.427</w:t>
            </w:r>
          </w:p>
        </w:tc>
        <w:tc>
          <w:tcPr>
            <w:tcW w:w="695" w:type="pct"/>
            <w:noWrap/>
            <w:hideMark/>
          </w:tcPr>
          <w:p w14:paraId="1EE78683" w14:textId="77777777" w:rsidR="00F851CC" w:rsidRPr="0098634D" w:rsidRDefault="00F851CC" w:rsidP="007A6126">
            <w:pPr>
              <w:jc w:val="right"/>
              <w:rPr>
                <w:rFonts w:cs="Times New Roman"/>
                <w:color w:val="000000"/>
                <w:szCs w:val="24"/>
              </w:rPr>
            </w:pPr>
            <w:r w:rsidRPr="0098634D">
              <w:rPr>
                <w:rFonts w:cs="Times New Roman"/>
                <w:color w:val="000000"/>
                <w:szCs w:val="24"/>
              </w:rPr>
              <w:t>24.424.613</w:t>
            </w:r>
          </w:p>
        </w:tc>
        <w:tc>
          <w:tcPr>
            <w:tcW w:w="695" w:type="pct"/>
            <w:noWrap/>
            <w:hideMark/>
          </w:tcPr>
          <w:p w14:paraId="3320083D" w14:textId="77777777" w:rsidR="00F851CC" w:rsidRPr="0098634D" w:rsidRDefault="00F851CC" w:rsidP="007A6126">
            <w:pPr>
              <w:jc w:val="right"/>
              <w:rPr>
                <w:rFonts w:cs="Times New Roman"/>
                <w:color w:val="000000"/>
                <w:szCs w:val="24"/>
              </w:rPr>
            </w:pPr>
            <w:r w:rsidRPr="0098634D">
              <w:rPr>
                <w:rFonts w:cs="Times New Roman"/>
                <w:color w:val="000000"/>
                <w:szCs w:val="24"/>
              </w:rPr>
              <w:t>24.424.613</w:t>
            </w:r>
          </w:p>
        </w:tc>
        <w:tc>
          <w:tcPr>
            <w:tcW w:w="695" w:type="pct"/>
            <w:noWrap/>
            <w:hideMark/>
          </w:tcPr>
          <w:p w14:paraId="6EE8CBEC" w14:textId="77777777" w:rsidR="00F851CC" w:rsidRPr="0098634D" w:rsidRDefault="00F851CC" w:rsidP="007A6126">
            <w:pPr>
              <w:jc w:val="right"/>
              <w:rPr>
                <w:rFonts w:cs="Times New Roman"/>
                <w:color w:val="000000"/>
                <w:szCs w:val="24"/>
              </w:rPr>
            </w:pPr>
            <w:r w:rsidRPr="0098634D">
              <w:rPr>
                <w:rFonts w:cs="Times New Roman"/>
                <w:color w:val="000000"/>
                <w:szCs w:val="24"/>
              </w:rPr>
              <w:t>24.424.613</w:t>
            </w:r>
          </w:p>
        </w:tc>
        <w:tc>
          <w:tcPr>
            <w:tcW w:w="695" w:type="pct"/>
            <w:noWrap/>
            <w:hideMark/>
          </w:tcPr>
          <w:p w14:paraId="73E40CAD" w14:textId="77777777" w:rsidR="00F851CC" w:rsidRPr="0098634D" w:rsidRDefault="00F851CC" w:rsidP="007A6126">
            <w:pPr>
              <w:jc w:val="right"/>
              <w:rPr>
                <w:rFonts w:cs="Times New Roman"/>
                <w:color w:val="000000"/>
                <w:szCs w:val="24"/>
              </w:rPr>
            </w:pPr>
            <w:r w:rsidRPr="0098634D">
              <w:rPr>
                <w:rFonts w:cs="Times New Roman"/>
                <w:color w:val="000000"/>
                <w:szCs w:val="24"/>
              </w:rPr>
              <w:t>24.424.613</w:t>
            </w:r>
          </w:p>
        </w:tc>
      </w:tr>
      <w:tr w:rsidR="00F851CC" w14:paraId="44666133" w14:textId="77777777" w:rsidTr="007A6126">
        <w:trPr>
          <w:trHeight w:val="300"/>
        </w:trPr>
        <w:tc>
          <w:tcPr>
            <w:tcW w:w="1525" w:type="pct"/>
            <w:noWrap/>
            <w:hideMark/>
          </w:tcPr>
          <w:p w14:paraId="0AB272DB" w14:textId="77777777" w:rsidR="00F851CC" w:rsidRPr="0098634D" w:rsidRDefault="00F851CC" w:rsidP="007A6126">
            <w:pPr>
              <w:rPr>
                <w:rFonts w:cs="Times New Roman"/>
                <w:color w:val="000000"/>
                <w:szCs w:val="24"/>
              </w:rPr>
            </w:pPr>
            <w:r w:rsidRPr="0098634D">
              <w:rPr>
                <w:rFonts w:cs="Times New Roman"/>
                <w:color w:val="000000"/>
                <w:szCs w:val="24"/>
              </w:rPr>
              <w:t xml:space="preserve">Število lastnih delnic </w:t>
            </w:r>
          </w:p>
        </w:tc>
        <w:tc>
          <w:tcPr>
            <w:tcW w:w="695" w:type="pct"/>
            <w:noWrap/>
            <w:hideMark/>
          </w:tcPr>
          <w:p w14:paraId="7AED03F0" w14:textId="77777777" w:rsidR="00F851CC" w:rsidRPr="0098634D" w:rsidRDefault="00F851CC" w:rsidP="007A6126">
            <w:pPr>
              <w:jc w:val="right"/>
              <w:rPr>
                <w:rFonts w:cs="Times New Roman"/>
                <w:color w:val="000000"/>
                <w:szCs w:val="24"/>
              </w:rPr>
            </w:pPr>
            <w:r w:rsidRPr="0098634D">
              <w:rPr>
                <w:rFonts w:cs="Times New Roman"/>
                <w:color w:val="000000"/>
                <w:szCs w:val="24"/>
              </w:rPr>
              <w:t>121.311</w:t>
            </w:r>
          </w:p>
        </w:tc>
        <w:tc>
          <w:tcPr>
            <w:tcW w:w="695" w:type="pct"/>
            <w:noWrap/>
            <w:hideMark/>
          </w:tcPr>
          <w:p w14:paraId="71BCF9DB" w14:textId="77777777" w:rsidR="00F851CC" w:rsidRPr="0098634D" w:rsidRDefault="00F851CC" w:rsidP="007A6126">
            <w:pPr>
              <w:jc w:val="right"/>
              <w:rPr>
                <w:rFonts w:cs="Times New Roman"/>
                <w:color w:val="000000"/>
                <w:szCs w:val="24"/>
              </w:rPr>
            </w:pPr>
            <w:r w:rsidRPr="0098634D">
              <w:rPr>
                <w:rFonts w:cs="Times New Roman"/>
                <w:color w:val="000000"/>
                <w:szCs w:val="24"/>
              </w:rPr>
              <w:t>121.311</w:t>
            </w:r>
          </w:p>
        </w:tc>
        <w:tc>
          <w:tcPr>
            <w:tcW w:w="695" w:type="pct"/>
            <w:noWrap/>
            <w:hideMark/>
          </w:tcPr>
          <w:p w14:paraId="79CA4782" w14:textId="77777777" w:rsidR="00F851CC" w:rsidRPr="0098634D" w:rsidRDefault="00F851CC" w:rsidP="007A6126">
            <w:pPr>
              <w:jc w:val="right"/>
              <w:rPr>
                <w:rFonts w:cs="Times New Roman"/>
                <w:color w:val="000000"/>
                <w:szCs w:val="24"/>
              </w:rPr>
            </w:pPr>
            <w:r w:rsidRPr="0098634D">
              <w:rPr>
                <w:rFonts w:cs="Times New Roman"/>
                <w:color w:val="000000"/>
                <w:szCs w:val="24"/>
              </w:rPr>
              <w:t>121.311</w:t>
            </w:r>
          </w:p>
        </w:tc>
        <w:tc>
          <w:tcPr>
            <w:tcW w:w="695" w:type="pct"/>
            <w:noWrap/>
            <w:hideMark/>
          </w:tcPr>
          <w:p w14:paraId="6026374B" w14:textId="77777777" w:rsidR="00F851CC" w:rsidRPr="0098634D" w:rsidRDefault="00F851CC" w:rsidP="007A6126">
            <w:pPr>
              <w:jc w:val="right"/>
              <w:rPr>
                <w:rFonts w:cs="Times New Roman"/>
                <w:color w:val="000000"/>
                <w:szCs w:val="24"/>
              </w:rPr>
            </w:pPr>
            <w:r w:rsidRPr="0098634D">
              <w:rPr>
                <w:rFonts w:cs="Times New Roman"/>
                <w:color w:val="000000"/>
                <w:szCs w:val="24"/>
              </w:rPr>
              <w:t>121.311</w:t>
            </w:r>
          </w:p>
        </w:tc>
        <w:tc>
          <w:tcPr>
            <w:tcW w:w="695" w:type="pct"/>
            <w:noWrap/>
            <w:hideMark/>
          </w:tcPr>
          <w:p w14:paraId="352415D5" w14:textId="77777777" w:rsidR="00F851CC" w:rsidRPr="0098634D" w:rsidRDefault="00F851CC" w:rsidP="007A6126">
            <w:pPr>
              <w:jc w:val="right"/>
              <w:rPr>
                <w:rFonts w:cs="Times New Roman"/>
                <w:color w:val="000000"/>
                <w:szCs w:val="24"/>
              </w:rPr>
            </w:pPr>
            <w:r w:rsidRPr="0098634D">
              <w:rPr>
                <w:rFonts w:cs="Times New Roman"/>
                <w:color w:val="000000"/>
                <w:szCs w:val="24"/>
              </w:rPr>
              <w:t>121.311</w:t>
            </w:r>
          </w:p>
        </w:tc>
      </w:tr>
      <w:tr w:rsidR="00F851CC" w14:paraId="7EC79626" w14:textId="77777777" w:rsidTr="007A6126">
        <w:trPr>
          <w:trHeight w:val="300"/>
        </w:trPr>
        <w:tc>
          <w:tcPr>
            <w:tcW w:w="1525" w:type="pct"/>
            <w:noWrap/>
            <w:hideMark/>
          </w:tcPr>
          <w:p w14:paraId="26ABACAF" w14:textId="77777777" w:rsidR="00F851CC" w:rsidRPr="0098634D" w:rsidRDefault="00F851CC" w:rsidP="007A6126">
            <w:pPr>
              <w:rPr>
                <w:rFonts w:cs="Times New Roman"/>
                <w:color w:val="000000"/>
                <w:szCs w:val="24"/>
              </w:rPr>
            </w:pPr>
            <w:r w:rsidRPr="0098634D">
              <w:rPr>
                <w:rFonts w:cs="Times New Roman"/>
                <w:color w:val="000000"/>
                <w:szCs w:val="24"/>
              </w:rPr>
              <w:t xml:space="preserve">Število delničarjev </w:t>
            </w:r>
          </w:p>
        </w:tc>
        <w:tc>
          <w:tcPr>
            <w:tcW w:w="695" w:type="pct"/>
            <w:noWrap/>
            <w:hideMark/>
          </w:tcPr>
          <w:p w14:paraId="230C702C" w14:textId="77777777" w:rsidR="00F851CC" w:rsidRPr="0098634D" w:rsidRDefault="00F851CC" w:rsidP="007A6126">
            <w:pPr>
              <w:jc w:val="right"/>
              <w:rPr>
                <w:rFonts w:cs="Times New Roman"/>
                <w:color w:val="000000"/>
                <w:szCs w:val="24"/>
              </w:rPr>
            </w:pPr>
            <w:r w:rsidRPr="0098634D">
              <w:rPr>
                <w:rFonts w:cs="Times New Roman"/>
                <w:color w:val="000000"/>
                <w:szCs w:val="24"/>
              </w:rPr>
              <w:t>17.438</w:t>
            </w:r>
          </w:p>
        </w:tc>
        <w:tc>
          <w:tcPr>
            <w:tcW w:w="695" w:type="pct"/>
            <w:noWrap/>
            <w:hideMark/>
          </w:tcPr>
          <w:p w14:paraId="2F37FD1C" w14:textId="77777777" w:rsidR="00F851CC" w:rsidRPr="0098634D" w:rsidRDefault="00F851CC" w:rsidP="007A6126">
            <w:pPr>
              <w:jc w:val="right"/>
              <w:rPr>
                <w:rFonts w:cs="Times New Roman"/>
                <w:color w:val="000000"/>
                <w:szCs w:val="24"/>
              </w:rPr>
            </w:pPr>
            <w:r w:rsidRPr="0098634D">
              <w:rPr>
                <w:rFonts w:cs="Times New Roman"/>
                <w:color w:val="000000"/>
                <w:szCs w:val="24"/>
              </w:rPr>
              <w:t>17.000</w:t>
            </w:r>
          </w:p>
        </w:tc>
        <w:tc>
          <w:tcPr>
            <w:tcW w:w="695" w:type="pct"/>
            <w:noWrap/>
            <w:hideMark/>
          </w:tcPr>
          <w:p w14:paraId="11F5ECB2" w14:textId="77777777" w:rsidR="00F851CC" w:rsidRPr="0098634D" w:rsidRDefault="00F851CC" w:rsidP="007A6126">
            <w:pPr>
              <w:jc w:val="right"/>
              <w:rPr>
                <w:rFonts w:cs="Times New Roman"/>
                <w:color w:val="000000"/>
                <w:szCs w:val="24"/>
              </w:rPr>
            </w:pPr>
            <w:r w:rsidRPr="0098634D">
              <w:rPr>
                <w:rFonts w:cs="Times New Roman"/>
                <w:color w:val="000000"/>
                <w:szCs w:val="24"/>
              </w:rPr>
              <w:t>16.248</w:t>
            </w:r>
          </w:p>
        </w:tc>
        <w:tc>
          <w:tcPr>
            <w:tcW w:w="695" w:type="pct"/>
            <w:noWrap/>
            <w:hideMark/>
          </w:tcPr>
          <w:p w14:paraId="2286341E" w14:textId="77777777" w:rsidR="00F851CC" w:rsidRPr="0098634D" w:rsidRDefault="00F851CC" w:rsidP="007A6126">
            <w:pPr>
              <w:jc w:val="right"/>
              <w:rPr>
                <w:rFonts w:cs="Times New Roman"/>
                <w:color w:val="000000"/>
                <w:szCs w:val="24"/>
              </w:rPr>
            </w:pPr>
            <w:r w:rsidRPr="0098634D">
              <w:rPr>
                <w:rFonts w:cs="Times New Roman"/>
                <w:color w:val="000000"/>
                <w:szCs w:val="24"/>
              </w:rPr>
              <w:t>13.415</w:t>
            </w:r>
          </w:p>
        </w:tc>
        <w:tc>
          <w:tcPr>
            <w:tcW w:w="695" w:type="pct"/>
            <w:noWrap/>
            <w:hideMark/>
          </w:tcPr>
          <w:p w14:paraId="118A395E" w14:textId="77777777" w:rsidR="00F851CC" w:rsidRPr="0098634D" w:rsidRDefault="00F851CC" w:rsidP="007A6126">
            <w:pPr>
              <w:jc w:val="right"/>
              <w:rPr>
                <w:rFonts w:cs="Times New Roman"/>
                <w:color w:val="000000"/>
                <w:szCs w:val="24"/>
              </w:rPr>
            </w:pPr>
            <w:r w:rsidRPr="0098634D">
              <w:rPr>
                <w:rFonts w:cs="Times New Roman"/>
                <w:color w:val="000000"/>
                <w:szCs w:val="24"/>
              </w:rPr>
              <w:t>12.247</w:t>
            </w:r>
          </w:p>
        </w:tc>
      </w:tr>
    </w:tbl>
    <w:p w14:paraId="49D82930" w14:textId="77777777" w:rsidR="00F851CC" w:rsidRDefault="00F851CC" w:rsidP="00F851CC">
      <w:pPr>
        <w:pStyle w:val="Brezrazmikov"/>
      </w:pPr>
      <w:r>
        <w:t>Vir: Letna poročila Skupine Gorenje 2013 – 2017</w:t>
      </w:r>
    </w:p>
    <w:p w14:paraId="04B0FA2C" w14:textId="77777777" w:rsidR="00F851CC" w:rsidRDefault="00F851CC" w:rsidP="00F851CC">
      <w:pPr>
        <w:pStyle w:val="Brezrazmikov"/>
      </w:pPr>
    </w:p>
    <w:p w14:paraId="147A1466" w14:textId="77777777" w:rsidR="00F851CC" w:rsidRDefault="00F851CC" w:rsidP="00F851CC">
      <w:pPr>
        <w:pStyle w:val="Brezrazmikov"/>
      </w:pPr>
      <w:r w:rsidRPr="000D7A88">
        <w:t>Knjigovodska vrednost delnice</w:t>
      </w:r>
      <w:r>
        <w:t xml:space="preserve"> Gorenja z oznako</w:t>
      </w:r>
      <w:r w:rsidRPr="000D7A88">
        <w:t xml:space="preserve"> GRVG </w:t>
      </w:r>
      <w:r>
        <w:t xml:space="preserve">je </w:t>
      </w:r>
      <w:r w:rsidRPr="000D7A88">
        <w:t>na</w:t>
      </w:r>
      <w:r>
        <w:t xml:space="preserve"> dan</w:t>
      </w:r>
      <w:r w:rsidRPr="000D7A88">
        <w:t xml:space="preserve"> 31. 12. 2017 znašala 15,13</w:t>
      </w:r>
      <w:r>
        <w:t xml:space="preserve"> EUR</w:t>
      </w:r>
      <w:r w:rsidRPr="000D7A88">
        <w:t xml:space="preserve"> in je izračunana kot razmerje med knjigovodsko vrednostjo kapitala družbe Gorenje, d. d., in številom izdan</w:t>
      </w:r>
      <w:r>
        <w:t>ih delnic, brez lastnih delnic.</w:t>
      </w:r>
    </w:p>
    <w:p w14:paraId="2A6D3930" w14:textId="54FDAA98" w:rsidR="00F851CC" w:rsidRDefault="00F851CC" w:rsidP="00F851CC">
      <w:pPr>
        <w:pStyle w:val="Napis"/>
        <w:keepNext/>
      </w:pPr>
      <w:bookmarkStart w:id="29" w:name="_Toc13411324"/>
      <w:bookmarkStart w:id="30" w:name="_Toc18964918"/>
      <w:r>
        <w:t xml:space="preserve">Tabela </w:t>
      </w:r>
      <w:fldSimple w:instr=" SEQ Tabela \* ARABIC ">
        <w:r w:rsidR="00325440">
          <w:rPr>
            <w:noProof/>
          </w:rPr>
          <w:t>3</w:t>
        </w:r>
      </w:fldSimple>
      <w:r>
        <w:t>: Tečaj delnice GRVG v EUR</w:t>
      </w:r>
      <w:bookmarkEnd w:id="29"/>
      <w:bookmarkEnd w:id="30"/>
    </w:p>
    <w:tbl>
      <w:tblPr>
        <w:tblStyle w:val="Tabelamrea"/>
        <w:tblW w:w="5000" w:type="pct"/>
        <w:tblLook w:val="04A0" w:firstRow="1" w:lastRow="0" w:firstColumn="1" w:lastColumn="0" w:noHBand="0" w:noVBand="1"/>
      </w:tblPr>
      <w:tblGrid>
        <w:gridCol w:w="3725"/>
        <w:gridCol w:w="1133"/>
        <w:gridCol w:w="1135"/>
        <w:gridCol w:w="1135"/>
        <w:gridCol w:w="1135"/>
        <w:gridCol w:w="1133"/>
      </w:tblGrid>
      <w:tr w:rsidR="00F851CC" w:rsidRPr="0044490F" w14:paraId="5BD03E19" w14:textId="77777777" w:rsidTr="007A6126">
        <w:trPr>
          <w:trHeight w:val="315"/>
        </w:trPr>
        <w:tc>
          <w:tcPr>
            <w:tcW w:w="1982" w:type="pct"/>
            <w:noWrap/>
            <w:hideMark/>
          </w:tcPr>
          <w:p w14:paraId="3B37BFC1" w14:textId="77777777" w:rsidR="00F851CC" w:rsidRPr="0044490F" w:rsidRDefault="00F851CC" w:rsidP="007A6126">
            <w:pPr>
              <w:rPr>
                <w:rFonts w:eastAsia="Times New Roman" w:cs="Times New Roman"/>
                <w:b/>
                <w:bCs/>
                <w:color w:val="000000"/>
                <w:szCs w:val="24"/>
                <w:lang w:eastAsia="sl-SI"/>
              </w:rPr>
            </w:pPr>
            <w:r w:rsidRPr="0044490F">
              <w:rPr>
                <w:rFonts w:eastAsia="Times New Roman" w:cs="Times New Roman"/>
                <w:color w:val="000000"/>
                <w:szCs w:val="24"/>
                <w:lang w:eastAsia="sl-SI"/>
              </w:rPr>
              <w:t> V EUR</w:t>
            </w:r>
          </w:p>
        </w:tc>
        <w:tc>
          <w:tcPr>
            <w:tcW w:w="603" w:type="pct"/>
            <w:noWrap/>
            <w:hideMark/>
          </w:tcPr>
          <w:p w14:paraId="64C4165E" w14:textId="77777777" w:rsidR="00F851CC" w:rsidRPr="0044490F" w:rsidRDefault="00F851CC" w:rsidP="007A6126">
            <w:pPr>
              <w:jc w:val="right"/>
              <w:rPr>
                <w:rFonts w:eastAsia="Times New Roman" w:cs="Times New Roman"/>
                <w:b/>
                <w:bCs/>
                <w:color w:val="000000"/>
                <w:szCs w:val="24"/>
                <w:lang w:eastAsia="sl-SI"/>
              </w:rPr>
            </w:pPr>
            <w:r w:rsidRPr="0044490F">
              <w:rPr>
                <w:rFonts w:eastAsia="Times New Roman" w:cs="Times New Roman"/>
                <w:b/>
                <w:bCs/>
                <w:color w:val="000000"/>
                <w:szCs w:val="24"/>
                <w:lang w:eastAsia="sl-SI"/>
              </w:rPr>
              <w:t>2013</w:t>
            </w:r>
          </w:p>
        </w:tc>
        <w:tc>
          <w:tcPr>
            <w:tcW w:w="604" w:type="pct"/>
            <w:noWrap/>
            <w:hideMark/>
          </w:tcPr>
          <w:p w14:paraId="519B0A62" w14:textId="77777777" w:rsidR="00F851CC" w:rsidRPr="0044490F" w:rsidRDefault="00F851CC" w:rsidP="007A6126">
            <w:pPr>
              <w:jc w:val="right"/>
              <w:rPr>
                <w:rFonts w:eastAsia="Times New Roman" w:cs="Times New Roman"/>
                <w:b/>
                <w:bCs/>
                <w:color w:val="000000"/>
                <w:szCs w:val="24"/>
                <w:lang w:eastAsia="sl-SI"/>
              </w:rPr>
            </w:pPr>
            <w:r w:rsidRPr="0044490F">
              <w:rPr>
                <w:rFonts w:eastAsia="Times New Roman" w:cs="Times New Roman"/>
                <w:b/>
                <w:bCs/>
                <w:color w:val="000000"/>
                <w:szCs w:val="24"/>
                <w:lang w:eastAsia="sl-SI"/>
              </w:rPr>
              <w:t>2014</w:t>
            </w:r>
          </w:p>
        </w:tc>
        <w:tc>
          <w:tcPr>
            <w:tcW w:w="604" w:type="pct"/>
            <w:noWrap/>
            <w:hideMark/>
          </w:tcPr>
          <w:p w14:paraId="43EA4391" w14:textId="77777777" w:rsidR="00F851CC" w:rsidRPr="0044490F" w:rsidRDefault="00F851CC" w:rsidP="007A6126">
            <w:pPr>
              <w:jc w:val="right"/>
              <w:rPr>
                <w:rFonts w:eastAsia="Times New Roman" w:cs="Times New Roman"/>
                <w:b/>
                <w:bCs/>
                <w:color w:val="000000"/>
                <w:szCs w:val="24"/>
                <w:lang w:eastAsia="sl-SI"/>
              </w:rPr>
            </w:pPr>
            <w:r w:rsidRPr="0044490F">
              <w:rPr>
                <w:rFonts w:eastAsia="Times New Roman" w:cs="Times New Roman"/>
                <w:b/>
                <w:bCs/>
                <w:color w:val="000000"/>
                <w:szCs w:val="24"/>
                <w:lang w:eastAsia="sl-SI"/>
              </w:rPr>
              <w:t>2015</w:t>
            </w:r>
          </w:p>
        </w:tc>
        <w:tc>
          <w:tcPr>
            <w:tcW w:w="604" w:type="pct"/>
            <w:noWrap/>
            <w:hideMark/>
          </w:tcPr>
          <w:p w14:paraId="0D2EF615" w14:textId="77777777" w:rsidR="00F851CC" w:rsidRPr="0044490F" w:rsidRDefault="00F851CC" w:rsidP="007A6126">
            <w:pPr>
              <w:jc w:val="right"/>
              <w:rPr>
                <w:rFonts w:eastAsia="Times New Roman" w:cs="Times New Roman"/>
                <w:b/>
                <w:bCs/>
                <w:color w:val="000000"/>
                <w:szCs w:val="24"/>
                <w:lang w:eastAsia="sl-SI"/>
              </w:rPr>
            </w:pPr>
            <w:r w:rsidRPr="0044490F">
              <w:rPr>
                <w:rFonts w:eastAsia="Times New Roman" w:cs="Times New Roman"/>
                <w:b/>
                <w:bCs/>
                <w:color w:val="000000"/>
                <w:szCs w:val="24"/>
                <w:lang w:eastAsia="sl-SI"/>
              </w:rPr>
              <w:t>2016</w:t>
            </w:r>
          </w:p>
        </w:tc>
        <w:tc>
          <w:tcPr>
            <w:tcW w:w="603" w:type="pct"/>
            <w:noWrap/>
            <w:hideMark/>
          </w:tcPr>
          <w:p w14:paraId="5DA34663" w14:textId="77777777" w:rsidR="00F851CC" w:rsidRPr="0044490F" w:rsidRDefault="00F851CC" w:rsidP="007A6126">
            <w:pPr>
              <w:jc w:val="right"/>
              <w:rPr>
                <w:rFonts w:eastAsia="Times New Roman" w:cs="Times New Roman"/>
                <w:b/>
                <w:bCs/>
                <w:color w:val="000000"/>
                <w:szCs w:val="24"/>
                <w:lang w:eastAsia="sl-SI"/>
              </w:rPr>
            </w:pPr>
            <w:r w:rsidRPr="0044490F">
              <w:rPr>
                <w:rFonts w:eastAsia="Times New Roman" w:cs="Times New Roman"/>
                <w:b/>
                <w:bCs/>
                <w:color w:val="000000"/>
                <w:szCs w:val="24"/>
                <w:lang w:eastAsia="sl-SI"/>
              </w:rPr>
              <w:t>2017</w:t>
            </w:r>
          </w:p>
        </w:tc>
      </w:tr>
      <w:tr w:rsidR="00F851CC" w:rsidRPr="0044490F" w14:paraId="512EED20" w14:textId="77777777" w:rsidTr="007A6126">
        <w:trPr>
          <w:trHeight w:val="300"/>
        </w:trPr>
        <w:tc>
          <w:tcPr>
            <w:tcW w:w="1982" w:type="pct"/>
            <w:noWrap/>
            <w:hideMark/>
          </w:tcPr>
          <w:p w14:paraId="5EEB21C4" w14:textId="77777777" w:rsidR="00F851CC" w:rsidRPr="0044490F" w:rsidRDefault="00F851CC" w:rsidP="007A6126">
            <w:pPr>
              <w:rPr>
                <w:rFonts w:eastAsia="Times New Roman" w:cs="Times New Roman"/>
                <w:color w:val="000000"/>
                <w:szCs w:val="24"/>
                <w:lang w:eastAsia="sl-SI"/>
              </w:rPr>
            </w:pPr>
            <w:r w:rsidRPr="0044490F">
              <w:rPr>
                <w:rFonts w:eastAsia="Times New Roman" w:cs="Times New Roman"/>
                <w:color w:val="000000"/>
                <w:szCs w:val="24"/>
                <w:lang w:eastAsia="sl-SI"/>
              </w:rPr>
              <w:t>Zaključni tečaj delnice</w:t>
            </w:r>
          </w:p>
        </w:tc>
        <w:tc>
          <w:tcPr>
            <w:tcW w:w="603" w:type="pct"/>
            <w:noWrap/>
            <w:hideMark/>
          </w:tcPr>
          <w:p w14:paraId="7D7B507D"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4,20</w:t>
            </w:r>
          </w:p>
        </w:tc>
        <w:tc>
          <w:tcPr>
            <w:tcW w:w="604" w:type="pct"/>
            <w:noWrap/>
            <w:hideMark/>
          </w:tcPr>
          <w:p w14:paraId="7ECBC803"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5,62</w:t>
            </w:r>
          </w:p>
        </w:tc>
        <w:tc>
          <w:tcPr>
            <w:tcW w:w="604" w:type="pct"/>
            <w:noWrap/>
            <w:hideMark/>
          </w:tcPr>
          <w:p w14:paraId="6AC51DFD"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4,60</w:t>
            </w:r>
          </w:p>
        </w:tc>
        <w:tc>
          <w:tcPr>
            <w:tcW w:w="604" w:type="pct"/>
            <w:noWrap/>
            <w:hideMark/>
          </w:tcPr>
          <w:p w14:paraId="271C5957"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6,00</w:t>
            </w:r>
          </w:p>
        </w:tc>
        <w:tc>
          <w:tcPr>
            <w:tcW w:w="603" w:type="pct"/>
            <w:noWrap/>
            <w:hideMark/>
          </w:tcPr>
          <w:p w14:paraId="059C1DC6"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5,10</w:t>
            </w:r>
          </w:p>
        </w:tc>
      </w:tr>
      <w:tr w:rsidR="00F851CC" w:rsidRPr="0044490F" w14:paraId="515CE418" w14:textId="77777777" w:rsidTr="007A6126">
        <w:trPr>
          <w:trHeight w:val="300"/>
        </w:trPr>
        <w:tc>
          <w:tcPr>
            <w:tcW w:w="1982" w:type="pct"/>
            <w:noWrap/>
            <w:hideMark/>
          </w:tcPr>
          <w:p w14:paraId="104BC74F" w14:textId="77777777" w:rsidR="00F851CC" w:rsidRPr="0044490F" w:rsidRDefault="00F851CC" w:rsidP="007A6126">
            <w:pPr>
              <w:rPr>
                <w:rFonts w:eastAsia="Times New Roman" w:cs="Times New Roman"/>
                <w:color w:val="000000"/>
                <w:szCs w:val="24"/>
                <w:lang w:eastAsia="sl-SI"/>
              </w:rPr>
            </w:pPr>
            <w:r w:rsidRPr="0044490F">
              <w:rPr>
                <w:rFonts w:eastAsia="Times New Roman" w:cs="Times New Roman"/>
                <w:color w:val="000000"/>
                <w:szCs w:val="24"/>
                <w:lang w:eastAsia="sl-SI"/>
              </w:rPr>
              <w:t>Najnižja vrednost v letu</w:t>
            </w:r>
          </w:p>
        </w:tc>
        <w:tc>
          <w:tcPr>
            <w:tcW w:w="603" w:type="pct"/>
            <w:noWrap/>
            <w:hideMark/>
          </w:tcPr>
          <w:p w14:paraId="4629DDA4"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3,80</w:t>
            </w:r>
          </w:p>
        </w:tc>
        <w:tc>
          <w:tcPr>
            <w:tcW w:w="604" w:type="pct"/>
            <w:noWrap/>
            <w:hideMark/>
          </w:tcPr>
          <w:p w14:paraId="4F28C268"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3,96</w:t>
            </w:r>
          </w:p>
        </w:tc>
        <w:tc>
          <w:tcPr>
            <w:tcW w:w="604" w:type="pct"/>
            <w:noWrap/>
            <w:hideMark/>
          </w:tcPr>
          <w:p w14:paraId="69B6E3D9"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3,85</w:t>
            </w:r>
          </w:p>
        </w:tc>
        <w:tc>
          <w:tcPr>
            <w:tcW w:w="604" w:type="pct"/>
            <w:noWrap/>
            <w:hideMark/>
          </w:tcPr>
          <w:p w14:paraId="284FF465"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4,10</w:t>
            </w:r>
          </w:p>
        </w:tc>
        <w:tc>
          <w:tcPr>
            <w:tcW w:w="603" w:type="pct"/>
            <w:noWrap/>
            <w:hideMark/>
          </w:tcPr>
          <w:p w14:paraId="1E5F8423"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5,10</w:t>
            </w:r>
          </w:p>
        </w:tc>
      </w:tr>
      <w:tr w:rsidR="00F851CC" w:rsidRPr="0044490F" w14:paraId="774E6C26" w14:textId="77777777" w:rsidTr="007A6126">
        <w:trPr>
          <w:trHeight w:val="300"/>
        </w:trPr>
        <w:tc>
          <w:tcPr>
            <w:tcW w:w="1982" w:type="pct"/>
            <w:noWrap/>
            <w:hideMark/>
          </w:tcPr>
          <w:p w14:paraId="73A73B17" w14:textId="77777777" w:rsidR="00F851CC" w:rsidRPr="0044490F" w:rsidRDefault="00F851CC" w:rsidP="007A6126">
            <w:pPr>
              <w:rPr>
                <w:rFonts w:eastAsia="Times New Roman" w:cs="Times New Roman"/>
                <w:color w:val="000000"/>
                <w:szCs w:val="24"/>
                <w:lang w:eastAsia="sl-SI"/>
              </w:rPr>
            </w:pPr>
            <w:r w:rsidRPr="0044490F">
              <w:rPr>
                <w:rFonts w:eastAsia="Times New Roman" w:cs="Times New Roman"/>
                <w:color w:val="000000"/>
                <w:szCs w:val="24"/>
                <w:lang w:eastAsia="sl-SI"/>
              </w:rPr>
              <w:t xml:space="preserve">Najvišja vrednost v letu </w:t>
            </w:r>
          </w:p>
        </w:tc>
        <w:tc>
          <w:tcPr>
            <w:tcW w:w="603" w:type="pct"/>
            <w:noWrap/>
            <w:hideMark/>
          </w:tcPr>
          <w:p w14:paraId="7192E168"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4,62</w:t>
            </w:r>
          </w:p>
        </w:tc>
        <w:tc>
          <w:tcPr>
            <w:tcW w:w="604" w:type="pct"/>
            <w:noWrap/>
            <w:hideMark/>
          </w:tcPr>
          <w:p w14:paraId="2ADE3CF5"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7,20</w:t>
            </w:r>
          </w:p>
        </w:tc>
        <w:tc>
          <w:tcPr>
            <w:tcW w:w="604" w:type="pct"/>
            <w:noWrap/>
            <w:hideMark/>
          </w:tcPr>
          <w:p w14:paraId="2AD54551"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6,30</w:t>
            </w:r>
          </w:p>
        </w:tc>
        <w:tc>
          <w:tcPr>
            <w:tcW w:w="604" w:type="pct"/>
            <w:noWrap/>
            <w:hideMark/>
          </w:tcPr>
          <w:p w14:paraId="52D104C0"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9,15</w:t>
            </w:r>
          </w:p>
        </w:tc>
        <w:tc>
          <w:tcPr>
            <w:tcW w:w="603" w:type="pct"/>
            <w:noWrap/>
            <w:hideMark/>
          </w:tcPr>
          <w:p w14:paraId="37B008CD"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7,25</w:t>
            </w:r>
          </w:p>
        </w:tc>
      </w:tr>
      <w:tr w:rsidR="00F851CC" w:rsidRPr="0044490F" w14:paraId="30F27E7C" w14:textId="77777777" w:rsidTr="007A6126">
        <w:trPr>
          <w:trHeight w:val="300"/>
        </w:trPr>
        <w:tc>
          <w:tcPr>
            <w:tcW w:w="1982" w:type="pct"/>
            <w:noWrap/>
            <w:hideMark/>
          </w:tcPr>
          <w:p w14:paraId="1697D92E" w14:textId="77777777" w:rsidR="00F851CC" w:rsidRPr="0044490F" w:rsidRDefault="00F851CC" w:rsidP="007A6126">
            <w:pPr>
              <w:rPr>
                <w:rFonts w:eastAsia="Times New Roman" w:cs="Times New Roman"/>
                <w:color w:val="000000"/>
                <w:szCs w:val="24"/>
                <w:lang w:eastAsia="sl-SI"/>
              </w:rPr>
            </w:pPr>
            <w:r w:rsidRPr="0044490F">
              <w:rPr>
                <w:rFonts w:eastAsia="Times New Roman" w:cs="Times New Roman"/>
                <w:color w:val="000000"/>
                <w:szCs w:val="24"/>
                <w:lang w:eastAsia="sl-SI"/>
              </w:rPr>
              <w:t>Knjigovodska vrednost delnice</w:t>
            </w:r>
          </w:p>
        </w:tc>
        <w:tc>
          <w:tcPr>
            <w:tcW w:w="603" w:type="pct"/>
            <w:noWrap/>
            <w:hideMark/>
          </w:tcPr>
          <w:p w14:paraId="5A73786D"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17,32</w:t>
            </w:r>
          </w:p>
        </w:tc>
        <w:tc>
          <w:tcPr>
            <w:tcW w:w="604" w:type="pct"/>
            <w:noWrap/>
            <w:hideMark/>
          </w:tcPr>
          <w:p w14:paraId="1ADFC8B7"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15,65</w:t>
            </w:r>
          </w:p>
        </w:tc>
        <w:tc>
          <w:tcPr>
            <w:tcW w:w="604" w:type="pct"/>
            <w:noWrap/>
            <w:hideMark/>
          </w:tcPr>
          <w:p w14:paraId="1623C32A"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15,14</w:t>
            </w:r>
          </w:p>
        </w:tc>
        <w:tc>
          <w:tcPr>
            <w:tcW w:w="604" w:type="pct"/>
            <w:noWrap/>
            <w:hideMark/>
          </w:tcPr>
          <w:p w14:paraId="7502DBF3"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15,40</w:t>
            </w:r>
          </w:p>
        </w:tc>
        <w:tc>
          <w:tcPr>
            <w:tcW w:w="603" w:type="pct"/>
            <w:noWrap/>
            <w:hideMark/>
          </w:tcPr>
          <w:p w14:paraId="09BCF43D" w14:textId="77777777" w:rsidR="00F851CC" w:rsidRPr="0044490F" w:rsidRDefault="00F851CC" w:rsidP="007A6126">
            <w:pPr>
              <w:jc w:val="right"/>
              <w:rPr>
                <w:rFonts w:eastAsia="Times New Roman" w:cs="Times New Roman"/>
                <w:color w:val="000000"/>
                <w:szCs w:val="24"/>
                <w:lang w:eastAsia="sl-SI"/>
              </w:rPr>
            </w:pPr>
            <w:r w:rsidRPr="0044490F">
              <w:rPr>
                <w:rFonts w:eastAsia="Times New Roman" w:cs="Times New Roman"/>
                <w:color w:val="000000"/>
                <w:szCs w:val="24"/>
                <w:lang w:eastAsia="sl-SI"/>
              </w:rPr>
              <w:t>15,13</w:t>
            </w:r>
          </w:p>
        </w:tc>
      </w:tr>
    </w:tbl>
    <w:p w14:paraId="61EB28F8" w14:textId="77777777" w:rsidR="00F851CC" w:rsidRDefault="00F851CC" w:rsidP="00F851CC">
      <w:pPr>
        <w:pStyle w:val="Brezrazmikov"/>
      </w:pPr>
      <w:r>
        <w:t>Vir: Letna poročila Skupine Gorenje 2013–2017</w:t>
      </w:r>
    </w:p>
    <w:p w14:paraId="158FAEB4" w14:textId="77777777" w:rsidR="00F851CC" w:rsidRDefault="00F851CC" w:rsidP="00F851CC">
      <w:pPr>
        <w:pStyle w:val="Naslov1"/>
      </w:pPr>
      <w:bookmarkStart w:id="31" w:name="_Toc18964864"/>
      <w:r>
        <w:t>Predstavitev panoge</w:t>
      </w:r>
      <w:bookmarkEnd w:id="31"/>
    </w:p>
    <w:p w14:paraId="442DE57D" w14:textId="77777777" w:rsidR="00F851CC" w:rsidRDefault="00F851CC" w:rsidP="00F851CC">
      <w:pPr>
        <w:pStyle w:val="Brezrazmikov"/>
      </w:pPr>
      <w:r>
        <w:t>Panoga bele tehnike je industrijska dejavnost, ki se ukvarja s proizvodnjo električnih aparatov za pomoč v gospodinjstvu. Sem spadajo majhni gospodinjski aparati, veliki gospodinjski aparati, kot so pečice, pralni stroji, hladilniki, ter domača elektronika, kamor uvrščamo izdelke za osebno nego, televizijski sprejemniki itd.</w:t>
      </w:r>
    </w:p>
    <w:p w14:paraId="2FC9CBCC" w14:textId="77777777" w:rsidR="00F851CC" w:rsidRDefault="00F851CC" w:rsidP="00F851CC">
      <w:pPr>
        <w:pStyle w:val="Brezrazmikov"/>
      </w:pPr>
      <w:r>
        <w:t xml:space="preserve">Panoga se je začela razvijati v dvajsetem stoletju, občuten razcvet pa je dosegla v zadnjih 20 letih, skupaj s tehnološkim napredkom. Vse višji življenjski standard, večji dohodek potrošnikov ter želja po udobju spodbujajo potrošnike v nakup novejših, tehnološko bolj naprednih aparatov, kar posledično krepi povpraševanje na trgu gospodinjskih aparatov. Industrija je v večji meri ekološko ozaveščena in se tako osredotoča na energetsko čim bolj varčne in učinkovite optimizacije, kar v kombinaciji z inovativnimi funkcijami in estetskimi dizajni ponuja možnost za rast trga tudi v prihodnje (Home </w:t>
      </w:r>
      <w:proofErr w:type="spellStart"/>
      <w:r>
        <w:t>appliance</w:t>
      </w:r>
      <w:proofErr w:type="spellEnd"/>
      <w:r>
        <w:t xml:space="preserve"> market </w:t>
      </w:r>
      <w:proofErr w:type="spellStart"/>
      <w:r>
        <w:t>size</w:t>
      </w:r>
      <w:proofErr w:type="spellEnd"/>
      <w:r>
        <w:t>, 2015).</w:t>
      </w:r>
    </w:p>
    <w:p w14:paraId="6B9C0D59" w14:textId="77777777" w:rsidR="00F851CC" w:rsidRDefault="00F851CC" w:rsidP="00F851CC">
      <w:pPr>
        <w:pStyle w:val="Brezrazmikov"/>
      </w:pPr>
    </w:p>
    <w:p w14:paraId="5CB91108" w14:textId="77777777" w:rsidR="00F851CC" w:rsidRDefault="00F851CC" w:rsidP="00F851CC">
      <w:pPr>
        <w:pStyle w:val="Brezrazmikov"/>
      </w:pPr>
      <w:r>
        <w:t xml:space="preserve">Industrija je predvsem odvisna od makroekonomskega položaja ekonomije, zato je bila v času po krizi panoga zelo prizadeta, saj je zaradi krize upadlo povpraševanje potrošnikov zaradi </w:t>
      </w:r>
      <w:r>
        <w:lastRenderedPageBreak/>
        <w:t>pomanjkanja zaupanja v gospodarstvo. Na zaupanje uporabnikov vpliva njihov finančni položaj, gospodarska rast, stopnja brezposelnosti ter napovedi za prihodnost. Povpraševanje se je v zadnjih nekaj letih z gospodarsko rastjo zopet začelo izboljševati ter je trenutno na dobri poti, kjer prodaja narašča.</w:t>
      </w:r>
    </w:p>
    <w:p w14:paraId="42CF49EE" w14:textId="77777777" w:rsidR="00F851CC" w:rsidRDefault="00F851CC" w:rsidP="00F851CC">
      <w:pPr>
        <w:pStyle w:val="Naslov2"/>
      </w:pPr>
      <w:bookmarkStart w:id="32" w:name="_Toc18964865"/>
      <w:r>
        <w:t>Analiza panoge, v kateri posluje Gorenje</w:t>
      </w:r>
      <w:bookmarkEnd w:id="32"/>
    </w:p>
    <w:p w14:paraId="25540A20" w14:textId="77777777" w:rsidR="00F851CC" w:rsidRDefault="00F851CC" w:rsidP="00F851CC">
      <w:pPr>
        <w:pStyle w:val="Brezrazmikov"/>
      </w:pPr>
      <w:r>
        <w:t xml:space="preserve">Za lažjo in bolj natančno napoved poslovnih prihodkov in odhodkov Skupine je dobro poznati, kakšna so predvidevanja za panogo, v kateri podjetje deluje. Pri napovedi panoge bele tehnike smo si pomagali z raziskovalnim podjetjem </w:t>
      </w:r>
      <w:proofErr w:type="spellStart"/>
      <w:r w:rsidRPr="007E2B67">
        <w:t>Allied</w:t>
      </w:r>
      <w:proofErr w:type="spellEnd"/>
      <w:r w:rsidRPr="007E2B67">
        <w:t xml:space="preserve"> Market </w:t>
      </w:r>
      <w:proofErr w:type="spellStart"/>
      <w:r w:rsidRPr="007E2B67">
        <w:t>Research</w:t>
      </w:r>
      <w:proofErr w:type="spellEnd"/>
      <w:r>
        <w:t>, ki ponuja poslovne vpoglede in tržna poročila velikih in majhnih podjetij ter panog, v kateri delujejo.</w:t>
      </w:r>
      <w:r>
        <w:rPr>
          <w:rStyle w:val="Sprotnaopomba-sklic"/>
        </w:rPr>
        <w:footnoteReference w:id="13"/>
      </w:r>
      <w:r>
        <w:t xml:space="preserve"> V poročilu, ki je bilo izdano v letu 2017, napovedujejo tržno napoved panoge bele tehnike za obdobje od 2018 do 2025. Prepričani so, da bo nenehna gospodarska rast v naslednjih letih še bolj povečala trg bele tehnike. Po njihovih podatkih je panoga v letu 2017 globalno zagotovila 501,532 milijonov ameriških dolarjev v gospodarski dejavnosti. Do leta 2025 naj bi ta vrednost narastla na 763,451 milijonov ameriških dolarjev, kar predstavlja 5,4-odstotno povprečno letno stopnjo rasti. Pričakovana rast je posledica rasti števila gospodinjstev, ki povprašujejo po tehnološko čim bolj naprednimi in hkrati energetsko varčnimi izdelki. Podjetja v tej panogi lahko pričakujejo, da se bo njihova letna prodaja povečevala sorazmerno z rastjo panoge.</w:t>
      </w:r>
    </w:p>
    <w:p w14:paraId="24153F39" w14:textId="77777777" w:rsidR="00F851CC" w:rsidRDefault="00F851CC" w:rsidP="00F851CC">
      <w:pPr>
        <w:pStyle w:val="Naslov1"/>
      </w:pPr>
      <w:bookmarkStart w:id="33" w:name="_Toc18964866"/>
      <w:r>
        <w:t>Analiza poslovanja Skupine Gorenje</w:t>
      </w:r>
      <w:bookmarkEnd w:id="33"/>
    </w:p>
    <w:p w14:paraId="5E274020" w14:textId="77777777" w:rsidR="00F851CC" w:rsidRDefault="00F851CC" w:rsidP="00F851CC">
      <w:pPr>
        <w:pStyle w:val="Brezrazmikov"/>
      </w:pPr>
      <w:r>
        <w:t>V tem razdelku bomo analizirali preteklo poslovanje Skupine Gorenje v obdobju 2013–2017. Vsi podatki so bili pridobljeni iz letnih poročil Skupine. Poslovanje lahko bolje analiziramo, če si za primerjavo izberemo eno ali več primerljivih podjetij, ki delujejo v isti panogi. Skupino Gorenje bomo primerjali s podjetjem Electrolux. Electrolux je ena izmed vodilnih družb v panogi gospodinjskih aparatov in aparatov za profesionalno rabo. Proda več kot 60 milijonov izdelkov v več kot 150 držav ter združuje 56.000 zaposlenih. Ključna trga sta Severna Amerika s 35-odstotnim deležem ter Evropa s 30-odstotnim deležem prodaje (Letno poročilo Skupine Electrolux, 2017).</w:t>
      </w:r>
    </w:p>
    <w:p w14:paraId="22D40456" w14:textId="77777777" w:rsidR="00F851CC" w:rsidRPr="0084228F" w:rsidRDefault="00F851CC" w:rsidP="00F851CC">
      <w:pPr>
        <w:pStyle w:val="Naslov2"/>
      </w:pPr>
      <w:bookmarkStart w:id="34" w:name="_Toc18964867"/>
      <w:r>
        <w:t>Prihodki od prodaje, stroški in dobiček</w:t>
      </w:r>
      <w:bookmarkEnd w:id="34"/>
    </w:p>
    <w:p w14:paraId="3AB7229F" w14:textId="77777777" w:rsidR="00F851CC" w:rsidRDefault="00F851CC" w:rsidP="00F851CC">
      <w:pPr>
        <w:pStyle w:val="Naslov3"/>
      </w:pPr>
      <w:bookmarkStart w:id="35" w:name="_Toc18964868"/>
      <w:r>
        <w:t>Prihodki od prodaje</w:t>
      </w:r>
      <w:bookmarkEnd w:id="35"/>
    </w:p>
    <w:p w14:paraId="1EB7FD43" w14:textId="77777777" w:rsidR="00F851CC" w:rsidRDefault="00F851CC" w:rsidP="00F851CC">
      <w:pPr>
        <w:pStyle w:val="Brezrazmikov"/>
      </w:pPr>
      <w:r>
        <w:t xml:space="preserve">Prihodki Skupine Gorenje so se v zadnjih dveh letih začeli bistveno povečevati v primerjavi s prejšnjim letom, ko je še vladalo s krizo zaznamovano obdobje. Tako so se prihodki od prodaje, ki so leta 2013 znašali 1,253 mrd EUR, povečali na 1,310 mrd EUR v letu 2017. Rast je bila posledica širitev na trge zunaj Evrope, prilagajanje prodajnega programa posameznim trgom ter gospodarska rast na trgih, kjer Gorenje prodaja svoje izdelke. </w:t>
      </w:r>
    </w:p>
    <w:p w14:paraId="137BC278" w14:textId="2C4E1287" w:rsidR="00F851CC" w:rsidRDefault="00F851CC" w:rsidP="00F851CC">
      <w:pPr>
        <w:pStyle w:val="Brezrazmikov"/>
      </w:pPr>
      <w:r>
        <w:lastRenderedPageBreak/>
        <w:t xml:space="preserve">Če primerjamo rast prihodkov od prodaje Skupine Gorenje in družbe </w:t>
      </w:r>
      <w:proofErr w:type="spellStart"/>
      <w:r>
        <w:t>Electrolux</w:t>
      </w:r>
      <w:proofErr w:type="spellEnd"/>
      <w:r>
        <w:t xml:space="preserve">, lahko na </w:t>
      </w:r>
      <w:r w:rsidR="00CD0613">
        <w:rPr>
          <w:i/>
          <w:iCs/>
        </w:rPr>
        <w:fldChar w:fldCharType="begin"/>
      </w:r>
      <w:r w:rsidR="00CD0613" w:rsidRPr="00CD0613">
        <w:rPr>
          <w:i/>
          <w:iCs/>
        </w:rPr>
        <w:instrText xml:space="preserve"> REF  _Ref16725076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3</w:t>
      </w:r>
      <w:r w:rsidR="00CD0613">
        <w:rPr>
          <w:i/>
          <w:iCs/>
        </w:rPr>
        <w:fldChar w:fldCharType="end"/>
      </w:r>
      <w:r>
        <w:t xml:space="preserve"> vidimo, da si je Electrolux po krizi hitreje opomogel, saj deluje na trgih, ki so prej okrevali od krize. Največje povečanje prodaje je zabeležil v Veliki Britaniji že po letu 2014, medtem ko Gorenju trg Velike Britanije predstavlja le 1,1-odstotni delež prodaje, zato ni bilo občutnih sprememb. Po tem letu je prišlo do gospodarske rasti tudi v državah, ki so ključne za Gorenje, zato so prihodki od prodaje začeli naraščati.</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F851CC" w14:paraId="03CB50F9" w14:textId="77777777" w:rsidTr="007A6126">
        <w:tc>
          <w:tcPr>
            <w:tcW w:w="4698" w:type="dxa"/>
          </w:tcPr>
          <w:p w14:paraId="0DE021E1" w14:textId="043404A5" w:rsidR="00F851CC" w:rsidRDefault="00F851CC" w:rsidP="007A6126">
            <w:pPr>
              <w:pStyle w:val="Napis"/>
              <w:keepNext/>
              <w:spacing w:before="194" w:after="162"/>
              <w:jc w:val="center"/>
            </w:pPr>
            <w:bookmarkStart w:id="36" w:name="_Toc18964892"/>
            <w:r>
              <w:t xml:space="preserve">Slika </w:t>
            </w:r>
            <w:fldSimple w:instr=" SEQ Slika \* ARABIC ">
              <w:r w:rsidR="00325440">
                <w:rPr>
                  <w:noProof/>
                </w:rPr>
                <w:t>2</w:t>
              </w:r>
            </w:fldSimple>
            <w:r>
              <w:t>: Prihodki od prodaje Skupine Gorenje</w:t>
            </w:r>
            <w:bookmarkEnd w:id="36"/>
          </w:p>
          <w:p w14:paraId="6A8075A0" w14:textId="77777777" w:rsidR="00F851CC" w:rsidRDefault="00F851CC" w:rsidP="007A6126">
            <w:pPr>
              <w:pStyle w:val="Grafi"/>
              <w:spacing w:after="194"/>
            </w:pPr>
            <w:r>
              <w:rPr>
                <w:lang w:eastAsia="sl-SI"/>
              </w:rPr>
              <w:drawing>
                <wp:inline distT="0" distB="0" distL="0" distR="0" wp14:anchorId="15175672" wp14:editId="3B5C0039">
                  <wp:extent cx="2866292" cy="1800000"/>
                  <wp:effectExtent l="0" t="0" r="10795" b="10160"/>
                  <wp:docPr id="13" name="Grafikon 13">
                    <a:extLst xmlns:a="http://schemas.openxmlformats.org/drawingml/2006/main">
                      <a:ext uri="{FF2B5EF4-FFF2-40B4-BE49-F238E27FC236}">
                        <a16:creationId xmlns:a16="http://schemas.microsoft.com/office/drawing/2014/main" id="{158FC548-39BC-4F95-BECF-BB5DA0DF4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698" w:type="dxa"/>
          </w:tcPr>
          <w:p w14:paraId="5D2D6080" w14:textId="5B3E86B9" w:rsidR="00F851CC" w:rsidRDefault="00F851CC" w:rsidP="007A6126">
            <w:pPr>
              <w:pStyle w:val="Napis"/>
              <w:keepNext/>
              <w:spacing w:before="194" w:after="162"/>
              <w:jc w:val="center"/>
            </w:pPr>
            <w:bookmarkStart w:id="37" w:name="_Ref16725076"/>
            <w:bookmarkStart w:id="38" w:name="_Toc18964893"/>
            <w:r>
              <w:t xml:space="preserve">Slika </w:t>
            </w:r>
            <w:fldSimple w:instr=" SEQ Slika \* ARABIC ">
              <w:r w:rsidR="00325440">
                <w:rPr>
                  <w:noProof/>
                </w:rPr>
                <w:t>3</w:t>
              </w:r>
            </w:fldSimple>
            <w:bookmarkEnd w:id="37"/>
            <w:r>
              <w:t>: Rast prihodkov od prodaje</w:t>
            </w:r>
            <w:bookmarkEnd w:id="38"/>
          </w:p>
          <w:p w14:paraId="30DC057D" w14:textId="77777777" w:rsidR="00F851CC" w:rsidRDefault="00F851CC" w:rsidP="007A6126">
            <w:pPr>
              <w:pStyle w:val="Grafi"/>
              <w:spacing w:after="194"/>
            </w:pPr>
            <w:r w:rsidRPr="00921FEC">
              <w:rPr>
                <w:lang w:eastAsia="sl-SI"/>
              </w:rPr>
              <w:drawing>
                <wp:inline distT="0" distB="0" distL="0" distR="0" wp14:anchorId="53815602" wp14:editId="23CD799F">
                  <wp:extent cx="2865600" cy="1800000"/>
                  <wp:effectExtent l="0" t="0" r="11430" b="10160"/>
                  <wp:docPr id="14" name="Grafikon 14">
                    <a:extLst xmlns:a="http://schemas.openxmlformats.org/drawingml/2006/main">
                      <a:ext uri="{FF2B5EF4-FFF2-40B4-BE49-F238E27FC236}">
                        <a16:creationId xmlns:a16="http://schemas.microsoft.com/office/drawing/2014/main" id="{00000000-0008-0000-0400-00001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29EE1BA7" w14:textId="77777777" w:rsidR="00F851CC" w:rsidRDefault="00F851CC" w:rsidP="00F851CC">
      <w:pPr>
        <w:pStyle w:val="Naslov3"/>
      </w:pPr>
      <w:bookmarkStart w:id="39" w:name="_Toc18964869"/>
      <w:r>
        <w:t>Celotni stroški</w:t>
      </w:r>
      <w:bookmarkEnd w:id="39"/>
    </w:p>
    <w:p w14:paraId="2EA79C2D" w14:textId="77777777" w:rsidR="00F851CC" w:rsidRDefault="00F851CC" w:rsidP="00F851CC">
      <w:pPr>
        <w:pStyle w:val="Brezrazmikov"/>
      </w:pPr>
      <w:r>
        <w:t xml:space="preserve">V obdobju od 2013 do 2017 je </w:t>
      </w:r>
      <w:r w:rsidRPr="00C94C39">
        <w:rPr>
          <w:b/>
          <w:bCs/>
        </w:rPr>
        <w:t>nabavna vrednost prodanega blaga</w:t>
      </w:r>
      <w:r>
        <w:t xml:space="preserve"> sorazmerno narastla iz 215,8 mio na 261,6 mio EUR, kar predstavlja povečanje iz 17,40 na 19,97 % prihodkov od prodaje, zaradi višjih cen in boljše kakovosti blaga. </w:t>
      </w:r>
    </w:p>
    <w:p w14:paraId="6F1F4143" w14:textId="77777777" w:rsidR="00F851CC" w:rsidRDefault="00F851CC" w:rsidP="00F851CC">
      <w:pPr>
        <w:pStyle w:val="Brezrazmikov"/>
      </w:pPr>
      <w:r>
        <w:t xml:space="preserve">Na drugi strani se je delež </w:t>
      </w:r>
      <w:r w:rsidRPr="00C94C39">
        <w:rPr>
          <w:b/>
          <w:bCs/>
        </w:rPr>
        <w:t>stroška materiala</w:t>
      </w:r>
      <w:r w:rsidRPr="00D704A8">
        <w:t xml:space="preserve"> v odvisnosti od prihodkov po </w:t>
      </w:r>
      <w:r>
        <w:t xml:space="preserve">letu </w:t>
      </w:r>
      <w:r w:rsidRPr="00A562D0">
        <w:t>201</w:t>
      </w:r>
      <w:r>
        <w:t>5 začel</w:t>
      </w:r>
      <w:r w:rsidRPr="00A562D0">
        <w:rPr>
          <w:color w:val="FF0000"/>
        </w:rPr>
        <w:t xml:space="preserve"> </w:t>
      </w:r>
      <w:r>
        <w:t xml:space="preserve">zmanjševati. Glede na leto 2016 je bil ta delež v letu 2017 nižji za 0,5 odstotne točke, in sicer je znašal 37,84 % prihodkov od prodaje, kar predstavlja 489,111 mio EUR, predvsem zaradi </w:t>
      </w:r>
      <w:r w:rsidRPr="005E7859">
        <w:t>optimizacij</w:t>
      </w:r>
      <w:r>
        <w:t xml:space="preserve">, </w:t>
      </w:r>
      <w:r w:rsidRPr="005E7859">
        <w:t>učinkovitih pogajanj, pravočasni</w:t>
      </w:r>
      <w:r>
        <w:t>h</w:t>
      </w:r>
      <w:r w:rsidRPr="005E7859">
        <w:t xml:space="preserve"> zakup</w:t>
      </w:r>
      <w:r>
        <w:t xml:space="preserve">ov surovin </w:t>
      </w:r>
      <w:r w:rsidRPr="005E7859">
        <w:t>ter prilagajanj</w:t>
      </w:r>
      <w:r>
        <w:t>a</w:t>
      </w:r>
      <w:r w:rsidRPr="005E7859">
        <w:t xml:space="preserve"> nabavnih virov, s č</w:t>
      </w:r>
      <w:r>
        <w:t>i</w:t>
      </w:r>
      <w:r w:rsidRPr="005E7859">
        <w:t xml:space="preserve">mer so v veliki meri nevtralizirali rast cen surovin in materialov na globalnih trgih. Trend se je v drugi polovici leta začel slabšati, kar je vplivalo na </w:t>
      </w:r>
      <w:r>
        <w:t xml:space="preserve">slabšo </w:t>
      </w:r>
      <w:r w:rsidRPr="005E7859">
        <w:t>ekonomiko poslovanja</w:t>
      </w:r>
      <w:r>
        <w:t>.</w:t>
      </w:r>
    </w:p>
    <w:tbl>
      <w:tblPr>
        <w:tblStyle w:val="Tabelamre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F851CC" w14:paraId="37B9744B" w14:textId="77777777" w:rsidTr="007A6126">
        <w:tc>
          <w:tcPr>
            <w:tcW w:w="2500" w:type="pct"/>
          </w:tcPr>
          <w:p w14:paraId="1D179C28" w14:textId="2C510D20" w:rsidR="00F851CC" w:rsidRDefault="00F851CC" w:rsidP="007A6126">
            <w:pPr>
              <w:pStyle w:val="Napis"/>
              <w:keepNext/>
              <w:spacing w:before="194" w:after="162"/>
            </w:pPr>
            <w:bookmarkStart w:id="40" w:name="_Toc18964894"/>
            <w:r>
              <w:lastRenderedPageBreak/>
              <w:t xml:space="preserve">Slika </w:t>
            </w:r>
            <w:fldSimple w:instr=" SEQ Slika \* ARABIC ">
              <w:r w:rsidR="00325440">
                <w:rPr>
                  <w:noProof/>
                </w:rPr>
                <w:t>4</w:t>
              </w:r>
            </w:fldSimple>
            <w:r>
              <w:t>: Nabavna vrednost prodanega blaga</w:t>
            </w:r>
            <w:bookmarkEnd w:id="40"/>
          </w:p>
          <w:p w14:paraId="2DCE64E7" w14:textId="77777777" w:rsidR="00F851CC" w:rsidRDefault="00F851CC" w:rsidP="007A6126">
            <w:pPr>
              <w:pStyle w:val="Grafi"/>
              <w:spacing w:after="194"/>
            </w:pPr>
            <w:r>
              <w:rPr>
                <w:lang w:eastAsia="sl-SI"/>
              </w:rPr>
              <w:drawing>
                <wp:inline distT="0" distB="0" distL="0" distR="0" wp14:anchorId="1CBF9C02" wp14:editId="7DD0CAFF">
                  <wp:extent cx="2865600" cy="1800000"/>
                  <wp:effectExtent l="0" t="0" r="11430" b="10160"/>
                  <wp:docPr id="18" name="Grafikon 18">
                    <a:extLst xmlns:a="http://schemas.openxmlformats.org/drawingml/2006/main">
                      <a:ext uri="{FF2B5EF4-FFF2-40B4-BE49-F238E27FC236}">
                        <a16:creationId xmlns:a16="http://schemas.microsoft.com/office/drawing/2014/main" id="{0BDB481D-8BC0-46C1-B85D-A4BB47CEF2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2500" w:type="pct"/>
          </w:tcPr>
          <w:p w14:paraId="6201B880" w14:textId="0A5FE250" w:rsidR="00F851CC" w:rsidRDefault="00F851CC" w:rsidP="007A6126">
            <w:pPr>
              <w:pStyle w:val="Napis"/>
              <w:keepNext/>
              <w:spacing w:before="194" w:after="162"/>
            </w:pPr>
            <w:bookmarkStart w:id="41" w:name="_Toc18964895"/>
            <w:r>
              <w:t xml:space="preserve">Slika </w:t>
            </w:r>
            <w:fldSimple w:instr=" SEQ Slika \* ARABIC ">
              <w:r w:rsidR="00325440">
                <w:rPr>
                  <w:noProof/>
                </w:rPr>
                <w:t>5</w:t>
              </w:r>
            </w:fldSimple>
            <w:r>
              <w:t>: Stroški materiala</w:t>
            </w:r>
            <w:bookmarkEnd w:id="41"/>
          </w:p>
          <w:p w14:paraId="770FE462" w14:textId="77777777" w:rsidR="00F851CC" w:rsidRDefault="00F851CC" w:rsidP="007A6126">
            <w:pPr>
              <w:pStyle w:val="Grafi"/>
              <w:spacing w:after="194"/>
            </w:pPr>
            <w:r>
              <w:rPr>
                <w:lang w:eastAsia="sl-SI"/>
              </w:rPr>
              <w:drawing>
                <wp:inline distT="0" distB="0" distL="0" distR="0" wp14:anchorId="4E088369" wp14:editId="37A626D7">
                  <wp:extent cx="2865600" cy="1800000"/>
                  <wp:effectExtent l="0" t="0" r="11430" b="10160"/>
                  <wp:docPr id="19" name="Grafikon 19">
                    <a:extLst xmlns:a="http://schemas.openxmlformats.org/drawingml/2006/main">
                      <a:ext uri="{FF2B5EF4-FFF2-40B4-BE49-F238E27FC236}">
                        <a16:creationId xmlns:a16="http://schemas.microsoft.com/office/drawing/2014/main" id="{96D16A49-D5A6-4A64-84E3-8CB228A9F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60AF4247" w14:textId="77777777" w:rsidR="00F851CC" w:rsidRDefault="00F851CC" w:rsidP="00F851CC">
      <w:pPr>
        <w:pStyle w:val="Brezrazmikov"/>
      </w:pPr>
      <w:r w:rsidRPr="00C94C39">
        <w:rPr>
          <w:b/>
          <w:bCs/>
        </w:rPr>
        <w:t>Stroški storitev</w:t>
      </w:r>
      <w:r>
        <w:t xml:space="preserve"> so v obdobju 2013–2017 variirali med 16,5 ter 17,6 % prihodkov od prodaje. V letu 2017 so se povišali za 6,8 % in so znašali 230,70 mio EUR</w:t>
      </w:r>
      <w:r w:rsidRPr="005E7859">
        <w:t>, kar je posledica visoke rasti poslovnih aktivnosti na področju ekologije in gostinstva ter z izvedbo raznih projektov na</w:t>
      </w:r>
      <w:r>
        <w:t xml:space="preserve"> </w:t>
      </w:r>
      <w:r w:rsidRPr="005E7859">
        <w:t>področju medicine, ekologije itd.</w:t>
      </w:r>
      <w:r>
        <w:t xml:space="preserve"> </w:t>
      </w:r>
      <w:r w:rsidRPr="005E7859">
        <w:t>Stroški storitev vključujejo tudi marketinške storitve, ki jih povečujejo z namenom zagotavljanja dolgoročnih konkurenčnih sposobnosti Skupine</w:t>
      </w:r>
      <w:r>
        <w:t>.</w:t>
      </w:r>
    </w:p>
    <w:p w14:paraId="3E8E8040" w14:textId="77777777" w:rsidR="00F851CC" w:rsidRDefault="00F851CC" w:rsidP="00F851CC">
      <w:pPr>
        <w:pStyle w:val="Brezrazmikov"/>
      </w:pPr>
    </w:p>
    <w:p w14:paraId="7BDAE4A6" w14:textId="77777777" w:rsidR="00F851CC" w:rsidRDefault="00F851CC" w:rsidP="00F851CC">
      <w:pPr>
        <w:pStyle w:val="Brezrazmikov"/>
      </w:pPr>
      <w:r w:rsidRPr="00C94C39">
        <w:rPr>
          <w:b/>
        </w:rPr>
        <w:t>Stroški dela</w:t>
      </w:r>
      <w:r w:rsidRPr="005E7859">
        <w:t xml:space="preserve"> </w:t>
      </w:r>
      <w:r>
        <w:t>so leta 2017 znašali 249 mio EUR in s</w:t>
      </w:r>
      <w:r w:rsidRPr="005E7859">
        <w:t>o</w:t>
      </w:r>
      <w:r>
        <w:t xml:space="preserve"> </w:t>
      </w:r>
      <w:r w:rsidRPr="005E7859">
        <w:t>bili za 13,7 mio</w:t>
      </w:r>
      <w:r>
        <w:t xml:space="preserve"> EUR</w:t>
      </w:r>
      <w:r w:rsidRPr="005E7859">
        <w:t xml:space="preserve"> višji kot v letu 2016, kar je posledica večjega povprečnega števila zaposlenih v proizvodnji</w:t>
      </w:r>
      <w:r>
        <w:t>,</w:t>
      </w:r>
      <w:r w:rsidRPr="005E7859">
        <w:t xml:space="preserve"> zaradi slabše produktivnosti</w:t>
      </w:r>
      <w:r>
        <w:t xml:space="preserve"> ob uvajanju novih generacij izdelkov, raznih dodatkov za skupno delovno dobo, stalnosti in napredovanj ter višjih izplačanih letnih nagrad in odpravnin. Zaradi letnih nagrad in odpravnin se je skupno povečal tudi strošek dela na delavca, ki se je iz 21,61 tisoč EUR povečal na 22,56 tisoč EUR.</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F851CC" w14:paraId="126CA8E8" w14:textId="77777777" w:rsidTr="007A6126">
        <w:tc>
          <w:tcPr>
            <w:tcW w:w="4703" w:type="dxa"/>
          </w:tcPr>
          <w:p w14:paraId="1782A680" w14:textId="5331BD90" w:rsidR="00F851CC" w:rsidRDefault="00F851CC" w:rsidP="007A6126">
            <w:pPr>
              <w:pStyle w:val="Napis"/>
              <w:keepNext/>
              <w:spacing w:before="194" w:after="162"/>
            </w:pPr>
            <w:bookmarkStart w:id="42" w:name="_Toc18964896"/>
            <w:r>
              <w:t xml:space="preserve">Slika </w:t>
            </w:r>
            <w:fldSimple w:instr=" SEQ Slika \* ARABIC ">
              <w:r w:rsidR="00325440">
                <w:rPr>
                  <w:noProof/>
                </w:rPr>
                <w:t>6</w:t>
              </w:r>
            </w:fldSimple>
            <w:r>
              <w:t>: Stroški storitev</w:t>
            </w:r>
            <w:bookmarkEnd w:id="42"/>
          </w:p>
          <w:p w14:paraId="0A3A2916" w14:textId="77777777" w:rsidR="00F851CC" w:rsidRDefault="00F851CC" w:rsidP="007A6126">
            <w:pPr>
              <w:pStyle w:val="Brezrazmikov"/>
            </w:pPr>
            <w:r>
              <w:rPr>
                <w:noProof/>
                <w:lang w:eastAsia="sl-SI"/>
              </w:rPr>
              <w:drawing>
                <wp:inline distT="0" distB="0" distL="0" distR="0" wp14:anchorId="7C2CDBD2" wp14:editId="5FF9FFB2">
                  <wp:extent cx="2865600" cy="1800000"/>
                  <wp:effectExtent l="0" t="0" r="11430" b="10160"/>
                  <wp:docPr id="1" name="Grafikon 1">
                    <a:extLst xmlns:a="http://schemas.openxmlformats.org/drawingml/2006/main">
                      <a:ext uri="{FF2B5EF4-FFF2-40B4-BE49-F238E27FC236}">
                        <a16:creationId xmlns:a16="http://schemas.microsoft.com/office/drawing/2014/main" id="{0F5ACB87-5EE9-4FD0-B9E9-2FE3C02D66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703" w:type="dxa"/>
          </w:tcPr>
          <w:p w14:paraId="7446E763" w14:textId="73382097" w:rsidR="00F851CC" w:rsidRDefault="00F851CC" w:rsidP="007A6126">
            <w:pPr>
              <w:pStyle w:val="Napis"/>
              <w:keepNext/>
              <w:spacing w:before="194" w:after="162"/>
            </w:pPr>
            <w:bookmarkStart w:id="43" w:name="_Toc18964897"/>
            <w:r>
              <w:t xml:space="preserve">Slika </w:t>
            </w:r>
            <w:fldSimple w:instr=" SEQ Slika \* ARABIC ">
              <w:r w:rsidR="00325440">
                <w:rPr>
                  <w:noProof/>
                </w:rPr>
                <w:t>7</w:t>
              </w:r>
            </w:fldSimple>
            <w:r>
              <w:t>: Stroški dela</w:t>
            </w:r>
            <w:bookmarkEnd w:id="43"/>
          </w:p>
          <w:p w14:paraId="5F27BC38" w14:textId="77777777" w:rsidR="00F851CC" w:rsidRDefault="00F851CC" w:rsidP="007A6126">
            <w:pPr>
              <w:pStyle w:val="Brezrazmikov"/>
            </w:pPr>
            <w:r>
              <w:rPr>
                <w:noProof/>
                <w:lang w:eastAsia="sl-SI"/>
              </w:rPr>
              <w:drawing>
                <wp:inline distT="0" distB="0" distL="0" distR="0" wp14:anchorId="14D34BF9" wp14:editId="0916500D">
                  <wp:extent cx="2865600" cy="1800000"/>
                  <wp:effectExtent l="0" t="0" r="11430" b="10160"/>
                  <wp:docPr id="20" name="Grafikon 20">
                    <a:extLst xmlns:a="http://schemas.openxmlformats.org/drawingml/2006/main">
                      <a:ext uri="{FF2B5EF4-FFF2-40B4-BE49-F238E27FC236}">
                        <a16:creationId xmlns:a16="http://schemas.microsoft.com/office/drawing/2014/main" id="{97914253-1F2A-4E8B-88E8-75B0C7FA5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6D9889B8" w14:textId="77777777" w:rsidR="00F851CC" w:rsidRDefault="00F851CC" w:rsidP="00F851CC">
      <w:pPr>
        <w:pStyle w:val="Brezrazmikov"/>
      </w:pPr>
    </w:p>
    <w:p w14:paraId="0FE855F4" w14:textId="3192FFDE" w:rsidR="00F851CC" w:rsidRDefault="00F851CC" w:rsidP="00F851CC">
      <w:pPr>
        <w:pStyle w:val="Brezrazmikov"/>
      </w:pPr>
      <w:r>
        <w:t xml:space="preserve">Primerjajmo še delež celotnih stroškov Skupine Gorenje (tj. če seštejemo vse zgoraj omenjene stroške) in družbe Electrolux. Na </w:t>
      </w:r>
      <w:r w:rsidR="00CD0613">
        <w:rPr>
          <w:i/>
          <w:iCs/>
        </w:rPr>
        <w:fldChar w:fldCharType="begin"/>
      </w:r>
      <w:r w:rsidR="00CD0613" w:rsidRPr="00CD0613">
        <w:rPr>
          <w:i/>
          <w:iCs/>
        </w:rPr>
        <w:instrText xml:space="preserve"> REF  _Ref13131067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8</w:t>
      </w:r>
      <w:r w:rsidR="00CD0613">
        <w:rPr>
          <w:i/>
          <w:iCs/>
        </w:rPr>
        <w:fldChar w:fldCharType="end"/>
      </w:r>
      <w:r>
        <w:t xml:space="preserve"> lahko vidimo, da Skupina Gorenje bolje obvladuje svoje stroške, saj ti v povprečju predstavljajo 93 % prihodkov, medtem ko pri Electrolux predstavljajo 95 % prihodkov od prodaje. Vredno je omeniti, da so v </w:t>
      </w:r>
      <w:proofErr w:type="spellStart"/>
      <w:r>
        <w:t>Electroluxu</w:t>
      </w:r>
      <w:proofErr w:type="spellEnd"/>
      <w:r>
        <w:t xml:space="preserve"> od leta 2015 dalje začeli z optimizacijo stroškov. Ravno obratno se je zgodilo v Gorenju, saj so v primerjavi s prejšnjim letom </w:t>
      </w:r>
      <w:r>
        <w:lastRenderedPageBreak/>
        <w:t>delež stroškov povečali. To je razlog predvsem večjih stroškov storitev, ki so bili glede na leto 2014 višji za en odstotek oz. za 2,1 mio EUR. Povečanje je nastalo zaradi večjega vlaganja v pospeševanje prodaje, kar se je izkazalo za učinkovit pristop povečanja prodaje. Prav tako so se stroški povečali zaradi višjih stroškov dela, ki so se dvignili za 1,3 %, kar je posledica povečanega obsega naročil, zaradi česar so zaposlili dodatnih 150 delavcev.</w:t>
      </w:r>
    </w:p>
    <w:p w14:paraId="5F3619BA" w14:textId="0F28B7C5" w:rsidR="00F851CC" w:rsidRDefault="00F851CC" w:rsidP="00F851CC">
      <w:pPr>
        <w:pStyle w:val="Napis"/>
        <w:keepNext/>
        <w:jc w:val="left"/>
      </w:pPr>
      <w:bookmarkStart w:id="44" w:name="_Ref13131067"/>
      <w:bookmarkStart w:id="45" w:name="_Toc18964898"/>
      <w:r>
        <w:t xml:space="preserve">Slika </w:t>
      </w:r>
      <w:fldSimple w:instr=" SEQ Slika \* ARABIC ">
        <w:r w:rsidR="00325440">
          <w:rPr>
            <w:noProof/>
          </w:rPr>
          <w:t>8</w:t>
        </w:r>
      </w:fldSimple>
      <w:bookmarkEnd w:id="44"/>
      <w:r>
        <w:t>: Delež stroškov v prihodkih</w:t>
      </w:r>
      <w:bookmarkEnd w:id="45"/>
    </w:p>
    <w:p w14:paraId="3985D53B" w14:textId="77777777" w:rsidR="00F851CC" w:rsidRDefault="00F851CC" w:rsidP="00F851CC">
      <w:pPr>
        <w:pStyle w:val="Grafi"/>
      </w:pPr>
      <w:r>
        <w:rPr>
          <w:lang w:eastAsia="sl-SI"/>
        </w:rPr>
        <w:drawing>
          <wp:inline distT="0" distB="0" distL="0" distR="0" wp14:anchorId="3809A5DD" wp14:editId="652CF064">
            <wp:extent cx="3169920" cy="1912620"/>
            <wp:effectExtent l="0" t="0" r="11430" b="11430"/>
            <wp:docPr id="3" name="Grafikon 3">
              <a:extLst xmlns:a="http://schemas.openxmlformats.org/drawingml/2006/main">
                <a:ext uri="{FF2B5EF4-FFF2-40B4-BE49-F238E27FC236}">
                  <a16:creationId xmlns:a16="http://schemas.microsoft.com/office/drawing/2014/main" id="{00000000-0008-0000-0400-00001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51F80C" w14:textId="77777777" w:rsidR="00F851CC" w:rsidRDefault="00F851CC" w:rsidP="00F851CC">
      <w:pPr>
        <w:pStyle w:val="Naslov3"/>
      </w:pPr>
      <w:bookmarkStart w:id="46" w:name="_Toc18964870"/>
      <w:r>
        <w:t>EBITDA marža</w:t>
      </w:r>
      <w:bookmarkEnd w:id="46"/>
    </w:p>
    <w:p w14:paraId="09A5C65F" w14:textId="464E0B00" w:rsidR="00F851CC" w:rsidRDefault="00F851CC" w:rsidP="00F851CC">
      <w:pPr>
        <w:pStyle w:val="Brezrazmikov"/>
      </w:pPr>
      <w:r>
        <w:t>EBITDA marža predstavlja razmerje med EBITDA in prihodki od prodaje.</w:t>
      </w:r>
      <w:r>
        <w:rPr>
          <w:rStyle w:val="Sprotnaopomba-sklic"/>
        </w:rPr>
        <w:footnoteReference w:id="14"/>
      </w:r>
      <w:r>
        <w:t xml:space="preserve"> </w:t>
      </w:r>
      <w:r w:rsidR="0008500D">
        <w:t>Na</w:t>
      </w:r>
      <w:r>
        <w:t xml:space="preserve"> </w:t>
      </w:r>
      <w:r w:rsidR="00CD0613">
        <w:rPr>
          <w:i/>
          <w:iCs/>
        </w:rPr>
        <w:fldChar w:fldCharType="begin"/>
      </w:r>
      <w:r w:rsidR="00CD0613" w:rsidRPr="00CD0613">
        <w:rPr>
          <w:i/>
          <w:iCs/>
        </w:rPr>
        <w:instrText xml:space="preserve"> REF  _Ref13134743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9</w:t>
      </w:r>
      <w:r w:rsidR="00CD0613">
        <w:rPr>
          <w:i/>
          <w:iCs/>
        </w:rPr>
        <w:fldChar w:fldCharType="end"/>
      </w:r>
      <w:r>
        <w:t xml:space="preserve"> je razvidno, da je do leta 2016 Skupina Gorenje bolje obvladovala to razmerje kot Electrolux in ga ohranjala povprečno na 6 % prihodkov od prodaje. Po letu 2015 se je </w:t>
      </w:r>
      <w:proofErr w:type="spellStart"/>
      <w:r>
        <w:t>Elektroluxu</w:t>
      </w:r>
      <w:proofErr w:type="spellEnd"/>
      <w:r>
        <w:t xml:space="preserve"> EBITDA marža močno izboljšala, saj so začeli z optimizacijo stroškov, medtem ko se pri Gorenju kljub povečani prodaji marža ni spremenila. </w:t>
      </w:r>
    </w:p>
    <w:p w14:paraId="37B7CE1A" w14:textId="0EFCF992" w:rsidR="00F851CC" w:rsidRDefault="00F851CC" w:rsidP="00F851CC">
      <w:pPr>
        <w:pStyle w:val="Napis"/>
        <w:keepNext/>
      </w:pPr>
      <w:bookmarkStart w:id="47" w:name="_Ref13134743"/>
      <w:bookmarkStart w:id="48" w:name="_Toc18964899"/>
      <w:r>
        <w:t xml:space="preserve">Slika </w:t>
      </w:r>
      <w:fldSimple w:instr=" SEQ Slika \* ARABIC ">
        <w:r w:rsidR="00325440">
          <w:rPr>
            <w:noProof/>
          </w:rPr>
          <w:t>9</w:t>
        </w:r>
      </w:fldSimple>
      <w:bookmarkEnd w:id="47"/>
      <w:r>
        <w:t>: EBITDA marža</w:t>
      </w:r>
      <w:bookmarkEnd w:id="48"/>
    </w:p>
    <w:p w14:paraId="216AA000" w14:textId="77777777" w:rsidR="00F851CC" w:rsidRDefault="00F851CC" w:rsidP="00F851CC">
      <w:pPr>
        <w:pStyle w:val="Grafi"/>
      </w:pPr>
      <w:r>
        <w:rPr>
          <w:lang w:eastAsia="sl-SI"/>
        </w:rPr>
        <w:drawing>
          <wp:inline distT="0" distB="0" distL="0" distR="0" wp14:anchorId="080F15C2" wp14:editId="45C25665">
            <wp:extent cx="3672840" cy="1935480"/>
            <wp:effectExtent l="0" t="0" r="3810" b="7620"/>
            <wp:docPr id="4" name="Grafikon 4">
              <a:extLst xmlns:a="http://schemas.openxmlformats.org/drawingml/2006/main">
                <a:ext uri="{FF2B5EF4-FFF2-40B4-BE49-F238E27FC236}">
                  <a16:creationId xmlns:a16="http://schemas.microsoft.com/office/drawing/2014/main" id="{00000000-0008-0000-0400-00001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88F0B3" w14:textId="77777777" w:rsidR="00F851CC" w:rsidRDefault="00F851CC" w:rsidP="00F851CC">
      <w:pPr>
        <w:pStyle w:val="Naslov2"/>
      </w:pPr>
      <w:bookmarkStart w:id="49" w:name="_Toc18964871"/>
      <w:r>
        <w:lastRenderedPageBreak/>
        <w:t>Sredstva in neto obratni kapital</w:t>
      </w:r>
      <w:bookmarkEnd w:id="49"/>
    </w:p>
    <w:p w14:paraId="2A86CE8F" w14:textId="7FD8555C" w:rsidR="00F851CC" w:rsidRDefault="00F851CC" w:rsidP="00F851CC">
      <w:pPr>
        <w:pStyle w:val="Brezrazmikov"/>
      </w:pPr>
      <w:r>
        <w:t xml:space="preserve">Na </w:t>
      </w:r>
      <w:r w:rsidR="00CD0613">
        <w:rPr>
          <w:i/>
          <w:iCs/>
        </w:rPr>
        <w:fldChar w:fldCharType="begin"/>
      </w:r>
      <w:r w:rsidR="00CD0613" w:rsidRPr="00CD0613">
        <w:rPr>
          <w:i/>
          <w:iCs/>
        </w:rPr>
        <w:instrText xml:space="preserve"> REF  _Ref16800077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10</w:t>
      </w:r>
      <w:r w:rsidR="00CD0613">
        <w:rPr>
          <w:i/>
          <w:iCs/>
        </w:rPr>
        <w:fldChar w:fldCharType="end"/>
      </w:r>
      <w:r>
        <w:t xml:space="preserve"> lahko vidimo, da največji delež dolgoročnih sredstev predstavljajo opredmetena osnovna sredstva. To je za podjetja, ki delujejo v industrijski dejavnosti, popolnoma normalno, saj imajo v lasti večje tovarne in proizvodnje stroje, ki jim omogočajo proizvodnjo svojih izdelkov. Prav tako je pričakovan visok delež neopredmetenih sredstev, saj imajo takšna podjetja številne raziskovalne in razvojne centre, s čimer si zagotavljajo, da so njihovi izdelki čim bolj tehnološko dovršni. </w:t>
      </w:r>
    </w:p>
    <w:p w14:paraId="10AEFB06" w14:textId="5AE8F94F" w:rsidR="00F851CC" w:rsidRDefault="00F851CC" w:rsidP="00F851CC">
      <w:pPr>
        <w:pStyle w:val="Napis"/>
        <w:keepNext/>
      </w:pPr>
      <w:bookmarkStart w:id="50" w:name="_Ref16800077"/>
      <w:bookmarkStart w:id="51" w:name="_Toc18964900"/>
      <w:r>
        <w:t xml:space="preserve">Slika </w:t>
      </w:r>
      <w:fldSimple w:instr=" SEQ Slika \* ARABIC ">
        <w:r w:rsidR="00325440">
          <w:rPr>
            <w:noProof/>
          </w:rPr>
          <w:t>10</w:t>
        </w:r>
      </w:fldSimple>
      <w:bookmarkEnd w:id="50"/>
      <w:r>
        <w:t>: Struktura dolgoročnih sredstev</w:t>
      </w:r>
      <w:bookmarkEnd w:id="51"/>
    </w:p>
    <w:p w14:paraId="23E0DC10" w14:textId="77777777" w:rsidR="00F851CC" w:rsidRDefault="00F851CC" w:rsidP="00F851CC">
      <w:pPr>
        <w:pStyle w:val="Grafi"/>
        <w:rPr>
          <w:b/>
          <w:lang w:eastAsia="sl-SI"/>
        </w:rPr>
      </w:pPr>
      <w:r>
        <w:rPr>
          <w:lang w:eastAsia="sl-SI"/>
        </w:rPr>
        <w:drawing>
          <wp:inline distT="0" distB="0" distL="0" distR="0" wp14:anchorId="4B792CE5" wp14:editId="02BC1C9F">
            <wp:extent cx="5954486" cy="2041072"/>
            <wp:effectExtent l="0" t="0" r="8255" b="16510"/>
            <wp:docPr id="21" name="Grafikon 21">
              <a:extLst xmlns:a="http://schemas.openxmlformats.org/drawingml/2006/main">
                <a:ext uri="{FF2B5EF4-FFF2-40B4-BE49-F238E27FC236}">
                  <a16:creationId xmlns:a16="http://schemas.microsoft.com/office/drawing/2014/main" id="{3634A17E-652E-4666-88B9-77AEC1C9F8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672536" w14:textId="77777777" w:rsidR="00F851CC" w:rsidRDefault="00F851CC" w:rsidP="00F851CC">
      <w:pPr>
        <w:pStyle w:val="Brezrazmikov"/>
        <w:rPr>
          <w:lang w:eastAsia="sl-SI"/>
        </w:rPr>
      </w:pPr>
      <w:r w:rsidRPr="00AA3D7D">
        <w:rPr>
          <w:lang w:eastAsia="sl-SI"/>
        </w:rPr>
        <w:t xml:space="preserve">Ker osnovna sredstva predstavljajo največji delež dolgoročnih sredstev, si poglejmo </w:t>
      </w:r>
      <w:r>
        <w:rPr>
          <w:lang w:eastAsia="sl-SI"/>
        </w:rPr>
        <w:t xml:space="preserve">še </w:t>
      </w:r>
      <w:r w:rsidRPr="00AA3D7D">
        <w:rPr>
          <w:lang w:eastAsia="sl-SI"/>
        </w:rPr>
        <w:t>investicije v osnovna sredstva, ki</w:t>
      </w:r>
      <w:r>
        <w:rPr>
          <w:lang w:eastAsia="sl-SI"/>
        </w:rPr>
        <w:t xml:space="preserve"> zajemajo nakup opredmetenih ter neopredmetenih osnovnih sredstev. Te</w:t>
      </w:r>
      <w:r w:rsidRPr="00E3308F">
        <w:rPr>
          <w:lang w:eastAsia="sl-SI"/>
        </w:rPr>
        <w:t xml:space="preserve"> so v letu 2017 znašala 75,7 mio EUR in so bila za 7,5 mio </w:t>
      </w:r>
      <w:r w:rsidRPr="004B15A9">
        <w:t>EUR</w:t>
      </w:r>
      <w:r w:rsidRPr="00E3308F">
        <w:rPr>
          <w:lang w:eastAsia="sl-SI"/>
        </w:rPr>
        <w:t xml:space="preserve"> nižja kot v letu 2016</w:t>
      </w:r>
      <w:r>
        <w:rPr>
          <w:lang w:eastAsia="sl-SI"/>
        </w:rPr>
        <w:t xml:space="preserve">, zaradi </w:t>
      </w:r>
      <w:proofErr w:type="spellStart"/>
      <w:r>
        <w:rPr>
          <w:lang w:eastAsia="sl-SI"/>
        </w:rPr>
        <w:t>dezinvestiranja</w:t>
      </w:r>
      <w:proofErr w:type="spellEnd"/>
      <w:r>
        <w:rPr>
          <w:lang w:eastAsia="sl-SI"/>
        </w:rPr>
        <w:t xml:space="preserve"> poslovno nepotrebnega premoženja</w:t>
      </w:r>
      <w:r>
        <w:rPr>
          <w:rFonts w:ascii="HelveticaNeueLTPro-Lt" w:hAnsi="HelveticaNeueLTPro-Lt" w:cs="HelveticaNeueLTPro-Lt"/>
          <w:sz w:val="17"/>
          <w:szCs w:val="17"/>
        </w:rPr>
        <w:t>.</w:t>
      </w:r>
      <w:r>
        <w:rPr>
          <w:lang w:eastAsia="sl-SI"/>
        </w:rPr>
        <w:t xml:space="preserve"> </w:t>
      </w:r>
      <w:r w:rsidRPr="00E3308F">
        <w:rPr>
          <w:lang w:eastAsia="sl-SI"/>
        </w:rPr>
        <w:t xml:space="preserve">Vseh vlaganj v opredmetena sredstva je bilo za </w:t>
      </w:r>
      <w:r w:rsidRPr="00E3308F">
        <w:t>50</w:t>
      </w:r>
      <w:r w:rsidRPr="00E3308F">
        <w:rPr>
          <w:lang w:eastAsia="sl-SI"/>
        </w:rPr>
        <w:t xml:space="preserve"> mio EUR</w:t>
      </w:r>
      <w:r>
        <w:rPr>
          <w:lang w:eastAsia="sl-SI"/>
        </w:rPr>
        <w:t>, pri čemer s</w:t>
      </w:r>
      <w:r w:rsidRPr="00E3308F">
        <w:rPr>
          <w:lang w:eastAsia="sl-SI"/>
        </w:rPr>
        <w:t>o največji del</w:t>
      </w:r>
      <w:r>
        <w:rPr>
          <w:lang w:eastAsia="sl-SI"/>
        </w:rPr>
        <w:t>,</w:t>
      </w:r>
      <w:r w:rsidRPr="00E3308F">
        <w:rPr>
          <w:lang w:eastAsia="sl-SI"/>
        </w:rPr>
        <w:t xml:space="preserve"> v višini 39,7 </w:t>
      </w:r>
      <w:r>
        <w:rPr>
          <w:lang w:eastAsia="sl-SI"/>
        </w:rPr>
        <w:t>mio EUR,</w:t>
      </w:r>
      <w:r w:rsidRPr="00E3308F">
        <w:rPr>
          <w:lang w:eastAsia="sl-SI"/>
        </w:rPr>
        <w:t xml:space="preserve"> namenili za vlaganja v tehnološko opremo, pretežno pri razvoju novih izdelkov. </w:t>
      </w:r>
      <w:r>
        <w:rPr>
          <w:lang w:eastAsia="sl-SI"/>
        </w:rPr>
        <w:t xml:space="preserve">Ostalih 25 mio EUR </w:t>
      </w:r>
      <w:r w:rsidRPr="00E3308F">
        <w:rPr>
          <w:lang w:eastAsia="sl-SI"/>
        </w:rPr>
        <w:t>investicijski</w:t>
      </w:r>
      <w:r>
        <w:rPr>
          <w:lang w:eastAsia="sl-SI"/>
        </w:rPr>
        <w:t>h</w:t>
      </w:r>
      <w:r w:rsidRPr="00E3308F">
        <w:rPr>
          <w:lang w:eastAsia="sl-SI"/>
        </w:rPr>
        <w:t xml:space="preserve"> vlaganj</w:t>
      </w:r>
      <w:r>
        <w:rPr>
          <w:lang w:eastAsia="sl-SI"/>
        </w:rPr>
        <w:t xml:space="preserve"> se </w:t>
      </w:r>
      <w:r w:rsidRPr="00E3308F">
        <w:rPr>
          <w:lang w:eastAsia="sl-SI"/>
        </w:rPr>
        <w:t>nanaša na nematerialne naložbe, kjer pretežni del predstavljajo v</w:t>
      </w:r>
      <w:r>
        <w:rPr>
          <w:lang w:eastAsia="sl-SI"/>
        </w:rPr>
        <w:t>laganja v razvoj novih izdelkov in stroške razvijanja.</w:t>
      </w:r>
    </w:p>
    <w:p w14:paraId="040B4277" w14:textId="0C3F4192" w:rsidR="00F851CC" w:rsidRDefault="00F851CC" w:rsidP="00F851CC">
      <w:pPr>
        <w:pStyle w:val="Napis"/>
        <w:keepNext/>
      </w:pPr>
      <w:bookmarkStart w:id="52" w:name="_Toc18964901"/>
      <w:r>
        <w:t xml:space="preserve">Slika </w:t>
      </w:r>
      <w:fldSimple w:instr=" SEQ Slika \* ARABIC ">
        <w:r w:rsidR="00325440">
          <w:rPr>
            <w:noProof/>
          </w:rPr>
          <w:t>11</w:t>
        </w:r>
      </w:fldSimple>
      <w:r>
        <w:t>: Investicije v osnovna sredstva</w:t>
      </w:r>
      <w:bookmarkEnd w:id="52"/>
    </w:p>
    <w:p w14:paraId="3F018B66" w14:textId="77777777" w:rsidR="00F851CC" w:rsidRDefault="00F851CC" w:rsidP="00F851CC">
      <w:pPr>
        <w:pStyle w:val="Grafi"/>
        <w:rPr>
          <w:lang w:eastAsia="sl-SI"/>
        </w:rPr>
      </w:pPr>
      <w:r>
        <w:rPr>
          <w:lang w:eastAsia="sl-SI"/>
        </w:rPr>
        <w:drawing>
          <wp:inline distT="0" distB="0" distL="0" distR="0" wp14:anchorId="05A2A18F" wp14:editId="19E3A1BF">
            <wp:extent cx="4419600" cy="1943100"/>
            <wp:effectExtent l="0" t="0" r="0" b="0"/>
            <wp:docPr id="25" name="Grafikon 25">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4D9C6D" w14:textId="4BB80A31" w:rsidR="00F851CC" w:rsidRDefault="00F851CC" w:rsidP="00F851CC">
      <w:pPr>
        <w:pStyle w:val="Napis"/>
        <w:keepNext/>
      </w:pPr>
      <w:bookmarkStart w:id="53" w:name="_Toc18964902"/>
      <w:r>
        <w:lastRenderedPageBreak/>
        <w:t xml:space="preserve">Slika </w:t>
      </w:r>
      <w:fldSimple w:instr=" SEQ Slika \* ARABIC ">
        <w:r w:rsidR="00325440">
          <w:rPr>
            <w:noProof/>
          </w:rPr>
          <w:t>12</w:t>
        </w:r>
      </w:fldSimple>
      <w:r>
        <w:t>: Struktura kratkoročnih sredstev</w:t>
      </w:r>
      <w:bookmarkEnd w:id="53"/>
    </w:p>
    <w:p w14:paraId="7176C94D" w14:textId="77777777" w:rsidR="00F851CC" w:rsidRPr="004B15A9" w:rsidRDefault="00F851CC" w:rsidP="00F851CC">
      <w:pPr>
        <w:pStyle w:val="Grafi"/>
        <w:rPr>
          <w:lang w:eastAsia="sl-SI"/>
        </w:rPr>
      </w:pPr>
      <w:r>
        <w:rPr>
          <w:lang w:eastAsia="sl-SI"/>
        </w:rPr>
        <w:drawing>
          <wp:inline distT="0" distB="0" distL="0" distR="0" wp14:anchorId="2380C991" wp14:editId="1EC1903A">
            <wp:extent cx="5972810" cy="2372400"/>
            <wp:effectExtent l="0" t="0" r="8890" b="8890"/>
            <wp:docPr id="24" name="Grafikon 24">
              <a:extLst xmlns:a="http://schemas.openxmlformats.org/drawingml/2006/main">
                <a:ext uri="{FF2B5EF4-FFF2-40B4-BE49-F238E27FC236}">
                  <a16:creationId xmlns:a16="http://schemas.microsoft.com/office/drawing/2014/main" id="{4317F182-B04B-420E-A58D-B084D0EEE7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1588A7" w14:textId="6E9422E7" w:rsidR="00F851CC" w:rsidRPr="008B5B76" w:rsidRDefault="00F851CC" w:rsidP="00F851CC">
      <w:pPr>
        <w:pStyle w:val="Brezrazmikov"/>
        <w:rPr>
          <w:lang w:eastAsia="sl-SI"/>
        </w:rPr>
      </w:pPr>
      <w:r>
        <w:rPr>
          <w:lang w:eastAsia="sl-SI"/>
        </w:rPr>
        <w:t xml:space="preserve">Iz strukture kratkoročnih sredstev vidimo, da največji delež predstavljajo zaloge in terjatve do kupcev. Zaloge predstavljajo izdelki, ki jih proizvedejo vnaprej in jih nato postopoma prodajajo. Povečane terjatve do kupcev so razlog, da izdelki ob nakupu po navadi še niso plačani, ampak šele v določenem roku. Ti dve komponenti sta del obratnega kapitala podjetja, ki poleg teh dveh zajema še vrednost denarja ter ostalih kratkoročnih sredstev, zmanjšanih za ostale kratkoročne obveznosti ter obveznosti do dobaviteljev. Iz </w:t>
      </w:r>
      <w:r w:rsidR="00CD0613">
        <w:rPr>
          <w:i/>
          <w:iCs/>
          <w:lang w:eastAsia="sl-SI"/>
        </w:rPr>
        <w:fldChar w:fldCharType="begin"/>
      </w:r>
      <w:r w:rsidR="00CD0613" w:rsidRPr="00CD0613">
        <w:rPr>
          <w:i/>
          <w:iCs/>
          <w:lang w:eastAsia="sl-SI"/>
        </w:rPr>
        <w:instrText xml:space="preserve"> REF  _Ref16803031 \* FirstCap \h  \* MERGEFORMAT </w:instrText>
      </w:r>
      <w:r w:rsidR="00CD0613">
        <w:rPr>
          <w:i/>
          <w:iCs/>
          <w:lang w:eastAsia="sl-SI"/>
        </w:rPr>
      </w:r>
      <w:r w:rsidR="00CD0613">
        <w:rPr>
          <w:i/>
          <w:iCs/>
          <w:lang w:eastAsia="sl-SI"/>
        </w:rPr>
        <w:fldChar w:fldCharType="separate"/>
      </w:r>
      <w:r w:rsidR="00CD0613" w:rsidRPr="00CD0613">
        <w:rPr>
          <w:i/>
          <w:iCs/>
        </w:rPr>
        <w:t>Slik</w:t>
      </w:r>
      <w:r w:rsidR="00F42275">
        <w:rPr>
          <w:i/>
          <w:iCs/>
        </w:rPr>
        <w:t>e</w:t>
      </w:r>
      <w:r w:rsidR="00CD0613">
        <w:t xml:space="preserve"> </w:t>
      </w:r>
      <w:r w:rsidR="00CD0613">
        <w:rPr>
          <w:noProof/>
        </w:rPr>
        <w:t>13</w:t>
      </w:r>
      <w:r w:rsidR="00CD0613">
        <w:rPr>
          <w:i/>
          <w:iCs/>
          <w:lang w:eastAsia="sl-SI"/>
        </w:rPr>
        <w:fldChar w:fldCharType="end"/>
      </w:r>
      <w:r>
        <w:rPr>
          <w:i/>
          <w:iCs/>
          <w:lang w:eastAsia="sl-SI"/>
        </w:rPr>
        <w:t xml:space="preserve"> </w:t>
      </w:r>
      <w:r>
        <w:rPr>
          <w:lang w:eastAsia="sl-SI"/>
        </w:rPr>
        <w:t xml:space="preserve">lahko vidimo, da je Skupina od leta 2013 vse več pozornosti posvetila optimizaciji obratnega kapitala, predvsem z boljšim obvladovanjem zalog gotovih izdelkov, terjatvami do kupcev ter obveznostmi do dobaviteljev. To je zelo dobro, saj je z vidika denarnih tokov najboljše dosegati čim nižje vrednosti neto obratnega kapitala, ker ta znižuje denarni tok. </w:t>
      </w:r>
    </w:p>
    <w:p w14:paraId="56286E45" w14:textId="1D1625C6" w:rsidR="00F851CC" w:rsidRDefault="00F851CC" w:rsidP="00F851CC">
      <w:pPr>
        <w:pStyle w:val="Napis"/>
        <w:keepNext/>
      </w:pPr>
      <w:bookmarkStart w:id="54" w:name="_Ref16803031"/>
      <w:bookmarkStart w:id="55" w:name="_Toc18964903"/>
      <w:r>
        <w:t xml:space="preserve">Slika </w:t>
      </w:r>
      <w:fldSimple w:instr=" SEQ Slika \* ARABIC ">
        <w:r w:rsidR="00325440">
          <w:rPr>
            <w:noProof/>
          </w:rPr>
          <w:t>13</w:t>
        </w:r>
      </w:fldSimple>
      <w:bookmarkEnd w:id="54"/>
      <w:r>
        <w:t>: Neto obratni kapital</w:t>
      </w:r>
      <w:bookmarkEnd w:id="55"/>
    </w:p>
    <w:p w14:paraId="681B33CA" w14:textId="77777777" w:rsidR="00F851CC" w:rsidRDefault="00F851CC" w:rsidP="004767AA">
      <w:pPr>
        <w:pStyle w:val="Grafi"/>
      </w:pPr>
      <w:r>
        <w:rPr>
          <w:lang w:eastAsia="sl-SI"/>
        </w:rPr>
        <w:drawing>
          <wp:inline distT="0" distB="0" distL="0" distR="0" wp14:anchorId="02C6BEAA" wp14:editId="1D8D3F13">
            <wp:extent cx="4144108" cy="2262553"/>
            <wp:effectExtent l="0" t="0" r="8890" b="4445"/>
            <wp:docPr id="30" name="Grafikon 30">
              <a:extLst xmlns:a="http://schemas.openxmlformats.org/drawingml/2006/main">
                <a:ext uri="{FF2B5EF4-FFF2-40B4-BE49-F238E27FC236}">
                  <a16:creationId xmlns:a16="http://schemas.microsoft.com/office/drawing/2014/main" id="{5A474166-6890-4BC4-9BBB-4D4BF6C2F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9ECDB5" w14:textId="77777777" w:rsidR="00F851CC" w:rsidRDefault="00F851CC" w:rsidP="00F851CC">
      <w:pPr>
        <w:pStyle w:val="Naslov2"/>
      </w:pPr>
      <w:bookmarkStart w:id="56" w:name="_Toc18964872"/>
      <w:r>
        <w:lastRenderedPageBreak/>
        <w:t>Financiranje</w:t>
      </w:r>
      <w:bookmarkEnd w:id="56"/>
    </w:p>
    <w:p w14:paraId="45468639" w14:textId="77777777" w:rsidR="00F851CC" w:rsidRDefault="00F851CC" w:rsidP="00F851CC">
      <w:pPr>
        <w:pStyle w:val="Brezrazmikov"/>
      </w:pPr>
      <w:r>
        <w:t>Podjetje se lahko financira na dva načina. Prvi je financiranje z lastniškim kapitalom, tj. z izdajo delnic, drugi pa financiranje z dolžniškim kapitalom oz. s posojil bank. Kljub temu da je lastniško financiranje manj tvegano, je hkrati tudi manj ugodno od dolžniškega financiranja, zato je najbolj optimalno, da ima podjetje sorazmeren delež dolžniškega in lastniškega kapitala. Skupina Gorenje je v obdobju po letu 2013 ohranjala podobno razmerje med obema vrstama financiranja. V povprečju dolžniško financiranje predstavlja 51 %, lastniško pa 49 %.</w:t>
      </w:r>
    </w:p>
    <w:p w14:paraId="3D982115" w14:textId="38FC6F75" w:rsidR="00F851CC" w:rsidRDefault="00F851CC" w:rsidP="00F851CC">
      <w:pPr>
        <w:pStyle w:val="Napis"/>
        <w:keepNext/>
      </w:pPr>
      <w:bookmarkStart w:id="57" w:name="_Toc18964904"/>
      <w:r>
        <w:t xml:space="preserve">Slika </w:t>
      </w:r>
      <w:fldSimple w:instr=" SEQ Slika \* ARABIC ">
        <w:r w:rsidR="00325440">
          <w:rPr>
            <w:noProof/>
          </w:rPr>
          <w:t>14</w:t>
        </w:r>
      </w:fldSimple>
      <w:r>
        <w:t>: Financiranje</w:t>
      </w:r>
      <w:bookmarkEnd w:id="57"/>
    </w:p>
    <w:p w14:paraId="1039FD72" w14:textId="77777777" w:rsidR="00F851CC" w:rsidRPr="009E16F9" w:rsidRDefault="00F851CC" w:rsidP="00F851CC">
      <w:pPr>
        <w:pStyle w:val="Grafi"/>
      </w:pPr>
      <w:r>
        <w:rPr>
          <w:lang w:eastAsia="sl-SI"/>
        </w:rPr>
        <w:drawing>
          <wp:inline distT="0" distB="0" distL="0" distR="0" wp14:anchorId="4EB98209" wp14:editId="3DBE84B6">
            <wp:extent cx="4982308" cy="1946031"/>
            <wp:effectExtent l="0" t="0" r="8890" b="16510"/>
            <wp:docPr id="35" name="Grafikon 35">
              <a:extLst xmlns:a="http://schemas.openxmlformats.org/drawingml/2006/main">
                <a:ext uri="{FF2B5EF4-FFF2-40B4-BE49-F238E27FC236}">
                  <a16:creationId xmlns:a16="http://schemas.microsoft.com/office/drawing/2014/main" id="{FFA01E2E-8EE1-4B4D-960F-B22ECAF751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BCB796" w14:textId="77777777" w:rsidR="00F851CC" w:rsidRDefault="00F851CC" w:rsidP="00F851CC">
      <w:pPr>
        <w:pStyle w:val="Brezrazmikov"/>
      </w:pPr>
      <w:r>
        <w:t xml:space="preserve">Da bomo lažje razumeli, ali je takšna struktura financiranja dobra, si za primerjavo poglejmo financiranje družbe Electrolux. Skupina Gorenje ima v povprečju 33% delež kapitala od vseh obveznosti, kar je skoraj 10 % več kot pri </w:t>
      </w:r>
      <w:proofErr w:type="spellStart"/>
      <w:r>
        <w:t>Electroluxu</w:t>
      </w:r>
      <w:proofErr w:type="spellEnd"/>
      <w:r>
        <w:t>, zato je iz stališča upnikov Gorenje manj tvegano podjetje, ravno obratno pa velja za lastnike.</w:t>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3"/>
        <w:gridCol w:w="4703"/>
      </w:tblGrid>
      <w:tr w:rsidR="00F851CC" w14:paraId="6903F1F8" w14:textId="77777777" w:rsidTr="007A6126">
        <w:tc>
          <w:tcPr>
            <w:tcW w:w="4698" w:type="dxa"/>
          </w:tcPr>
          <w:p w14:paraId="31DBBFAC" w14:textId="5830BE98" w:rsidR="00F851CC" w:rsidRDefault="00F851CC" w:rsidP="007A6126">
            <w:pPr>
              <w:pStyle w:val="Napis"/>
              <w:keepNext/>
              <w:spacing w:before="194" w:after="162"/>
            </w:pPr>
            <w:bookmarkStart w:id="58" w:name="_Toc18964905"/>
            <w:r>
              <w:t xml:space="preserve">Slika </w:t>
            </w:r>
            <w:fldSimple w:instr=" SEQ Slika \* ARABIC ">
              <w:r w:rsidR="00325440">
                <w:rPr>
                  <w:noProof/>
                </w:rPr>
                <w:t>15</w:t>
              </w:r>
            </w:fldSimple>
            <w:r>
              <w:t>: Delež kapitala v financiranju</w:t>
            </w:r>
            <w:bookmarkEnd w:id="58"/>
          </w:p>
          <w:p w14:paraId="5654FC94" w14:textId="77777777" w:rsidR="00F851CC" w:rsidRDefault="00F851CC" w:rsidP="007A6126">
            <w:pPr>
              <w:pStyle w:val="Grafi"/>
              <w:spacing w:after="194"/>
            </w:pPr>
            <w:r>
              <w:rPr>
                <w:lang w:eastAsia="sl-SI"/>
              </w:rPr>
              <w:drawing>
                <wp:inline distT="0" distB="0" distL="0" distR="0" wp14:anchorId="50F6141B" wp14:editId="6EECDC41">
                  <wp:extent cx="2865600" cy="2124000"/>
                  <wp:effectExtent l="0" t="0" r="11430" b="10160"/>
                  <wp:docPr id="5" name="Grafikon 5">
                    <a:extLst xmlns:a="http://schemas.openxmlformats.org/drawingml/2006/main">
                      <a:ext uri="{FF2B5EF4-FFF2-40B4-BE49-F238E27FC236}">
                        <a16:creationId xmlns:a16="http://schemas.microsoft.com/office/drawing/2014/main" id="{00000000-0008-0000-04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698" w:type="dxa"/>
          </w:tcPr>
          <w:p w14:paraId="156AA477" w14:textId="5ECBD91A" w:rsidR="00F851CC" w:rsidRDefault="00F851CC" w:rsidP="007A6126">
            <w:pPr>
              <w:pStyle w:val="Napis"/>
              <w:keepNext/>
              <w:spacing w:before="194" w:after="162"/>
            </w:pPr>
            <w:bookmarkStart w:id="59" w:name="_Ref13135771"/>
            <w:bookmarkStart w:id="60" w:name="_Ref13135630"/>
            <w:bookmarkStart w:id="61" w:name="_Toc18964906"/>
            <w:r>
              <w:t xml:space="preserve">Slika </w:t>
            </w:r>
            <w:fldSimple w:instr=" SEQ Slika \* ARABIC ">
              <w:r w:rsidR="00325440">
                <w:rPr>
                  <w:noProof/>
                </w:rPr>
                <w:t>16</w:t>
              </w:r>
            </w:fldSimple>
            <w:bookmarkEnd w:id="59"/>
            <w:r>
              <w:t>: Delež dolga v financiranju</w:t>
            </w:r>
            <w:bookmarkEnd w:id="60"/>
            <w:bookmarkEnd w:id="61"/>
          </w:p>
          <w:p w14:paraId="373435E2" w14:textId="77777777" w:rsidR="00F851CC" w:rsidRDefault="00F851CC" w:rsidP="007A6126">
            <w:pPr>
              <w:pStyle w:val="Grafi"/>
              <w:spacing w:after="194"/>
            </w:pPr>
            <w:r>
              <w:rPr>
                <w:lang w:eastAsia="sl-SI"/>
              </w:rPr>
              <w:drawing>
                <wp:inline distT="0" distB="0" distL="0" distR="0" wp14:anchorId="1D1DED05" wp14:editId="511A098A">
                  <wp:extent cx="2865600" cy="2124000"/>
                  <wp:effectExtent l="0" t="0" r="11430" b="10160"/>
                  <wp:docPr id="6" name="Grafikon 6">
                    <a:extLst xmlns:a="http://schemas.openxmlformats.org/drawingml/2006/main">
                      <a:ext uri="{FF2B5EF4-FFF2-40B4-BE49-F238E27FC236}">
                        <a16:creationId xmlns:a16="http://schemas.microsoft.com/office/drawing/2014/main" id="{00000000-0008-0000-04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5766B340" w14:textId="00A13C6D" w:rsidR="00F851CC" w:rsidRDefault="00F851CC" w:rsidP="00F851CC">
      <w:pPr>
        <w:pStyle w:val="Brezrazmikov"/>
      </w:pPr>
      <w:r>
        <w:t xml:space="preserve">Tudi delež dolga pri Gorenju predstavlja 33 % vseh obveznosti, medtem ko je zadolženost podjetja Electrolux v povprečju manjša. Kljub večjemu deležu lastniškega kapitala Gorenje zaradi visokega deleža dolga v financiranju tudi s stališča upnikov ni manj tvegano podjetje. To lahko vidimo iz </w:t>
      </w:r>
      <w:r w:rsidR="00CD0613">
        <w:rPr>
          <w:i/>
          <w:iCs/>
        </w:rPr>
        <w:lastRenderedPageBreak/>
        <w:fldChar w:fldCharType="begin"/>
      </w:r>
      <w:r w:rsidR="00CD0613" w:rsidRPr="00CD0613">
        <w:rPr>
          <w:i/>
          <w:iCs/>
        </w:rPr>
        <w:instrText xml:space="preserve"> REF  _Ref13135771 \* FirstCap \h  \* MERGEFORMAT </w:instrText>
      </w:r>
      <w:r w:rsidR="00CD0613">
        <w:rPr>
          <w:i/>
          <w:iCs/>
        </w:rPr>
      </w:r>
      <w:r w:rsidR="00CD0613">
        <w:rPr>
          <w:i/>
          <w:iCs/>
        </w:rPr>
        <w:fldChar w:fldCharType="separate"/>
      </w:r>
      <w:r w:rsidR="00CD0613" w:rsidRPr="00CD0613">
        <w:rPr>
          <w:i/>
          <w:iCs/>
        </w:rPr>
        <w:t>Slik</w:t>
      </w:r>
      <w:r w:rsidR="00CD0613">
        <w:rPr>
          <w:i/>
          <w:iCs/>
        </w:rPr>
        <w:t>e</w:t>
      </w:r>
      <w:r w:rsidR="00CD0613">
        <w:t xml:space="preserve"> </w:t>
      </w:r>
      <w:r w:rsidR="00CD0613">
        <w:rPr>
          <w:noProof/>
        </w:rPr>
        <w:t>16</w:t>
      </w:r>
      <w:r w:rsidR="00CD0613">
        <w:rPr>
          <w:i/>
          <w:iCs/>
        </w:rPr>
        <w:fldChar w:fldCharType="end"/>
      </w:r>
      <w:r w:rsidRPr="00661672">
        <w:t>, ki</w:t>
      </w:r>
      <w:r>
        <w:t xml:space="preserve"> </w:t>
      </w:r>
      <w:r w:rsidRPr="00661672">
        <w:t xml:space="preserve">predstavlja </w:t>
      </w:r>
      <w:r>
        <w:t xml:space="preserve">razmerje med vsoto kratkoročnih in dolgoročnih finančnih obveznosti z vrednostjo celotne pasive. </w:t>
      </w:r>
    </w:p>
    <w:p w14:paraId="19F77744" w14:textId="77777777" w:rsidR="00F851CC" w:rsidRDefault="00F851CC" w:rsidP="00F851CC">
      <w:pPr>
        <w:pStyle w:val="Brezrazmikov"/>
      </w:pPr>
    </w:p>
    <w:p w14:paraId="45A73D73" w14:textId="77777777" w:rsidR="00F851CC" w:rsidRDefault="00F851CC" w:rsidP="00F851CC">
      <w:pPr>
        <w:pStyle w:val="Brezrazmikov"/>
      </w:pPr>
      <w:bookmarkStart w:id="62" w:name="_Hlk13164607"/>
      <w:r>
        <w:t xml:space="preserve">Zaradi visoke zadolženosti si poglejmo še kazalnik med dolgom in EBITDA. To je finančni kazalnik, ki primerja neto zadolženost podjetja z ustvarjenim dobičkom pred amortizacijo. Kazalnik ocenjuje sposobnost odplačevanja dolga v prihodnosti ob predpostavki, da se ohrani enak obseg poslovanja. Večja kot je vrednost kazalnika, manjša je sposobnost </w:t>
      </w:r>
      <w:r w:rsidRPr="00A72EEF">
        <w:t>odplačevanja</w:t>
      </w:r>
      <w:r>
        <w:t xml:space="preserve"> dolga ter obenem pomeni večjo mero tveganja za investitorje (Finančni slovar, Neto dolg na EBITDA). </w:t>
      </w:r>
    </w:p>
    <w:p w14:paraId="3BED4523" w14:textId="278FF071" w:rsidR="00F851CC" w:rsidRDefault="00F851CC" w:rsidP="00F851CC">
      <w:pPr>
        <w:pStyle w:val="Brezrazmikov"/>
      </w:pPr>
      <w:r>
        <w:t xml:space="preserve">Iz </w:t>
      </w:r>
      <w:r w:rsidR="00CD0613">
        <w:rPr>
          <w:i/>
          <w:iCs/>
        </w:rPr>
        <w:fldChar w:fldCharType="begin"/>
      </w:r>
      <w:r w:rsidR="00CD0613" w:rsidRPr="00CD0613">
        <w:rPr>
          <w:i/>
          <w:iCs/>
        </w:rPr>
        <w:instrText xml:space="preserve"> REF  _Ref13140366 \* FirstCap \h  \* MERGEFORMAT </w:instrText>
      </w:r>
      <w:r w:rsidR="00CD0613">
        <w:rPr>
          <w:i/>
          <w:iCs/>
        </w:rPr>
      </w:r>
      <w:r w:rsidR="00CD0613">
        <w:rPr>
          <w:i/>
          <w:iCs/>
        </w:rPr>
        <w:fldChar w:fldCharType="separate"/>
      </w:r>
      <w:r w:rsidR="00CD0613" w:rsidRPr="00CD0613">
        <w:rPr>
          <w:i/>
          <w:iCs/>
        </w:rPr>
        <w:t>Slik</w:t>
      </w:r>
      <w:r w:rsidR="00CD0613">
        <w:rPr>
          <w:i/>
          <w:iCs/>
        </w:rPr>
        <w:t>e</w:t>
      </w:r>
      <w:r w:rsidR="00CD0613">
        <w:t xml:space="preserve"> </w:t>
      </w:r>
      <w:r w:rsidR="00CD0613">
        <w:rPr>
          <w:noProof/>
        </w:rPr>
        <w:t>17</w:t>
      </w:r>
      <w:r w:rsidR="00CD0613">
        <w:rPr>
          <w:i/>
          <w:iCs/>
        </w:rPr>
        <w:fldChar w:fldCharType="end"/>
      </w:r>
      <w:r>
        <w:t xml:space="preserve"> vidimo, da ima Skupina Gorenje zelo visoko vrednost kazalnika, kar pomeni, da bo v prihodnosti s težavo odplačevala svoje obveznosti, hkrati pa ne bo zmožna pridobivati novih finančnih virov, ki so ključni za rast in razvoj podjetja. Za razliko Electrolux bolje obvladuje svoj neto dolg, saj ohranja kazalnik pri manjših vrednostih. Četudi je v letu 2014 vrednost kazalnika močno narastla, to ne predstavlja problema, ker je bila to enkratna zadolžitev podjetja, ki so jo poravnali že naslednje leto. </w:t>
      </w:r>
    </w:p>
    <w:p w14:paraId="188219D2" w14:textId="01487B42" w:rsidR="00F851CC" w:rsidRDefault="00F851CC" w:rsidP="00F851CC">
      <w:pPr>
        <w:pStyle w:val="Napis"/>
        <w:keepNext/>
        <w:jc w:val="left"/>
      </w:pPr>
      <w:bookmarkStart w:id="63" w:name="_Ref13140366"/>
      <w:bookmarkStart w:id="64" w:name="_Toc18964907"/>
      <w:r>
        <w:t xml:space="preserve">Slika </w:t>
      </w:r>
      <w:fldSimple w:instr=" SEQ Slika \* ARABIC ">
        <w:r w:rsidR="00325440">
          <w:rPr>
            <w:noProof/>
          </w:rPr>
          <w:t>17</w:t>
        </w:r>
      </w:fldSimple>
      <w:bookmarkEnd w:id="63"/>
      <w:r>
        <w:t>: Neto dolg na EBITDA</w:t>
      </w:r>
      <w:bookmarkEnd w:id="64"/>
    </w:p>
    <w:p w14:paraId="5225596A" w14:textId="77777777" w:rsidR="00F851CC" w:rsidRDefault="00F851CC" w:rsidP="00F851CC">
      <w:pPr>
        <w:pStyle w:val="Grafi"/>
      </w:pPr>
      <w:r>
        <w:rPr>
          <w:lang w:eastAsia="sl-SI"/>
        </w:rPr>
        <w:drawing>
          <wp:inline distT="0" distB="0" distL="0" distR="0" wp14:anchorId="39A3DB75" wp14:editId="5E26E0A2">
            <wp:extent cx="4389120" cy="2339340"/>
            <wp:effectExtent l="0" t="0" r="11430" b="3810"/>
            <wp:docPr id="7" name="Grafikon 7">
              <a:extLst xmlns:a="http://schemas.openxmlformats.org/drawingml/2006/main">
                <a:ext uri="{FF2B5EF4-FFF2-40B4-BE49-F238E27FC236}">
                  <a16:creationId xmlns:a16="http://schemas.microsoft.com/office/drawing/2014/main" id="{CC1E23FA-A223-47E7-87C3-E2CEE28E8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E42653" w14:textId="77777777" w:rsidR="00F851CC" w:rsidRDefault="00F851CC" w:rsidP="00F851CC">
      <w:pPr>
        <w:pStyle w:val="Brezrazmikov"/>
      </w:pPr>
      <w:r>
        <w:t xml:space="preserve">Zaključimo lahko s sklepom, da poslovanje Skupine Gorenje ni idealno. S primerjavo smo videli, da je poslovanje Gorenja precej slabše od </w:t>
      </w:r>
      <w:proofErr w:type="spellStart"/>
      <w:r>
        <w:t>Electroluxa</w:t>
      </w:r>
      <w:proofErr w:type="spellEnd"/>
      <w:r>
        <w:t>. Največjo težavo predstavlja slabo financiranje, saj je delež dolžniškega financiranja zelo visok, kar lahko v prihodnosti predstavlja problem, če se prodaja Gorenja ne bo izboljšala. Iz kazalnika neto dolg na EBITDA smo videli, da je delež dolga v primerjavi s prodajo zelo visok, kar tako upnikom kot tudi lastnikom daje negativne signale. Zaradi tega lahko ima podjetje v bodočnosti težave s pridobivanjem finančnih virov, ki so pa ključni za nadaljnjo poslovanje Skupine.</w:t>
      </w:r>
    </w:p>
    <w:p w14:paraId="349F30CB" w14:textId="77777777" w:rsidR="00F851CC" w:rsidRDefault="00F851CC" w:rsidP="00F851CC">
      <w:pPr>
        <w:pStyle w:val="Naslov1"/>
      </w:pPr>
      <w:bookmarkStart w:id="65" w:name="_Ref13481304"/>
      <w:bookmarkStart w:id="66" w:name="_Toc18964873"/>
      <w:bookmarkEnd w:id="62"/>
      <w:r>
        <w:lastRenderedPageBreak/>
        <w:t>Napoved poslovanja Skupine Gorenje za ocenjevano obdobje</w:t>
      </w:r>
      <w:bookmarkEnd w:id="65"/>
      <w:r>
        <w:t xml:space="preserve"> in izračun FCFF</w:t>
      </w:r>
      <w:bookmarkEnd w:id="66"/>
    </w:p>
    <w:p w14:paraId="5A1FB249" w14:textId="77777777" w:rsidR="00F851CC" w:rsidRDefault="00F851CC" w:rsidP="00F851CC">
      <w:pPr>
        <w:pStyle w:val="Brezrazmikov"/>
      </w:pPr>
      <w:r>
        <w:t>Za obdobje ocenjevanja smo izbrali dobo petih let, od 2018 do 2022. Za to obdobje bomo izračunali FCFF, zato moramo napovedati poslovni izid v nadaljnjih petih letih, določiti diskontno stopnjo, po kateri se bodo denarni tokovi diskontirali, ter določiti preostalo vrednost podjetja, saj je pričakovano, da bo podjetje po preteku ocenjevanega obdobja še vedno poslovalo.</w:t>
      </w:r>
    </w:p>
    <w:p w14:paraId="0D0792DC" w14:textId="77777777" w:rsidR="00F851CC" w:rsidRDefault="00F851CC" w:rsidP="00F851CC">
      <w:pPr>
        <w:pStyle w:val="Naslov2"/>
      </w:pPr>
      <w:bookmarkStart w:id="67" w:name="_Toc18964874"/>
      <w:r>
        <w:t>Napoved poslovnih prihodkov</w:t>
      </w:r>
      <w:bookmarkEnd w:id="67"/>
    </w:p>
    <w:p w14:paraId="7699AA75" w14:textId="77777777" w:rsidR="00F851CC" w:rsidRDefault="00F851CC" w:rsidP="00F851CC">
      <w:pPr>
        <w:pStyle w:val="Brezrazmikov"/>
      </w:pPr>
      <w:r>
        <w:t>Iz letnih poročil Skupine je razvidno, da v letu 2018 pričakujejo 1,4 % rast prihodkov glede na prejšnje leto oz. načrtujejo prihodke od prodaje v višini 1,328 mrd EUR. Napovedana rast je v največji meri posledica povečane prodaje inovativnih in premijskih aparatov ter nadaljnje širitve na trge zunaj Evrope. Posledično je napovedana tudi rast kosmatega donosa iz poslovanja. Za to rast je razlog tudi nadaljnja optimizacija zalog gotovih izdelkov. Pričakovana rast prihodkov je tudi posledica pričakovanega povečanja stroškov materialov, zaradi česar bodo dvignili cene končnih izdelkov. Skupina hkrati v strateškem načrtu do leta 2020 napoveduje prihodke od prodaje v višini 1,56 mrd EUR, kar predstavlja 17-odstotno rast glede na leto 2018 oz. 6-odstotno letno rast od leta 2017 dalje.</w:t>
      </w:r>
      <w:r>
        <w:rPr>
          <w:rStyle w:val="Sprotnaopomba-sklic"/>
        </w:rPr>
        <w:footnoteReference w:id="15"/>
      </w:r>
      <w:r>
        <w:t xml:space="preserve"> V tem načrtu, ki je bil izdelan v letu 2015, Skupina predpostavlja večjo rast prihodkov, kot je napoved rasti v panogi. Prav zato tega podatka nismo upoštevali, saj se po pregledu preteklih podatkov to ne usklajuje s poslovanjem Skupine Gorenje. Za rast prihodkov od prodaje smo upoštevali nižjo stopnjo rasti, ki bi bila glede na preteklo poslovanje bolj pričakovana.</w:t>
      </w:r>
    </w:p>
    <w:p w14:paraId="002D2E9D" w14:textId="3990A810" w:rsidR="00F851CC" w:rsidRDefault="00F851CC" w:rsidP="00F851CC">
      <w:pPr>
        <w:pStyle w:val="Napis"/>
        <w:keepNext/>
      </w:pPr>
      <w:bookmarkStart w:id="68" w:name="_Toc18964908"/>
      <w:r>
        <w:t xml:space="preserve">Slika </w:t>
      </w:r>
      <w:fldSimple w:instr=" SEQ Slika \* ARABIC ">
        <w:r w:rsidR="00325440">
          <w:rPr>
            <w:noProof/>
          </w:rPr>
          <w:t>18</w:t>
        </w:r>
      </w:fldSimple>
      <w:r>
        <w:t>: Napoved prihodkov od prodaje</w:t>
      </w:r>
      <w:bookmarkEnd w:id="68"/>
    </w:p>
    <w:p w14:paraId="6061E3EC" w14:textId="77777777" w:rsidR="00F851CC" w:rsidRPr="008F4C33" w:rsidRDefault="00F851CC" w:rsidP="00F851CC">
      <w:pPr>
        <w:pStyle w:val="Grafi"/>
      </w:pPr>
      <w:r>
        <w:rPr>
          <w:lang w:eastAsia="sl-SI"/>
        </w:rPr>
        <w:drawing>
          <wp:inline distT="0" distB="0" distL="0" distR="0" wp14:anchorId="14848B7C" wp14:editId="146644A8">
            <wp:extent cx="5972400" cy="2834640"/>
            <wp:effectExtent l="0" t="0" r="9525" b="3810"/>
            <wp:docPr id="22" name="Grafikon 2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71B8FE" w14:textId="77777777" w:rsidR="00F851CC" w:rsidRDefault="00F851CC" w:rsidP="00F851CC">
      <w:pPr>
        <w:pStyle w:val="Naslov2"/>
      </w:pPr>
      <w:bookmarkStart w:id="69" w:name="_Toc18964875"/>
      <w:r>
        <w:lastRenderedPageBreak/>
        <w:t>Napoved odhodkov</w:t>
      </w:r>
      <w:bookmarkEnd w:id="69"/>
    </w:p>
    <w:p w14:paraId="73D2AB7B" w14:textId="77777777" w:rsidR="00F851CC" w:rsidRDefault="00F851CC" w:rsidP="00F851CC">
      <w:pPr>
        <w:pStyle w:val="Naslov3"/>
      </w:pPr>
      <w:bookmarkStart w:id="70" w:name="_Toc18964876"/>
      <w:r>
        <w:t>Stroški blaga materiala in storitev</w:t>
      </w:r>
      <w:bookmarkEnd w:id="70"/>
    </w:p>
    <w:p w14:paraId="74098B43" w14:textId="77777777" w:rsidR="00F851CC" w:rsidRDefault="00F851CC" w:rsidP="00F851CC">
      <w:pPr>
        <w:pStyle w:val="Brezrazmikov"/>
      </w:pPr>
      <w:r w:rsidRPr="00CF7D85">
        <w:t>Stroške blaga, materiala in storitev</w:t>
      </w:r>
      <w:r>
        <w:t xml:space="preserve"> smo napovedali v odvisnosti od prihodkov od prodaje. V prihodnje pričakujemo višje cene materialov, zato smo za prihodnje obdobje napovedali nekoliko višji delež stroška materiala s prihodki, in sicer smo 37,30-odstotni delež zvišali na 37,50 %. Enako smo storili za nabavno vrednost, saj se zaradi višjih cen dvigujejo končne cene izdelkov. Ta strošek smo iz 19,97 % povečali na 20 %. </w:t>
      </w:r>
      <w:r w:rsidRPr="005E7859">
        <w:t xml:space="preserve">Stroške storitev </w:t>
      </w:r>
      <w:r>
        <w:t>smo</w:t>
      </w:r>
      <w:r w:rsidRPr="005E7859">
        <w:t xml:space="preserve"> v </w:t>
      </w:r>
      <w:r>
        <w:t xml:space="preserve">ocenjevanem </w:t>
      </w:r>
      <w:r w:rsidRPr="005E7859">
        <w:t>obdobju ohranil</w:t>
      </w:r>
      <w:r>
        <w:t>i</w:t>
      </w:r>
      <w:r w:rsidRPr="005E7859">
        <w:t xml:space="preserve"> na </w:t>
      </w:r>
      <w:r>
        <w:t xml:space="preserve">enaki povprečni </w:t>
      </w:r>
      <w:r w:rsidRPr="005E7859">
        <w:t>stopnji</w:t>
      </w:r>
      <w:r>
        <w:t xml:space="preserve"> kot v preteklem </w:t>
      </w:r>
      <w:proofErr w:type="spellStart"/>
      <w:r>
        <w:t>petletju</w:t>
      </w:r>
      <w:proofErr w:type="spellEnd"/>
      <w:r>
        <w:t>, ki je znašala 17,17 % prihodkov od prodaje.</w:t>
      </w:r>
    </w:p>
    <w:p w14:paraId="2D3073AA" w14:textId="71126338" w:rsidR="00F851CC" w:rsidRDefault="00F851CC" w:rsidP="00F851CC">
      <w:pPr>
        <w:pStyle w:val="Napis"/>
        <w:keepNext/>
      </w:pPr>
      <w:bookmarkStart w:id="71" w:name="_Toc18964909"/>
      <w:r>
        <w:t xml:space="preserve">Slika </w:t>
      </w:r>
      <w:fldSimple w:instr=" SEQ Slika \* ARABIC ">
        <w:r w:rsidR="00325440">
          <w:rPr>
            <w:noProof/>
          </w:rPr>
          <w:t>19</w:t>
        </w:r>
      </w:fldSimple>
      <w:r>
        <w:t>: Napoved stroškov blaga, materiala in storitev</w:t>
      </w:r>
      <w:bookmarkEnd w:id="71"/>
    </w:p>
    <w:p w14:paraId="36D21102" w14:textId="77777777" w:rsidR="00F851CC" w:rsidRDefault="00F851CC" w:rsidP="00F851CC">
      <w:pPr>
        <w:pStyle w:val="Grafi"/>
      </w:pPr>
      <w:r>
        <w:rPr>
          <w:lang w:eastAsia="sl-SI"/>
        </w:rPr>
        <w:drawing>
          <wp:inline distT="0" distB="0" distL="0" distR="0" wp14:anchorId="458AD51A" wp14:editId="7A1E2441">
            <wp:extent cx="4999892" cy="2332892"/>
            <wp:effectExtent l="0" t="0" r="10795" b="10795"/>
            <wp:docPr id="36" name="Grafikon 36">
              <a:extLst xmlns:a="http://schemas.openxmlformats.org/drawingml/2006/main">
                <a:ext uri="{FF2B5EF4-FFF2-40B4-BE49-F238E27FC236}">
                  <a16:creationId xmlns:a16="http://schemas.microsoft.com/office/drawing/2014/main" id="{031FB269-0A0E-40FD-9BFD-6ED1107CF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3E341CF" w14:textId="77777777" w:rsidR="00F851CC" w:rsidRDefault="00F851CC" w:rsidP="00F851CC">
      <w:pPr>
        <w:pStyle w:val="Naslov3"/>
      </w:pPr>
      <w:bookmarkStart w:id="72" w:name="_Toc18964877"/>
      <w:r>
        <w:t>Stroški dela</w:t>
      </w:r>
      <w:bookmarkEnd w:id="72"/>
    </w:p>
    <w:p w14:paraId="30607200" w14:textId="77777777" w:rsidR="00F851CC" w:rsidRDefault="00F851CC" w:rsidP="00F851CC">
      <w:pPr>
        <w:pStyle w:val="Brezrazmikov"/>
      </w:pPr>
      <w:r w:rsidRPr="005E7859">
        <w:t>Skupina si prizadeva za zniževanje stroškov dela, kar skuša doseči z vključevanjem vse več zaposlenih v izobraževanja, kar omogoča boljše povezovanje, razvoj potrebnih</w:t>
      </w:r>
      <w:r>
        <w:t xml:space="preserve"> </w:t>
      </w:r>
      <w:r w:rsidRPr="005E7859">
        <w:t>veščin, posledično večjo produktivnost in seveda tudi rast podjetja.</w:t>
      </w:r>
      <w:r>
        <w:t xml:space="preserve"> Za prihodnje obdobje smo strošek na delavca napovedali v manjšem obsegu, in sicer 22,30 tisoč EUR, saj Skupina v okviru zniževanja stroškov dela načrtuje tudi manjše odpravnine. </w:t>
      </w:r>
      <w:r w:rsidRPr="00C46B23">
        <w:t xml:space="preserve">Pri napovedi smo </w:t>
      </w:r>
      <w:r>
        <w:t xml:space="preserve">tudi </w:t>
      </w:r>
      <w:r w:rsidRPr="00C46B23">
        <w:t>zaradi</w:t>
      </w:r>
      <w:r>
        <w:t xml:space="preserve"> nekoliko</w:t>
      </w:r>
      <w:r w:rsidRPr="00C46B23">
        <w:t xml:space="preserve"> večje produktivnosti upoštevali več ustvarjenih prihodkov od prodaje na delavca</w:t>
      </w:r>
      <w:r>
        <w:t xml:space="preserve">. Tako smo izračunali pričakovano število delavcev potrebnih za zagotavljanje napovedanega obsega poslovanja. Nato smo število delavcev pomnožili z napovedanim stroškom na delavca in tako dobili strošek dela v poslovnem letu. </w:t>
      </w:r>
    </w:p>
    <w:p w14:paraId="7F022EA1" w14:textId="0EDC7888" w:rsidR="00F851CC" w:rsidRDefault="00F851CC" w:rsidP="00F851CC">
      <w:pPr>
        <w:pStyle w:val="Napis"/>
        <w:keepNext/>
        <w:jc w:val="left"/>
      </w:pPr>
      <w:bookmarkStart w:id="73" w:name="_Toc18964910"/>
      <w:r>
        <w:lastRenderedPageBreak/>
        <w:t xml:space="preserve">Slika </w:t>
      </w:r>
      <w:fldSimple w:instr=" SEQ Slika \* ARABIC ">
        <w:r w:rsidR="00325440">
          <w:rPr>
            <w:noProof/>
          </w:rPr>
          <w:t>20</w:t>
        </w:r>
      </w:fldSimple>
      <w:r>
        <w:t>: Strošek dela in število zaposlenih</w:t>
      </w:r>
      <w:bookmarkEnd w:id="73"/>
    </w:p>
    <w:p w14:paraId="11C3E561" w14:textId="77777777" w:rsidR="00F851CC" w:rsidRDefault="00F851CC" w:rsidP="00F851CC">
      <w:r>
        <w:rPr>
          <w:noProof/>
          <w:lang w:eastAsia="sl-SI"/>
        </w:rPr>
        <mc:AlternateContent>
          <mc:Choice Requires="wpg">
            <w:drawing>
              <wp:inline distT="0" distB="0" distL="0" distR="0" wp14:anchorId="7161BB56" wp14:editId="4D5CB778">
                <wp:extent cx="5936400" cy="2167200"/>
                <wp:effectExtent l="0" t="0" r="7620" b="5080"/>
                <wp:docPr id="11" name="Skupina 5"/>
                <wp:cNvGraphicFramePr/>
                <a:graphic xmlns:a="http://schemas.openxmlformats.org/drawingml/2006/main">
                  <a:graphicData uri="http://schemas.microsoft.com/office/word/2010/wordprocessingGroup">
                    <wpg:wgp>
                      <wpg:cNvGrpSpPr/>
                      <wpg:grpSpPr>
                        <a:xfrm>
                          <a:off x="0" y="0"/>
                          <a:ext cx="5936400" cy="2167200"/>
                          <a:chOff x="0" y="0"/>
                          <a:chExt cx="9148485" cy="2756647"/>
                        </a:xfrm>
                      </wpg:grpSpPr>
                      <wpg:graphicFrame>
                        <wpg:cNvPr id="16" name="Grafikon 16"/>
                        <wpg:cNvFrPr/>
                        <wpg:xfrm>
                          <a:off x="4576485" y="0"/>
                          <a:ext cx="4572000" cy="2743200"/>
                        </wpg:xfrm>
                        <a:graphic>
                          <a:graphicData uri="http://schemas.openxmlformats.org/drawingml/2006/chart">
                            <c:chart xmlns:c="http://schemas.openxmlformats.org/drawingml/2006/chart" xmlns:r="http://schemas.openxmlformats.org/officeDocument/2006/relationships" r:id="rId28"/>
                          </a:graphicData>
                        </a:graphic>
                      </wpg:graphicFrame>
                      <wpg:graphicFrame>
                        <wpg:cNvPr id="17" name="Grafikon 17"/>
                        <wpg:cNvFrPr>
                          <a:graphicFrameLocks/>
                        </wpg:cNvFrPr>
                        <wpg:xfrm>
                          <a:off x="0" y="13447"/>
                          <a:ext cx="4572000" cy="2743200"/>
                        </wpg:xfrm>
                        <a:graphic>
                          <a:graphicData uri="http://schemas.openxmlformats.org/drawingml/2006/chart">
                            <c:chart xmlns:c="http://schemas.openxmlformats.org/drawingml/2006/chart" xmlns:r="http://schemas.openxmlformats.org/officeDocument/2006/relationships" r:id="rId29"/>
                          </a:graphicData>
                        </a:graphic>
                      </wpg:graphicFrame>
                    </wpg:wgp>
                  </a:graphicData>
                </a:graphic>
              </wp:inline>
            </w:drawing>
          </mc:Choice>
          <mc:Fallback>
            <w:pict>
              <v:group w14:anchorId="5E1E599E" id="Skupina 5" o:spid="_x0000_s1026" style="width:467.45pt;height:170.65pt;mso-position-horizontal-relative:char;mso-position-vertical-relative:line" coordsize="91484,27566"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on 16" o:spid="_x0000_s1027" type="#_x0000_t75" style="position:absolute;left:45656;top:-77;width:45939;height:276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">
                  <v:imagedata r:id="rId30" o:title=""/>
                  <o:lock v:ext="edit" aspectratio="f"/>
                </v:shape>
                <v:shape id="Grafikon 17" o:spid="_x0000_s1028" type="#_x0000_t75" style="position:absolute;left:-93;top:77;width:45937;height:275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">
                  <v:imagedata r:id="rId31" o:title=""/>
                  <o:lock v:ext="edit" aspectratio="f"/>
                </v:shape>
                <w10:anchorlock/>
              </v:group>
            </w:pict>
          </mc:Fallback>
        </mc:AlternateContent>
      </w:r>
    </w:p>
    <w:p w14:paraId="23437CB4" w14:textId="77777777" w:rsidR="00F851CC" w:rsidRDefault="00F851CC" w:rsidP="00F851CC">
      <w:pPr>
        <w:pStyle w:val="Naslov3"/>
      </w:pPr>
      <w:bookmarkStart w:id="74" w:name="_Toc18964878"/>
      <w:r>
        <w:t>Drugi poslovni prihodki in odhodki</w:t>
      </w:r>
      <w:bookmarkEnd w:id="74"/>
    </w:p>
    <w:p w14:paraId="6F13BD49" w14:textId="77777777" w:rsidR="00F851CC" w:rsidRPr="002C0FF5" w:rsidRDefault="00F851CC" w:rsidP="00F851CC">
      <w:pPr>
        <w:pStyle w:val="Brezrazmikov"/>
      </w:pPr>
      <w:r w:rsidRPr="008A0D27">
        <w:rPr>
          <w:bCs/>
        </w:rPr>
        <w:t>Drug</w:t>
      </w:r>
      <w:r>
        <w:rPr>
          <w:bCs/>
        </w:rPr>
        <w:t>e</w:t>
      </w:r>
      <w:r w:rsidRPr="008A0D27">
        <w:rPr>
          <w:bCs/>
        </w:rPr>
        <w:t xml:space="preserve"> poslovni prihodk</w:t>
      </w:r>
      <w:r>
        <w:rPr>
          <w:bCs/>
        </w:rPr>
        <w:t>e</w:t>
      </w:r>
      <w:r w:rsidRPr="008A0D27">
        <w:rPr>
          <w:bCs/>
        </w:rPr>
        <w:t xml:space="preserve"> in odhodk</w:t>
      </w:r>
      <w:r>
        <w:rPr>
          <w:bCs/>
        </w:rPr>
        <w:t>e smo napovedali v</w:t>
      </w:r>
      <w:r>
        <w:t xml:space="preserve"> odvisnosti od kosmatega donosa. Za prihodke smo upoštevali srednjo vrednost preteklih poslovnih prihodkov, kjer smo izločil učinek prihodkov iz naslova odškodnin v višini 14,1 mio EUR v letu 2017 (glavni del teh prihodkov se nanaša na pripoznavo odškodnin s požarom v družbi Kemis d. o. o.). Pri poslovnih odhodkih je v letu 2017 prišlo do povečanja, iz 1,6 % na 2 % kosmatega donosa, saj je Skupina Gorenje začela popravke vrednosti terjatev izkazovati med poslovne in ne več med finančne odhodke. Poslovni odhodki v letu 2017 pa se nanašajo tudi na stroške iz sanacije posledic prej omenjenega požara. Za ocenjevano obdobje smo napovedali, da omenjeni odhodki znašajo 1,8 % kosmatega donosa. </w:t>
      </w:r>
    </w:p>
    <w:p w14:paraId="635186B0" w14:textId="77777777" w:rsidR="00F851CC" w:rsidRPr="00373AFC" w:rsidRDefault="00F851CC" w:rsidP="00F851CC">
      <w:pPr>
        <w:pStyle w:val="Naslov2"/>
      </w:pPr>
      <w:bookmarkStart w:id="75" w:name="_Toc18964879"/>
      <w:r>
        <w:t>Napoved investicij</w:t>
      </w:r>
      <w:bookmarkEnd w:id="75"/>
    </w:p>
    <w:p w14:paraId="49A900CD" w14:textId="77777777" w:rsidR="00F851CC" w:rsidRDefault="00F851CC" w:rsidP="00F851CC">
      <w:pPr>
        <w:pStyle w:val="Naslov3"/>
        <w:rPr>
          <w:lang w:eastAsia="sl-SI"/>
        </w:rPr>
      </w:pPr>
      <w:bookmarkStart w:id="76" w:name="_Toc18964880"/>
      <w:r>
        <w:rPr>
          <w:lang w:eastAsia="sl-SI"/>
        </w:rPr>
        <w:t>Investicije v osnovna sredstva</w:t>
      </w:r>
      <w:bookmarkEnd w:id="76"/>
    </w:p>
    <w:p w14:paraId="7390A3C4" w14:textId="77777777" w:rsidR="00F851CC" w:rsidRDefault="00F851CC" w:rsidP="00F851CC">
      <w:pPr>
        <w:pStyle w:val="Brezrazmikov"/>
        <w:rPr>
          <w:lang w:eastAsia="sl-SI"/>
        </w:rPr>
      </w:pPr>
      <w:r>
        <w:rPr>
          <w:lang w:eastAsia="sl-SI"/>
        </w:rPr>
        <w:t xml:space="preserve">V letnem poročilu za leto 2017 Skupina razkriva, da zaključujejo nekajletni povečan obseg investicij v novo platformo samostojnih štedilnikov v tovarni na Češkem, s čimer bodo tudi uskladili letni načrt obsega investicij v osnovna sredstva, tako da te ne bodo presegale 65 mio EUR. Prav tako Skupina za leto 2018 načrtuje </w:t>
      </w:r>
      <w:proofErr w:type="spellStart"/>
      <w:r>
        <w:rPr>
          <w:lang w:eastAsia="sl-SI"/>
        </w:rPr>
        <w:t>dezinvestiranje</w:t>
      </w:r>
      <w:proofErr w:type="spellEnd"/>
      <w:r>
        <w:rPr>
          <w:lang w:eastAsia="sl-SI"/>
        </w:rPr>
        <w:t xml:space="preserve"> poslovno nepotrebnega premoženja in investicijska vlaganja v višini 62,5 mio EUR.</w:t>
      </w:r>
    </w:p>
    <w:p w14:paraId="0EE79A9B" w14:textId="676E6211" w:rsidR="00F851CC" w:rsidRDefault="00F851CC" w:rsidP="00F851CC">
      <w:pPr>
        <w:pStyle w:val="Napis"/>
        <w:keepNext/>
      </w:pPr>
      <w:bookmarkStart w:id="77" w:name="_Toc18964911"/>
      <w:r>
        <w:lastRenderedPageBreak/>
        <w:t xml:space="preserve">Slika </w:t>
      </w:r>
      <w:fldSimple w:instr=" SEQ Slika \* ARABIC ">
        <w:r w:rsidR="00325440">
          <w:rPr>
            <w:noProof/>
          </w:rPr>
          <w:t>21</w:t>
        </w:r>
      </w:fldSimple>
      <w:r>
        <w:t>: Napoved investicije v opredmetena in neopredmetena osnovna sredstva</w:t>
      </w:r>
      <w:bookmarkEnd w:id="77"/>
    </w:p>
    <w:p w14:paraId="6622DE49" w14:textId="77777777" w:rsidR="00F851CC" w:rsidRDefault="00F851CC" w:rsidP="00F851CC">
      <w:pPr>
        <w:pStyle w:val="Grafi"/>
        <w:rPr>
          <w:lang w:eastAsia="sl-SI"/>
        </w:rPr>
      </w:pPr>
      <w:r>
        <w:rPr>
          <w:lang w:eastAsia="sl-SI"/>
        </w:rPr>
        <w:drawing>
          <wp:inline distT="0" distB="0" distL="0" distR="0" wp14:anchorId="78F75FB7" wp14:editId="451FE99D">
            <wp:extent cx="4478215" cy="2086707"/>
            <wp:effectExtent l="0" t="0" r="17780" b="8890"/>
            <wp:docPr id="38" name="Grafikon 38">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2B67647" w14:textId="77777777" w:rsidR="00F851CC" w:rsidRDefault="00F851CC" w:rsidP="00F851CC">
      <w:pPr>
        <w:pStyle w:val="Naslov3"/>
      </w:pPr>
      <w:bookmarkStart w:id="78" w:name="_Toc18964881"/>
      <w:r>
        <w:t>Amortizacija</w:t>
      </w:r>
      <w:bookmarkEnd w:id="78"/>
    </w:p>
    <w:p w14:paraId="0CE460E1" w14:textId="77777777" w:rsidR="00F851CC" w:rsidRDefault="00F851CC" w:rsidP="00F851CC">
      <w:pPr>
        <w:pStyle w:val="Brezrazmikov"/>
      </w:pPr>
      <w:r w:rsidRPr="003F5873">
        <w:t>Strošek amortizacije</w:t>
      </w:r>
      <w:r w:rsidRPr="005E7859">
        <w:t xml:space="preserve"> se je </w:t>
      </w:r>
      <w:r>
        <w:t xml:space="preserve">v letu 2017 povečal </w:t>
      </w:r>
      <w:r w:rsidRPr="005E7859">
        <w:t xml:space="preserve">iz </w:t>
      </w:r>
      <w:r>
        <w:t xml:space="preserve">47,05 mio EUR </w:t>
      </w:r>
      <w:r w:rsidRPr="005E7859">
        <w:t>za 7,6 mio EUR, prav tako pa je pričakovana rast stroška tudi v letu 2018. Visoka rast stroškov amortizacije je posledica pretvorbe stroškov razv</w:t>
      </w:r>
      <w:r>
        <w:t>ijanja</w:t>
      </w:r>
      <w:r w:rsidRPr="005E7859">
        <w:t xml:space="preserve"> v </w:t>
      </w:r>
      <w:r>
        <w:t xml:space="preserve">neopredmetena </w:t>
      </w:r>
      <w:r w:rsidRPr="005E7859">
        <w:t>sredstva ter pospešenega investicijskega cikla v nove generacije izdelkov v preteklih obdobjih.</w:t>
      </w:r>
      <w:r>
        <w:t xml:space="preserve"> V letu 2018 smo za zvišanje amortizacije neopredmetenih osnovnih sredstev napovedali 5,2-odstotni delež kosmatega donosa, medtem ko je v letu 2017 ta delež znašal 5,1 %. </w:t>
      </w:r>
      <w:r w:rsidRPr="005E7859">
        <w:t>Od leta 201</w:t>
      </w:r>
      <w:r>
        <w:t>8</w:t>
      </w:r>
      <w:r w:rsidRPr="005E7859">
        <w:t xml:space="preserve"> dalje je predvideno znižanje stroška </w:t>
      </w:r>
      <w:r>
        <w:t>zaradi zmanjšanega vlaganja v razvoj, zato smo za nadaljnjo obdobje napovedali amortizacijo v višini 5 ter nato konstantno 4,5 % kosmatega donosa. Amortizacijo opredmetenih sredstev smo zaradi zmanjšanih investicij zmanjšali iz 11,34 na 11 % ter po letu 2020 na 10,50 % kosmatega donosa.</w:t>
      </w:r>
    </w:p>
    <w:p w14:paraId="30655E79" w14:textId="21AFD1FF" w:rsidR="00F851CC" w:rsidRDefault="00F851CC" w:rsidP="00F851CC">
      <w:pPr>
        <w:pStyle w:val="Napis"/>
        <w:keepNext/>
      </w:pPr>
      <w:bookmarkStart w:id="79" w:name="_Toc18964912"/>
      <w:r>
        <w:t xml:space="preserve">Slika </w:t>
      </w:r>
      <w:fldSimple w:instr=" SEQ Slika \* ARABIC ">
        <w:r w:rsidR="00325440">
          <w:rPr>
            <w:noProof/>
          </w:rPr>
          <w:t>22</w:t>
        </w:r>
      </w:fldSimple>
      <w:r>
        <w:t>: Amortizacija</w:t>
      </w:r>
      <w:bookmarkEnd w:id="79"/>
    </w:p>
    <w:p w14:paraId="3BE60D6B" w14:textId="77777777" w:rsidR="00F851CC" w:rsidRDefault="00F851CC" w:rsidP="00F851CC">
      <w:pPr>
        <w:pStyle w:val="Grafi"/>
        <w:rPr>
          <w:lang w:eastAsia="sl-SI"/>
        </w:rPr>
      </w:pPr>
      <w:r>
        <w:rPr>
          <w:lang w:eastAsia="sl-SI"/>
        </w:rPr>
        <w:drawing>
          <wp:inline distT="0" distB="0" distL="0" distR="0" wp14:anchorId="745208DE" wp14:editId="0A2B2EE1">
            <wp:extent cx="4572000" cy="2726307"/>
            <wp:effectExtent l="0" t="0" r="0" b="17145"/>
            <wp:docPr id="12" name="Grafikon 12">
              <a:extLst xmlns:a="http://schemas.openxmlformats.org/drawingml/2006/main">
                <a:ext uri="{FF2B5EF4-FFF2-40B4-BE49-F238E27FC236}">
                  <a16:creationId xmlns:a16="http://schemas.microsoft.com/office/drawing/2014/main" id="{AA8FE8EC-222F-43E3-9A3B-2E7682D40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39D83F6" w14:textId="77777777" w:rsidR="00F851CC" w:rsidRDefault="00F851CC" w:rsidP="00F851CC">
      <w:pPr>
        <w:pStyle w:val="Naslov3"/>
        <w:rPr>
          <w:lang w:eastAsia="sl-SI"/>
        </w:rPr>
      </w:pPr>
      <w:bookmarkStart w:id="80" w:name="_Toc18964882"/>
      <w:r>
        <w:rPr>
          <w:lang w:eastAsia="sl-SI"/>
        </w:rPr>
        <w:lastRenderedPageBreak/>
        <w:t>Investicije v obratna sredstva</w:t>
      </w:r>
      <w:bookmarkEnd w:id="80"/>
    </w:p>
    <w:p w14:paraId="4CDC2FC9" w14:textId="77777777" w:rsidR="00F851CC" w:rsidRDefault="00F851CC" w:rsidP="00F851CC">
      <w:pPr>
        <w:pStyle w:val="Brezrazmikov"/>
        <w:rPr>
          <w:lang w:eastAsia="sl-SI"/>
        </w:rPr>
      </w:pPr>
      <w:r w:rsidRPr="00A11154">
        <w:rPr>
          <w:lang w:eastAsia="sl-SI"/>
        </w:rPr>
        <w:t xml:space="preserve">Komponente neto obratnega kapitala </w:t>
      </w:r>
      <w:r>
        <w:rPr>
          <w:lang w:eastAsia="sl-SI"/>
        </w:rPr>
        <w:t xml:space="preserve">smo napovedali na podlagi kosmatega donosa iz poslovanja. Ker Skupina vedno več pozornosti posveča optimizaciji obratnega kapitala, predvsem z boljšim obvladovanjem zalog gotovih izdelkov in terjatev do kupcev, smo za prvi dve leti ocenjevanega obdobja vsako od sestavin obratnih sredstev napovedali še bolj optimalno, nato pa zaradi nepredvidljivih razmer na trgu ta obseg povečali. </w:t>
      </w:r>
    </w:p>
    <w:p w14:paraId="36220D6F" w14:textId="77777777" w:rsidR="00F851CC" w:rsidRDefault="00F851CC" w:rsidP="00F851CC">
      <w:pPr>
        <w:pStyle w:val="Brezrazmikov"/>
        <w:rPr>
          <w:lang w:eastAsia="sl-SI"/>
        </w:rPr>
      </w:pPr>
    </w:p>
    <w:p w14:paraId="536A25E1" w14:textId="6B445810" w:rsidR="00F851CC" w:rsidRDefault="00F851CC" w:rsidP="00F851CC">
      <w:pPr>
        <w:pStyle w:val="Brezrazmikov"/>
        <w:rPr>
          <w:lang w:eastAsia="sl-SI"/>
        </w:rPr>
      </w:pPr>
      <w:r w:rsidRPr="006032AC">
        <w:rPr>
          <w:lang w:eastAsia="sl-SI"/>
        </w:rPr>
        <w:t>Koliko podjetje letno vlaga v obratna sredstva</w:t>
      </w:r>
      <w:r>
        <w:rPr>
          <w:lang w:eastAsia="sl-SI"/>
        </w:rPr>
        <w:t>,</w:t>
      </w:r>
      <w:r w:rsidRPr="006032AC">
        <w:rPr>
          <w:lang w:eastAsia="sl-SI"/>
        </w:rPr>
        <w:t xml:space="preserve"> dobimo z razliko </w:t>
      </w:r>
      <w:r>
        <w:rPr>
          <w:lang w:eastAsia="sl-SI"/>
        </w:rPr>
        <w:t xml:space="preserve">neto obratnega kapitala med leti, pri čemer neto obratni kapital izračunamo tako, da seštejemo zaloge, terjatve do kupcev, ostala krat. sredstva ter denar in odštejemo obveznosti do dobaviteljev ter ostale krat. obveznosti. Iz </w:t>
      </w:r>
      <w:r w:rsidR="00CD0613">
        <w:rPr>
          <w:i/>
          <w:iCs/>
          <w:lang w:eastAsia="sl-SI"/>
        </w:rPr>
        <w:fldChar w:fldCharType="begin"/>
      </w:r>
      <w:r w:rsidR="00CD0613" w:rsidRPr="00CD0613">
        <w:rPr>
          <w:i/>
          <w:iCs/>
          <w:lang w:eastAsia="sl-SI"/>
        </w:rPr>
        <w:instrText xml:space="preserve"> REF  _Ref13422657 \* FirstCap \h  \* MERGEFORMAT </w:instrText>
      </w:r>
      <w:r w:rsidR="00CD0613">
        <w:rPr>
          <w:i/>
          <w:iCs/>
          <w:lang w:eastAsia="sl-SI"/>
        </w:rPr>
      </w:r>
      <w:r w:rsidR="00CD0613">
        <w:rPr>
          <w:i/>
          <w:iCs/>
          <w:lang w:eastAsia="sl-SI"/>
        </w:rPr>
        <w:fldChar w:fldCharType="separate"/>
      </w:r>
      <w:r w:rsidR="00CD0613" w:rsidRPr="00CD0613">
        <w:rPr>
          <w:i/>
          <w:iCs/>
        </w:rPr>
        <w:t>Slik</w:t>
      </w:r>
      <w:r w:rsidR="00CD0613">
        <w:rPr>
          <w:i/>
          <w:iCs/>
        </w:rPr>
        <w:t>e</w:t>
      </w:r>
      <w:r w:rsidR="00CD0613">
        <w:t xml:space="preserve"> </w:t>
      </w:r>
      <w:r w:rsidR="00CD0613">
        <w:rPr>
          <w:noProof/>
        </w:rPr>
        <w:t>23</w:t>
      </w:r>
      <w:r w:rsidR="00CD0613">
        <w:rPr>
          <w:i/>
          <w:iCs/>
          <w:lang w:eastAsia="sl-SI"/>
        </w:rPr>
        <w:fldChar w:fldCharType="end"/>
      </w:r>
      <w:r>
        <w:rPr>
          <w:lang w:eastAsia="sl-SI"/>
        </w:rPr>
        <w:t xml:space="preserve"> lahko vidimo, da so bile naložbe v obratna sredstva v letih od 2013 do 2015 močno negativne, kar pomeni, da so se optimizacije za zmanjševanje obratnega kapitala izkazale za učinkovite, saj se je ta zmanjšal na bolj optimalno raven. V nadaljnjem obdobju so se investicije v obratni kapital prilagajale potrebnemu obsegu za poslovanje. </w:t>
      </w:r>
    </w:p>
    <w:p w14:paraId="2A3BF850" w14:textId="45AA1B23" w:rsidR="00F851CC" w:rsidRDefault="00F851CC" w:rsidP="00F851CC">
      <w:pPr>
        <w:pStyle w:val="Napis"/>
        <w:keepNext/>
        <w:jc w:val="left"/>
      </w:pPr>
      <w:bookmarkStart w:id="81" w:name="_Ref13422657"/>
      <w:bookmarkStart w:id="82" w:name="_Toc18964913"/>
      <w:r>
        <w:t xml:space="preserve">Slika </w:t>
      </w:r>
      <w:fldSimple w:instr=" SEQ Slika \* ARABIC ">
        <w:r w:rsidR="00325440">
          <w:rPr>
            <w:noProof/>
          </w:rPr>
          <w:t>23</w:t>
        </w:r>
      </w:fldSimple>
      <w:bookmarkEnd w:id="81"/>
      <w:r>
        <w:t>: Investicije v obratni kapital</w:t>
      </w:r>
      <w:bookmarkEnd w:id="82"/>
    </w:p>
    <w:p w14:paraId="59B1EB27" w14:textId="77777777" w:rsidR="00F851CC" w:rsidRDefault="00F851CC" w:rsidP="00F851CC">
      <w:pPr>
        <w:pStyle w:val="Grafi"/>
        <w:rPr>
          <w:lang w:eastAsia="sl-SI"/>
        </w:rPr>
      </w:pPr>
      <w:r>
        <w:rPr>
          <w:lang w:eastAsia="sl-SI"/>
        </w:rPr>
        <w:drawing>
          <wp:inline distT="0" distB="0" distL="0" distR="0" wp14:anchorId="35B21587" wp14:editId="0BF0A0D5">
            <wp:extent cx="4541520" cy="2084070"/>
            <wp:effectExtent l="0" t="0" r="11430" b="11430"/>
            <wp:docPr id="26" name="Grafikon 26">
              <a:extLst xmlns:a="http://schemas.openxmlformats.org/drawingml/2006/main">
                <a:ext uri="{FF2B5EF4-FFF2-40B4-BE49-F238E27FC236}">
                  <a16:creationId xmlns:a16="http://schemas.microsoft.com/office/drawing/2014/main" id="{00000000-0008-0000-00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9972C0F" w14:textId="77777777" w:rsidR="00F851CC" w:rsidRDefault="00F851CC" w:rsidP="00F851CC">
      <w:pPr>
        <w:pStyle w:val="Naslov2"/>
        <w:rPr>
          <w:lang w:eastAsia="sl-SI"/>
        </w:rPr>
      </w:pPr>
      <w:bookmarkStart w:id="83" w:name="_Toc18964883"/>
      <w:r>
        <w:rPr>
          <w:lang w:eastAsia="sl-SI"/>
        </w:rPr>
        <w:t>Izračun FCFF</w:t>
      </w:r>
      <w:bookmarkEnd w:id="83"/>
    </w:p>
    <w:p w14:paraId="5781FCB6" w14:textId="465A1D8B" w:rsidR="00F851CC" w:rsidRDefault="00F851CC" w:rsidP="00F851CC">
      <w:pPr>
        <w:pStyle w:val="Brezrazmikov"/>
        <w:rPr>
          <w:lang w:eastAsia="sl-SI"/>
        </w:rPr>
      </w:pPr>
      <w:r>
        <w:rPr>
          <w:lang w:eastAsia="sl-SI"/>
        </w:rPr>
        <w:t xml:space="preserve">Za izračun vrednosti Skupine potrebujemo vrednost FCFF za vsako leto med 2018 in 2022. Te denarne tokove smo izračunali po </w:t>
      </w:r>
      <w:r w:rsidRPr="000C3BCB">
        <w:rPr>
          <w:lang w:eastAsia="sl-SI"/>
        </w:rPr>
        <w:t xml:space="preserve">enačbi </w:t>
      </w:r>
      <w:r>
        <w:rPr>
          <w:lang w:eastAsia="sl-SI"/>
        </w:rPr>
        <w:fldChar w:fldCharType="begin"/>
      </w:r>
      <w:r>
        <w:rPr>
          <w:lang w:eastAsia="sl-SI"/>
        </w:rPr>
        <w:instrText xml:space="preserve"> REF enacba1 \h </w:instrText>
      </w:r>
      <w:r>
        <w:rPr>
          <w:lang w:eastAsia="sl-SI"/>
        </w:rPr>
      </w:r>
      <w:r>
        <w:rPr>
          <w:lang w:eastAsia="sl-SI"/>
        </w:rPr>
        <w:fldChar w:fldCharType="separate"/>
      </w:r>
      <w:r w:rsidR="00325440">
        <w:rPr>
          <w:lang w:eastAsia="sl-SI"/>
        </w:rPr>
        <w:t>(</w:t>
      </w:r>
      <w:r w:rsidR="00325440">
        <w:rPr>
          <w:noProof/>
          <w:lang w:eastAsia="sl-SI"/>
        </w:rPr>
        <w:t>1</w:t>
      </w:r>
      <w:r w:rsidR="00325440">
        <w:rPr>
          <w:lang w:eastAsia="sl-SI"/>
        </w:rPr>
        <w:t>)</w:t>
      </w:r>
      <w:r>
        <w:rPr>
          <w:lang w:eastAsia="sl-SI"/>
        </w:rPr>
        <w:fldChar w:fldCharType="end"/>
      </w:r>
      <w:r w:rsidRPr="004B135E">
        <w:rPr>
          <w:lang w:eastAsia="sl-SI"/>
        </w:rPr>
        <w:t>, kje</w:t>
      </w:r>
      <w:r>
        <w:rPr>
          <w:lang w:eastAsia="sl-SI"/>
        </w:rPr>
        <w:t xml:space="preserve">r smo upoštevali napoved. Tako smo dobili: </w:t>
      </w:r>
    </w:p>
    <w:p w14:paraId="30C8B3FA" w14:textId="09654D4D" w:rsidR="00F851CC" w:rsidRDefault="00F851CC" w:rsidP="00F851CC">
      <w:pPr>
        <w:pStyle w:val="Napis"/>
        <w:keepNext/>
      </w:pPr>
      <w:bookmarkStart w:id="84" w:name="_Toc18964919"/>
      <w:r>
        <w:t xml:space="preserve">Tabela </w:t>
      </w:r>
      <w:fldSimple w:instr=" SEQ Tabela \* ARABIC ">
        <w:r w:rsidR="00325440">
          <w:rPr>
            <w:noProof/>
          </w:rPr>
          <w:t>4</w:t>
        </w:r>
      </w:fldSimple>
      <w:r>
        <w:t>: FCFF za obdobje 2013–2022</w:t>
      </w:r>
      <w:bookmarkEnd w:id="84"/>
    </w:p>
    <w:tbl>
      <w:tblPr>
        <w:tblW w:w="5000" w:type="pct"/>
        <w:tblLook w:val="04A0" w:firstRow="1" w:lastRow="0" w:firstColumn="1" w:lastColumn="0" w:noHBand="0" w:noVBand="1"/>
      </w:tblPr>
      <w:tblGrid>
        <w:gridCol w:w="4015"/>
        <w:gridCol w:w="1225"/>
        <w:gridCol w:w="1042"/>
        <w:gridCol w:w="1042"/>
        <w:gridCol w:w="1042"/>
        <w:gridCol w:w="1040"/>
      </w:tblGrid>
      <w:tr w:rsidR="00F851CC" w:rsidRPr="00207511" w14:paraId="61D07A7A" w14:textId="77777777" w:rsidTr="007A6126">
        <w:trPr>
          <w:trHeight w:val="300"/>
        </w:trPr>
        <w:tc>
          <w:tcPr>
            <w:tcW w:w="2134" w:type="pct"/>
            <w:tcBorders>
              <w:top w:val="nil"/>
              <w:left w:val="nil"/>
              <w:bottom w:val="single" w:sz="12" w:space="0" w:color="auto"/>
              <w:right w:val="nil"/>
            </w:tcBorders>
            <w:shd w:val="clear" w:color="auto" w:fill="auto"/>
            <w:noWrap/>
            <w:vAlign w:val="bottom"/>
            <w:hideMark/>
          </w:tcPr>
          <w:p w14:paraId="1EAD39D7" w14:textId="77777777" w:rsidR="00F851CC" w:rsidRPr="00207511" w:rsidRDefault="00F851CC" w:rsidP="007A6126">
            <w:pPr>
              <w:spacing w:after="0" w:line="240" w:lineRule="auto"/>
              <w:rPr>
                <w:rFonts w:eastAsia="Times New Roman" w:cs="Times New Roman"/>
                <w:b/>
                <w:bCs/>
                <w:color w:val="000000"/>
                <w:szCs w:val="24"/>
              </w:rPr>
            </w:pPr>
            <w:r w:rsidRPr="00207511">
              <w:rPr>
                <w:rFonts w:eastAsia="Times New Roman" w:cs="Times New Roman"/>
                <w:b/>
                <w:bCs/>
                <w:color w:val="000000"/>
                <w:szCs w:val="24"/>
              </w:rPr>
              <w:t>v 1000 EUR</w:t>
            </w:r>
          </w:p>
        </w:tc>
        <w:tc>
          <w:tcPr>
            <w:tcW w:w="651" w:type="pct"/>
            <w:tcBorders>
              <w:top w:val="nil"/>
              <w:left w:val="nil"/>
              <w:bottom w:val="single" w:sz="12" w:space="0" w:color="auto"/>
              <w:right w:val="nil"/>
            </w:tcBorders>
            <w:shd w:val="clear" w:color="auto" w:fill="auto"/>
            <w:noWrap/>
            <w:vAlign w:val="bottom"/>
            <w:hideMark/>
          </w:tcPr>
          <w:p w14:paraId="7690B389" w14:textId="77777777" w:rsidR="00F851CC" w:rsidRPr="00207511" w:rsidRDefault="00F851CC" w:rsidP="007A6126">
            <w:pPr>
              <w:spacing w:after="0" w:line="240" w:lineRule="auto"/>
              <w:jc w:val="right"/>
              <w:rPr>
                <w:rFonts w:eastAsia="Times New Roman" w:cs="Times New Roman"/>
                <w:b/>
                <w:bCs/>
                <w:color w:val="000000"/>
                <w:szCs w:val="24"/>
              </w:rPr>
            </w:pPr>
            <w:r w:rsidRPr="00207511">
              <w:rPr>
                <w:rFonts w:eastAsia="Times New Roman" w:cs="Times New Roman"/>
                <w:b/>
                <w:bCs/>
                <w:color w:val="000000"/>
                <w:szCs w:val="24"/>
              </w:rPr>
              <w:t>2013</w:t>
            </w:r>
          </w:p>
        </w:tc>
        <w:tc>
          <w:tcPr>
            <w:tcW w:w="554" w:type="pct"/>
            <w:tcBorders>
              <w:top w:val="nil"/>
              <w:left w:val="nil"/>
              <w:bottom w:val="single" w:sz="12" w:space="0" w:color="auto"/>
              <w:right w:val="nil"/>
            </w:tcBorders>
            <w:shd w:val="clear" w:color="auto" w:fill="auto"/>
            <w:noWrap/>
            <w:vAlign w:val="bottom"/>
            <w:hideMark/>
          </w:tcPr>
          <w:p w14:paraId="28448515" w14:textId="77777777" w:rsidR="00F851CC" w:rsidRPr="00207511" w:rsidRDefault="00F851CC" w:rsidP="007A6126">
            <w:pPr>
              <w:spacing w:after="0" w:line="240" w:lineRule="auto"/>
              <w:jc w:val="right"/>
              <w:rPr>
                <w:rFonts w:eastAsia="Times New Roman" w:cs="Times New Roman"/>
                <w:b/>
                <w:bCs/>
                <w:color w:val="000000"/>
                <w:szCs w:val="24"/>
              </w:rPr>
            </w:pPr>
            <w:r w:rsidRPr="00207511">
              <w:rPr>
                <w:rFonts w:eastAsia="Times New Roman" w:cs="Times New Roman"/>
                <w:b/>
                <w:bCs/>
                <w:color w:val="000000"/>
                <w:szCs w:val="24"/>
              </w:rPr>
              <w:t>2014</w:t>
            </w:r>
          </w:p>
        </w:tc>
        <w:tc>
          <w:tcPr>
            <w:tcW w:w="554" w:type="pct"/>
            <w:tcBorders>
              <w:top w:val="nil"/>
              <w:left w:val="nil"/>
              <w:bottom w:val="single" w:sz="12" w:space="0" w:color="auto"/>
              <w:right w:val="nil"/>
            </w:tcBorders>
            <w:shd w:val="clear" w:color="auto" w:fill="auto"/>
            <w:noWrap/>
            <w:vAlign w:val="bottom"/>
            <w:hideMark/>
          </w:tcPr>
          <w:p w14:paraId="67B24946" w14:textId="77777777" w:rsidR="00F851CC" w:rsidRPr="00207511" w:rsidRDefault="00F851CC" w:rsidP="007A6126">
            <w:pPr>
              <w:spacing w:after="0" w:line="240" w:lineRule="auto"/>
              <w:jc w:val="right"/>
              <w:rPr>
                <w:rFonts w:eastAsia="Times New Roman" w:cs="Times New Roman"/>
                <w:b/>
                <w:bCs/>
                <w:color w:val="000000"/>
                <w:szCs w:val="24"/>
              </w:rPr>
            </w:pPr>
            <w:r w:rsidRPr="00207511">
              <w:rPr>
                <w:rFonts w:eastAsia="Times New Roman" w:cs="Times New Roman"/>
                <w:b/>
                <w:bCs/>
                <w:color w:val="000000"/>
                <w:szCs w:val="24"/>
              </w:rPr>
              <w:t>2015</w:t>
            </w:r>
          </w:p>
        </w:tc>
        <w:tc>
          <w:tcPr>
            <w:tcW w:w="554" w:type="pct"/>
            <w:tcBorders>
              <w:top w:val="nil"/>
              <w:left w:val="nil"/>
              <w:bottom w:val="single" w:sz="12" w:space="0" w:color="auto"/>
              <w:right w:val="nil"/>
            </w:tcBorders>
            <w:shd w:val="clear" w:color="auto" w:fill="auto"/>
            <w:noWrap/>
            <w:vAlign w:val="bottom"/>
            <w:hideMark/>
          </w:tcPr>
          <w:p w14:paraId="3DB1E9AE" w14:textId="77777777" w:rsidR="00F851CC" w:rsidRPr="00207511" w:rsidRDefault="00F851CC" w:rsidP="007A6126">
            <w:pPr>
              <w:spacing w:after="0" w:line="240" w:lineRule="auto"/>
              <w:jc w:val="right"/>
              <w:rPr>
                <w:rFonts w:eastAsia="Times New Roman" w:cs="Times New Roman"/>
                <w:b/>
                <w:bCs/>
                <w:color w:val="000000"/>
                <w:szCs w:val="24"/>
              </w:rPr>
            </w:pPr>
            <w:r w:rsidRPr="00207511">
              <w:rPr>
                <w:rFonts w:eastAsia="Times New Roman" w:cs="Times New Roman"/>
                <w:b/>
                <w:bCs/>
                <w:color w:val="000000"/>
                <w:szCs w:val="24"/>
              </w:rPr>
              <w:t>2016</w:t>
            </w:r>
          </w:p>
        </w:tc>
        <w:tc>
          <w:tcPr>
            <w:tcW w:w="553" w:type="pct"/>
            <w:tcBorders>
              <w:top w:val="nil"/>
              <w:left w:val="nil"/>
              <w:bottom w:val="single" w:sz="12" w:space="0" w:color="auto"/>
              <w:right w:val="nil"/>
            </w:tcBorders>
            <w:shd w:val="clear" w:color="auto" w:fill="auto"/>
            <w:noWrap/>
            <w:vAlign w:val="bottom"/>
            <w:hideMark/>
          </w:tcPr>
          <w:p w14:paraId="6D5E9D96" w14:textId="77777777" w:rsidR="00F851CC" w:rsidRPr="00207511" w:rsidRDefault="00F851CC" w:rsidP="007A6126">
            <w:pPr>
              <w:spacing w:after="0" w:line="240" w:lineRule="auto"/>
              <w:jc w:val="right"/>
              <w:rPr>
                <w:rFonts w:eastAsia="Times New Roman" w:cs="Times New Roman"/>
                <w:b/>
                <w:bCs/>
                <w:color w:val="000000"/>
                <w:szCs w:val="24"/>
              </w:rPr>
            </w:pPr>
            <w:r w:rsidRPr="00207511">
              <w:rPr>
                <w:rFonts w:eastAsia="Times New Roman" w:cs="Times New Roman"/>
                <w:b/>
                <w:bCs/>
                <w:color w:val="000000"/>
                <w:szCs w:val="24"/>
              </w:rPr>
              <w:t>2017</w:t>
            </w:r>
          </w:p>
        </w:tc>
      </w:tr>
      <w:tr w:rsidR="00F851CC" w:rsidRPr="00207511" w14:paraId="0326D39F" w14:textId="77777777" w:rsidTr="007A6126">
        <w:trPr>
          <w:trHeight w:val="300"/>
        </w:trPr>
        <w:tc>
          <w:tcPr>
            <w:tcW w:w="2134" w:type="pct"/>
            <w:tcBorders>
              <w:top w:val="single" w:sz="12" w:space="0" w:color="auto"/>
              <w:left w:val="nil"/>
              <w:bottom w:val="nil"/>
              <w:right w:val="nil"/>
            </w:tcBorders>
            <w:shd w:val="clear" w:color="auto" w:fill="auto"/>
            <w:noWrap/>
            <w:vAlign w:val="bottom"/>
            <w:hideMark/>
          </w:tcPr>
          <w:p w14:paraId="15F7853F" w14:textId="77777777" w:rsidR="00F851CC" w:rsidRPr="00207511" w:rsidRDefault="00F851CC" w:rsidP="007A6126">
            <w:pPr>
              <w:spacing w:after="0" w:line="240" w:lineRule="auto"/>
              <w:rPr>
                <w:rFonts w:eastAsia="Times New Roman" w:cs="Times New Roman"/>
                <w:color w:val="000000"/>
                <w:szCs w:val="24"/>
              </w:rPr>
            </w:pPr>
            <w:r w:rsidRPr="00207511">
              <w:rPr>
                <w:rFonts w:eastAsia="Times New Roman" w:cs="Times New Roman"/>
                <w:color w:val="000000"/>
                <w:szCs w:val="24"/>
              </w:rPr>
              <w:t>EBIT * (1-T)</w:t>
            </w:r>
          </w:p>
        </w:tc>
        <w:tc>
          <w:tcPr>
            <w:tcW w:w="651" w:type="pct"/>
            <w:tcBorders>
              <w:top w:val="single" w:sz="12" w:space="0" w:color="auto"/>
              <w:left w:val="nil"/>
              <w:bottom w:val="nil"/>
              <w:right w:val="nil"/>
            </w:tcBorders>
            <w:shd w:val="clear" w:color="auto" w:fill="auto"/>
            <w:noWrap/>
            <w:vAlign w:val="bottom"/>
            <w:hideMark/>
          </w:tcPr>
          <w:p w14:paraId="53BF7D14"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23.947</w:t>
            </w:r>
          </w:p>
        </w:tc>
        <w:tc>
          <w:tcPr>
            <w:tcW w:w="554" w:type="pct"/>
            <w:tcBorders>
              <w:top w:val="single" w:sz="12" w:space="0" w:color="auto"/>
              <w:left w:val="nil"/>
              <w:bottom w:val="nil"/>
              <w:right w:val="nil"/>
            </w:tcBorders>
            <w:shd w:val="clear" w:color="auto" w:fill="auto"/>
            <w:noWrap/>
            <w:vAlign w:val="bottom"/>
            <w:hideMark/>
          </w:tcPr>
          <w:p w14:paraId="742E5522"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13.642</w:t>
            </w:r>
          </w:p>
        </w:tc>
        <w:tc>
          <w:tcPr>
            <w:tcW w:w="554" w:type="pct"/>
            <w:tcBorders>
              <w:top w:val="single" w:sz="12" w:space="0" w:color="auto"/>
              <w:left w:val="nil"/>
              <w:bottom w:val="nil"/>
              <w:right w:val="nil"/>
            </w:tcBorders>
            <w:shd w:val="clear" w:color="auto" w:fill="auto"/>
            <w:noWrap/>
            <w:vAlign w:val="bottom"/>
            <w:hideMark/>
          </w:tcPr>
          <w:p w14:paraId="3084F6A2"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-104</w:t>
            </w:r>
          </w:p>
        </w:tc>
        <w:tc>
          <w:tcPr>
            <w:tcW w:w="554" w:type="pct"/>
            <w:tcBorders>
              <w:top w:val="single" w:sz="12" w:space="0" w:color="auto"/>
              <w:left w:val="nil"/>
              <w:bottom w:val="nil"/>
              <w:right w:val="nil"/>
            </w:tcBorders>
            <w:shd w:val="clear" w:color="auto" w:fill="auto"/>
            <w:noWrap/>
            <w:vAlign w:val="bottom"/>
            <w:hideMark/>
          </w:tcPr>
          <w:p w14:paraId="77F6734C"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25.590</w:t>
            </w:r>
          </w:p>
        </w:tc>
        <w:tc>
          <w:tcPr>
            <w:tcW w:w="553" w:type="pct"/>
            <w:tcBorders>
              <w:top w:val="single" w:sz="12" w:space="0" w:color="auto"/>
              <w:left w:val="nil"/>
              <w:bottom w:val="nil"/>
              <w:right w:val="nil"/>
            </w:tcBorders>
            <w:shd w:val="clear" w:color="auto" w:fill="auto"/>
            <w:noWrap/>
            <w:vAlign w:val="bottom"/>
            <w:hideMark/>
          </w:tcPr>
          <w:p w14:paraId="44B231A1"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6.484</w:t>
            </w:r>
          </w:p>
        </w:tc>
      </w:tr>
      <w:tr w:rsidR="00F851CC" w:rsidRPr="00207511" w14:paraId="6BCA182C" w14:textId="77777777" w:rsidTr="007A6126">
        <w:trPr>
          <w:trHeight w:val="288"/>
        </w:trPr>
        <w:tc>
          <w:tcPr>
            <w:tcW w:w="2134" w:type="pct"/>
            <w:tcBorders>
              <w:top w:val="nil"/>
              <w:left w:val="nil"/>
              <w:bottom w:val="nil"/>
              <w:right w:val="nil"/>
            </w:tcBorders>
            <w:shd w:val="clear" w:color="auto" w:fill="auto"/>
            <w:noWrap/>
            <w:vAlign w:val="bottom"/>
            <w:hideMark/>
          </w:tcPr>
          <w:p w14:paraId="03911DFB" w14:textId="77777777" w:rsidR="00F851CC" w:rsidRPr="00207511" w:rsidRDefault="00F851CC" w:rsidP="007A6126">
            <w:pPr>
              <w:spacing w:after="0" w:line="240" w:lineRule="auto"/>
              <w:rPr>
                <w:rFonts w:eastAsia="Times New Roman" w:cs="Times New Roman"/>
                <w:color w:val="000000"/>
                <w:szCs w:val="24"/>
              </w:rPr>
            </w:pPr>
            <w:r w:rsidRPr="00207511">
              <w:rPr>
                <w:rFonts w:eastAsia="Times New Roman" w:cs="Times New Roman"/>
                <w:color w:val="000000"/>
                <w:szCs w:val="24"/>
              </w:rPr>
              <w:t>+amortizacija</w:t>
            </w:r>
          </w:p>
        </w:tc>
        <w:tc>
          <w:tcPr>
            <w:tcW w:w="651" w:type="pct"/>
            <w:tcBorders>
              <w:top w:val="nil"/>
              <w:left w:val="nil"/>
              <w:bottom w:val="nil"/>
              <w:right w:val="nil"/>
            </w:tcBorders>
            <w:shd w:val="clear" w:color="auto" w:fill="auto"/>
            <w:noWrap/>
            <w:vAlign w:val="bottom"/>
            <w:hideMark/>
          </w:tcPr>
          <w:p w14:paraId="7137E7E5"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41.875</w:t>
            </w:r>
          </w:p>
        </w:tc>
        <w:tc>
          <w:tcPr>
            <w:tcW w:w="554" w:type="pct"/>
            <w:tcBorders>
              <w:top w:val="nil"/>
              <w:left w:val="nil"/>
              <w:bottom w:val="nil"/>
              <w:right w:val="nil"/>
            </w:tcBorders>
            <w:shd w:val="clear" w:color="auto" w:fill="auto"/>
            <w:noWrap/>
            <w:vAlign w:val="bottom"/>
            <w:hideMark/>
          </w:tcPr>
          <w:p w14:paraId="08C8387E"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43.019</w:t>
            </w:r>
          </w:p>
        </w:tc>
        <w:tc>
          <w:tcPr>
            <w:tcW w:w="554" w:type="pct"/>
            <w:tcBorders>
              <w:top w:val="nil"/>
              <w:left w:val="nil"/>
              <w:bottom w:val="nil"/>
              <w:right w:val="nil"/>
            </w:tcBorders>
            <w:shd w:val="clear" w:color="auto" w:fill="auto"/>
            <w:noWrap/>
            <w:vAlign w:val="bottom"/>
            <w:hideMark/>
          </w:tcPr>
          <w:p w14:paraId="042BEB28"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45.644</w:t>
            </w:r>
          </w:p>
        </w:tc>
        <w:tc>
          <w:tcPr>
            <w:tcW w:w="554" w:type="pct"/>
            <w:tcBorders>
              <w:top w:val="nil"/>
              <w:left w:val="nil"/>
              <w:bottom w:val="nil"/>
              <w:right w:val="nil"/>
            </w:tcBorders>
            <w:shd w:val="clear" w:color="auto" w:fill="auto"/>
            <w:noWrap/>
            <w:vAlign w:val="bottom"/>
            <w:hideMark/>
          </w:tcPr>
          <w:p w14:paraId="23E9058C"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47.055</w:t>
            </w:r>
          </w:p>
        </w:tc>
        <w:tc>
          <w:tcPr>
            <w:tcW w:w="553" w:type="pct"/>
            <w:tcBorders>
              <w:top w:val="nil"/>
              <w:left w:val="nil"/>
              <w:bottom w:val="nil"/>
              <w:right w:val="nil"/>
            </w:tcBorders>
            <w:shd w:val="clear" w:color="auto" w:fill="auto"/>
            <w:noWrap/>
            <w:vAlign w:val="bottom"/>
            <w:hideMark/>
          </w:tcPr>
          <w:p w14:paraId="3D867F30"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54.676</w:t>
            </w:r>
          </w:p>
        </w:tc>
      </w:tr>
      <w:tr w:rsidR="00F851CC" w:rsidRPr="00207511" w14:paraId="61A3E0D2" w14:textId="77777777" w:rsidTr="007A6126">
        <w:trPr>
          <w:trHeight w:val="300"/>
        </w:trPr>
        <w:tc>
          <w:tcPr>
            <w:tcW w:w="2134" w:type="pct"/>
            <w:tcBorders>
              <w:top w:val="nil"/>
              <w:left w:val="nil"/>
              <w:right w:val="nil"/>
            </w:tcBorders>
            <w:shd w:val="clear" w:color="auto" w:fill="auto"/>
            <w:noWrap/>
            <w:vAlign w:val="bottom"/>
            <w:hideMark/>
          </w:tcPr>
          <w:p w14:paraId="430E319E" w14:textId="2BEA8532" w:rsidR="00F851CC" w:rsidRPr="00207511" w:rsidRDefault="00F851CC" w:rsidP="007A6126">
            <w:pPr>
              <w:spacing w:after="0" w:line="240" w:lineRule="auto"/>
              <w:rPr>
                <w:rFonts w:eastAsia="Times New Roman" w:cs="Times New Roman"/>
                <w:color w:val="000000"/>
                <w:szCs w:val="24"/>
              </w:rPr>
            </w:pPr>
            <w:r w:rsidRPr="00207511">
              <w:rPr>
                <w:rFonts w:eastAsia="Times New Roman" w:cs="Times New Roman"/>
                <w:color w:val="000000"/>
                <w:szCs w:val="24"/>
              </w:rPr>
              <w:t xml:space="preserve">-naložbe v </w:t>
            </w:r>
            <w:proofErr w:type="spellStart"/>
            <w:r w:rsidRPr="00207511">
              <w:rPr>
                <w:rFonts w:eastAsia="Times New Roman" w:cs="Times New Roman"/>
                <w:color w:val="000000"/>
                <w:szCs w:val="24"/>
              </w:rPr>
              <w:t>osn</w:t>
            </w:r>
            <w:proofErr w:type="spellEnd"/>
            <w:r w:rsidRPr="00207511">
              <w:rPr>
                <w:rFonts w:eastAsia="Times New Roman" w:cs="Times New Roman"/>
                <w:color w:val="000000"/>
                <w:szCs w:val="24"/>
              </w:rPr>
              <w:t xml:space="preserve">. </w:t>
            </w:r>
            <w:r w:rsidR="00061768">
              <w:rPr>
                <w:rFonts w:eastAsia="Times New Roman" w:cs="Times New Roman"/>
                <w:color w:val="000000"/>
                <w:szCs w:val="24"/>
              </w:rPr>
              <w:t>s</w:t>
            </w:r>
            <w:r w:rsidRPr="00207511">
              <w:rPr>
                <w:rFonts w:eastAsia="Times New Roman" w:cs="Times New Roman"/>
                <w:color w:val="000000"/>
                <w:szCs w:val="24"/>
              </w:rPr>
              <w:t>redstva</w:t>
            </w:r>
          </w:p>
        </w:tc>
        <w:tc>
          <w:tcPr>
            <w:tcW w:w="651" w:type="pct"/>
            <w:tcBorders>
              <w:top w:val="nil"/>
              <w:left w:val="nil"/>
              <w:right w:val="nil"/>
            </w:tcBorders>
            <w:shd w:val="clear" w:color="auto" w:fill="auto"/>
            <w:noWrap/>
            <w:vAlign w:val="bottom"/>
            <w:hideMark/>
          </w:tcPr>
          <w:p w14:paraId="129247F4"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83.910</w:t>
            </w:r>
          </w:p>
        </w:tc>
        <w:tc>
          <w:tcPr>
            <w:tcW w:w="554" w:type="pct"/>
            <w:tcBorders>
              <w:top w:val="nil"/>
              <w:left w:val="nil"/>
              <w:right w:val="nil"/>
            </w:tcBorders>
            <w:shd w:val="clear" w:color="auto" w:fill="auto"/>
            <w:noWrap/>
            <w:vAlign w:val="bottom"/>
            <w:hideMark/>
          </w:tcPr>
          <w:p w14:paraId="10DF0F0B"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61.644</w:t>
            </w:r>
          </w:p>
        </w:tc>
        <w:tc>
          <w:tcPr>
            <w:tcW w:w="554" w:type="pct"/>
            <w:tcBorders>
              <w:top w:val="nil"/>
              <w:left w:val="nil"/>
              <w:right w:val="nil"/>
            </w:tcBorders>
            <w:shd w:val="clear" w:color="auto" w:fill="auto"/>
            <w:noWrap/>
            <w:vAlign w:val="bottom"/>
            <w:hideMark/>
          </w:tcPr>
          <w:p w14:paraId="5850E3B3"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75.496</w:t>
            </w:r>
          </w:p>
        </w:tc>
        <w:tc>
          <w:tcPr>
            <w:tcW w:w="554" w:type="pct"/>
            <w:tcBorders>
              <w:top w:val="nil"/>
              <w:left w:val="nil"/>
              <w:right w:val="nil"/>
            </w:tcBorders>
            <w:shd w:val="clear" w:color="auto" w:fill="auto"/>
            <w:noWrap/>
            <w:vAlign w:val="bottom"/>
            <w:hideMark/>
          </w:tcPr>
          <w:p w14:paraId="323C278A"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83.231</w:t>
            </w:r>
          </w:p>
        </w:tc>
        <w:tc>
          <w:tcPr>
            <w:tcW w:w="553" w:type="pct"/>
            <w:tcBorders>
              <w:top w:val="nil"/>
              <w:left w:val="nil"/>
              <w:right w:val="nil"/>
            </w:tcBorders>
            <w:shd w:val="clear" w:color="auto" w:fill="auto"/>
            <w:noWrap/>
            <w:vAlign w:val="bottom"/>
            <w:hideMark/>
          </w:tcPr>
          <w:p w14:paraId="48C5A6FC"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75.699</w:t>
            </w:r>
          </w:p>
        </w:tc>
      </w:tr>
      <w:tr w:rsidR="00F851CC" w:rsidRPr="00207511" w14:paraId="26E3CB5F" w14:textId="77777777" w:rsidTr="007A6126">
        <w:trPr>
          <w:trHeight w:val="300"/>
        </w:trPr>
        <w:tc>
          <w:tcPr>
            <w:tcW w:w="2134" w:type="pct"/>
            <w:tcBorders>
              <w:top w:val="nil"/>
              <w:left w:val="nil"/>
              <w:bottom w:val="single" w:sz="12" w:space="0" w:color="auto"/>
              <w:right w:val="nil"/>
            </w:tcBorders>
            <w:shd w:val="clear" w:color="auto" w:fill="auto"/>
            <w:noWrap/>
            <w:vAlign w:val="bottom"/>
            <w:hideMark/>
          </w:tcPr>
          <w:p w14:paraId="66F4B8DF" w14:textId="77777777" w:rsidR="00F851CC" w:rsidRPr="00207511" w:rsidRDefault="00F851CC" w:rsidP="007A6126">
            <w:pPr>
              <w:spacing w:after="0" w:line="240" w:lineRule="auto"/>
              <w:rPr>
                <w:rFonts w:eastAsia="Times New Roman" w:cs="Times New Roman"/>
                <w:color w:val="000000"/>
                <w:szCs w:val="24"/>
              </w:rPr>
            </w:pPr>
            <w:r w:rsidRPr="00207511">
              <w:rPr>
                <w:rFonts w:eastAsia="Times New Roman" w:cs="Times New Roman"/>
                <w:color w:val="000000"/>
                <w:szCs w:val="24"/>
              </w:rPr>
              <w:t>-naložbe v obratni kapital</w:t>
            </w:r>
          </w:p>
        </w:tc>
        <w:tc>
          <w:tcPr>
            <w:tcW w:w="651" w:type="pct"/>
            <w:tcBorders>
              <w:top w:val="nil"/>
              <w:left w:val="nil"/>
              <w:bottom w:val="single" w:sz="12" w:space="0" w:color="auto"/>
              <w:right w:val="nil"/>
            </w:tcBorders>
            <w:shd w:val="clear" w:color="auto" w:fill="auto"/>
            <w:noWrap/>
            <w:vAlign w:val="bottom"/>
            <w:hideMark/>
          </w:tcPr>
          <w:p w14:paraId="55652205"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-35.238</w:t>
            </w:r>
          </w:p>
        </w:tc>
        <w:tc>
          <w:tcPr>
            <w:tcW w:w="554" w:type="pct"/>
            <w:tcBorders>
              <w:top w:val="nil"/>
              <w:left w:val="nil"/>
              <w:bottom w:val="single" w:sz="12" w:space="0" w:color="auto"/>
              <w:right w:val="nil"/>
            </w:tcBorders>
            <w:shd w:val="clear" w:color="auto" w:fill="auto"/>
            <w:noWrap/>
            <w:vAlign w:val="bottom"/>
            <w:hideMark/>
          </w:tcPr>
          <w:p w14:paraId="23D6FFF2"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-33.009</w:t>
            </w:r>
          </w:p>
        </w:tc>
        <w:tc>
          <w:tcPr>
            <w:tcW w:w="554" w:type="pct"/>
            <w:tcBorders>
              <w:top w:val="nil"/>
              <w:left w:val="nil"/>
              <w:bottom w:val="single" w:sz="12" w:space="0" w:color="auto"/>
              <w:right w:val="nil"/>
            </w:tcBorders>
            <w:shd w:val="clear" w:color="auto" w:fill="auto"/>
            <w:noWrap/>
            <w:vAlign w:val="bottom"/>
            <w:hideMark/>
          </w:tcPr>
          <w:p w14:paraId="0A25B07F"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-37.231</w:t>
            </w:r>
          </w:p>
        </w:tc>
        <w:tc>
          <w:tcPr>
            <w:tcW w:w="554" w:type="pct"/>
            <w:tcBorders>
              <w:top w:val="nil"/>
              <w:left w:val="nil"/>
              <w:bottom w:val="single" w:sz="12" w:space="0" w:color="auto"/>
              <w:right w:val="nil"/>
            </w:tcBorders>
            <w:shd w:val="clear" w:color="auto" w:fill="auto"/>
            <w:noWrap/>
            <w:vAlign w:val="bottom"/>
            <w:hideMark/>
          </w:tcPr>
          <w:p w14:paraId="62F0B9D9"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6.246</w:t>
            </w:r>
          </w:p>
        </w:tc>
        <w:tc>
          <w:tcPr>
            <w:tcW w:w="553" w:type="pct"/>
            <w:tcBorders>
              <w:top w:val="nil"/>
              <w:left w:val="nil"/>
              <w:bottom w:val="single" w:sz="12" w:space="0" w:color="auto"/>
              <w:right w:val="nil"/>
            </w:tcBorders>
            <w:shd w:val="clear" w:color="auto" w:fill="auto"/>
            <w:noWrap/>
            <w:vAlign w:val="bottom"/>
            <w:hideMark/>
          </w:tcPr>
          <w:p w14:paraId="48169F23" w14:textId="77777777" w:rsidR="00F851CC" w:rsidRPr="00CE79C4" w:rsidRDefault="00F851CC" w:rsidP="007A6126">
            <w:pPr>
              <w:spacing w:after="0" w:line="240" w:lineRule="auto"/>
              <w:jc w:val="right"/>
              <w:rPr>
                <w:rFonts w:eastAsia="Times New Roman" w:cs="Times New Roman"/>
                <w:color w:val="000000"/>
                <w:szCs w:val="24"/>
              </w:rPr>
            </w:pPr>
            <w:r w:rsidRPr="00CE79C4">
              <w:rPr>
                <w:rFonts w:eastAsia="Times New Roman" w:cs="Times New Roman"/>
                <w:color w:val="000000"/>
                <w:szCs w:val="24"/>
              </w:rPr>
              <w:t>-11.832</w:t>
            </w:r>
          </w:p>
        </w:tc>
      </w:tr>
      <w:tr w:rsidR="00F851CC" w:rsidRPr="00207511" w14:paraId="7971646C" w14:textId="77777777" w:rsidTr="007A6126">
        <w:trPr>
          <w:trHeight w:val="300"/>
        </w:trPr>
        <w:tc>
          <w:tcPr>
            <w:tcW w:w="2134" w:type="pct"/>
            <w:tcBorders>
              <w:top w:val="single" w:sz="12" w:space="0" w:color="auto"/>
              <w:left w:val="nil"/>
              <w:bottom w:val="single" w:sz="12" w:space="0" w:color="auto"/>
              <w:right w:val="nil"/>
            </w:tcBorders>
            <w:shd w:val="clear" w:color="auto" w:fill="auto"/>
            <w:noWrap/>
            <w:vAlign w:val="bottom"/>
            <w:hideMark/>
          </w:tcPr>
          <w:p w14:paraId="0BFDC432" w14:textId="77777777" w:rsidR="00F851CC" w:rsidRPr="00207511" w:rsidRDefault="00F851CC" w:rsidP="007A6126">
            <w:pPr>
              <w:spacing w:after="0" w:line="240" w:lineRule="auto"/>
              <w:rPr>
                <w:rFonts w:eastAsia="Times New Roman" w:cs="Times New Roman"/>
                <w:b/>
                <w:bCs/>
                <w:color w:val="000000"/>
                <w:szCs w:val="24"/>
              </w:rPr>
            </w:pPr>
            <w:r w:rsidRPr="00207511">
              <w:rPr>
                <w:rFonts w:eastAsia="Times New Roman" w:cs="Times New Roman"/>
                <w:b/>
                <w:bCs/>
                <w:color w:val="000000"/>
                <w:szCs w:val="24"/>
              </w:rPr>
              <w:t>FCFF</w:t>
            </w:r>
          </w:p>
        </w:tc>
        <w:tc>
          <w:tcPr>
            <w:tcW w:w="651" w:type="pct"/>
            <w:tcBorders>
              <w:top w:val="single" w:sz="12" w:space="0" w:color="auto"/>
              <w:left w:val="nil"/>
              <w:bottom w:val="single" w:sz="12" w:space="0" w:color="auto"/>
              <w:right w:val="nil"/>
            </w:tcBorders>
            <w:shd w:val="clear" w:color="auto" w:fill="auto"/>
            <w:noWrap/>
            <w:vAlign w:val="bottom"/>
            <w:hideMark/>
          </w:tcPr>
          <w:p w14:paraId="215C6CFC" w14:textId="77777777" w:rsidR="00F851CC" w:rsidRPr="00CE79C4" w:rsidRDefault="00F851CC" w:rsidP="007A6126">
            <w:pPr>
              <w:spacing w:after="0" w:line="240" w:lineRule="auto"/>
              <w:jc w:val="right"/>
              <w:rPr>
                <w:rFonts w:eastAsia="Times New Roman" w:cs="Times New Roman"/>
                <w:b/>
                <w:bCs/>
                <w:color w:val="000000"/>
                <w:szCs w:val="24"/>
              </w:rPr>
            </w:pPr>
            <w:r w:rsidRPr="00CE79C4">
              <w:rPr>
                <w:rFonts w:eastAsia="Times New Roman" w:cs="Times New Roman"/>
                <w:b/>
                <w:bCs/>
                <w:color w:val="000000"/>
                <w:szCs w:val="24"/>
              </w:rPr>
              <w:t>17.149</w:t>
            </w:r>
          </w:p>
        </w:tc>
        <w:tc>
          <w:tcPr>
            <w:tcW w:w="554" w:type="pct"/>
            <w:tcBorders>
              <w:top w:val="single" w:sz="12" w:space="0" w:color="auto"/>
              <w:left w:val="nil"/>
              <w:bottom w:val="single" w:sz="12" w:space="0" w:color="auto"/>
              <w:right w:val="nil"/>
            </w:tcBorders>
            <w:shd w:val="clear" w:color="auto" w:fill="auto"/>
            <w:noWrap/>
            <w:vAlign w:val="bottom"/>
            <w:hideMark/>
          </w:tcPr>
          <w:p w14:paraId="71CDC993" w14:textId="77777777" w:rsidR="00F851CC" w:rsidRPr="00CE79C4" w:rsidRDefault="00F851CC" w:rsidP="007A6126">
            <w:pPr>
              <w:spacing w:after="0" w:line="240" w:lineRule="auto"/>
              <w:jc w:val="right"/>
              <w:rPr>
                <w:rFonts w:eastAsia="Times New Roman" w:cs="Times New Roman"/>
                <w:b/>
                <w:bCs/>
                <w:color w:val="000000"/>
                <w:szCs w:val="24"/>
              </w:rPr>
            </w:pPr>
            <w:r w:rsidRPr="00CE79C4">
              <w:rPr>
                <w:rFonts w:eastAsia="Times New Roman" w:cs="Times New Roman"/>
                <w:b/>
                <w:bCs/>
                <w:color w:val="000000"/>
                <w:szCs w:val="24"/>
              </w:rPr>
              <w:t>28.026</w:t>
            </w:r>
          </w:p>
        </w:tc>
        <w:tc>
          <w:tcPr>
            <w:tcW w:w="554" w:type="pct"/>
            <w:tcBorders>
              <w:top w:val="single" w:sz="12" w:space="0" w:color="auto"/>
              <w:left w:val="nil"/>
              <w:bottom w:val="single" w:sz="12" w:space="0" w:color="auto"/>
              <w:right w:val="nil"/>
            </w:tcBorders>
            <w:shd w:val="clear" w:color="auto" w:fill="auto"/>
            <w:noWrap/>
            <w:vAlign w:val="bottom"/>
            <w:hideMark/>
          </w:tcPr>
          <w:p w14:paraId="7EBAF7EC" w14:textId="77777777" w:rsidR="00F851CC" w:rsidRPr="00CE79C4" w:rsidRDefault="00F851CC" w:rsidP="007A6126">
            <w:pPr>
              <w:spacing w:after="0" w:line="240" w:lineRule="auto"/>
              <w:jc w:val="right"/>
              <w:rPr>
                <w:rFonts w:eastAsia="Times New Roman" w:cs="Times New Roman"/>
                <w:b/>
                <w:bCs/>
                <w:color w:val="000000"/>
                <w:szCs w:val="24"/>
              </w:rPr>
            </w:pPr>
            <w:r w:rsidRPr="00CE79C4">
              <w:rPr>
                <w:rFonts w:eastAsia="Times New Roman" w:cs="Times New Roman"/>
                <w:b/>
                <w:bCs/>
                <w:color w:val="000000"/>
                <w:szCs w:val="24"/>
              </w:rPr>
              <w:t>7.275</w:t>
            </w:r>
          </w:p>
        </w:tc>
        <w:tc>
          <w:tcPr>
            <w:tcW w:w="554" w:type="pct"/>
            <w:tcBorders>
              <w:top w:val="single" w:sz="12" w:space="0" w:color="auto"/>
              <w:left w:val="nil"/>
              <w:bottom w:val="single" w:sz="12" w:space="0" w:color="auto"/>
              <w:right w:val="nil"/>
            </w:tcBorders>
            <w:shd w:val="clear" w:color="auto" w:fill="auto"/>
            <w:noWrap/>
            <w:vAlign w:val="bottom"/>
            <w:hideMark/>
          </w:tcPr>
          <w:p w14:paraId="65C60BBF" w14:textId="77777777" w:rsidR="00F851CC" w:rsidRPr="00CE79C4" w:rsidRDefault="00F851CC" w:rsidP="007A6126">
            <w:pPr>
              <w:spacing w:after="0" w:line="240" w:lineRule="auto"/>
              <w:jc w:val="right"/>
              <w:rPr>
                <w:rFonts w:eastAsia="Times New Roman" w:cs="Times New Roman"/>
                <w:b/>
                <w:bCs/>
                <w:color w:val="000000"/>
                <w:szCs w:val="24"/>
              </w:rPr>
            </w:pPr>
            <w:r w:rsidRPr="00CE79C4">
              <w:rPr>
                <w:rFonts w:eastAsia="Times New Roman" w:cs="Times New Roman"/>
                <w:b/>
                <w:bCs/>
                <w:color w:val="000000"/>
                <w:szCs w:val="24"/>
              </w:rPr>
              <w:t>-16.832</w:t>
            </w:r>
          </w:p>
        </w:tc>
        <w:tc>
          <w:tcPr>
            <w:tcW w:w="553" w:type="pct"/>
            <w:tcBorders>
              <w:top w:val="single" w:sz="12" w:space="0" w:color="auto"/>
              <w:left w:val="nil"/>
              <w:bottom w:val="single" w:sz="12" w:space="0" w:color="auto"/>
              <w:right w:val="nil"/>
            </w:tcBorders>
            <w:shd w:val="clear" w:color="auto" w:fill="auto"/>
            <w:noWrap/>
            <w:vAlign w:val="bottom"/>
            <w:hideMark/>
          </w:tcPr>
          <w:p w14:paraId="79BD97B1" w14:textId="77777777" w:rsidR="00F851CC" w:rsidRPr="00CE79C4" w:rsidRDefault="00F851CC" w:rsidP="007A6126">
            <w:pPr>
              <w:spacing w:after="0" w:line="240" w:lineRule="auto"/>
              <w:jc w:val="right"/>
              <w:rPr>
                <w:rFonts w:eastAsia="Times New Roman" w:cs="Times New Roman"/>
                <w:b/>
                <w:bCs/>
                <w:color w:val="000000"/>
                <w:szCs w:val="24"/>
              </w:rPr>
            </w:pPr>
            <w:r w:rsidRPr="00CE79C4">
              <w:rPr>
                <w:rFonts w:eastAsia="Times New Roman" w:cs="Times New Roman"/>
                <w:b/>
                <w:bCs/>
                <w:color w:val="000000"/>
                <w:szCs w:val="24"/>
              </w:rPr>
              <w:t>-2.707</w:t>
            </w:r>
          </w:p>
        </w:tc>
      </w:tr>
      <w:tr w:rsidR="00F851CC" w:rsidRPr="00466760" w14:paraId="5213B968" w14:textId="77777777" w:rsidTr="007A6126">
        <w:trPr>
          <w:trHeight w:val="300"/>
        </w:trPr>
        <w:tc>
          <w:tcPr>
            <w:tcW w:w="2134" w:type="pct"/>
            <w:tcBorders>
              <w:left w:val="nil"/>
              <w:bottom w:val="single" w:sz="12" w:space="0" w:color="auto"/>
              <w:right w:val="nil"/>
            </w:tcBorders>
            <w:shd w:val="clear" w:color="auto" w:fill="auto"/>
            <w:noWrap/>
            <w:vAlign w:val="bottom"/>
          </w:tcPr>
          <w:p w14:paraId="0E267EA5" w14:textId="77777777" w:rsidR="00F851CC" w:rsidRPr="00466760" w:rsidRDefault="00F851CC" w:rsidP="007A6126">
            <w:pPr>
              <w:spacing w:after="0" w:line="240" w:lineRule="auto"/>
              <w:rPr>
                <w:rFonts w:eastAsia="Times New Roman" w:cs="Times New Roman"/>
                <w:b/>
                <w:bCs/>
                <w:color w:val="000000"/>
                <w:szCs w:val="24"/>
              </w:rPr>
            </w:pPr>
            <w:r w:rsidRPr="00466760">
              <w:rPr>
                <w:rFonts w:eastAsia="Times New Roman" w:cs="Times New Roman"/>
                <w:b/>
                <w:bCs/>
                <w:color w:val="000000"/>
                <w:szCs w:val="24"/>
              </w:rPr>
              <w:lastRenderedPageBreak/>
              <w:t>v 1000 EUR</w:t>
            </w:r>
          </w:p>
        </w:tc>
        <w:tc>
          <w:tcPr>
            <w:tcW w:w="651" w:type="pct"/>
            <w:tcBorders>
              <w:left w:val="nil"/>
              <w:bottom w:val="single" w:sz="12" w:space="0" w:color="auto"/>
              <w:right w:val="nil"/>
            </w:tcBorders>
            <w:shd w:val="clear" w:color="auto" w:fill="auto"/>
            <w:noWrap/>
            <w:vAlign w:val="bottom"/>
          </w:tcPr>
          <w:p w14:paraId="75D539B5" w14:textId="77777777" w:rsidR="00F851CC" w:rsidRPr="00466760" w:rsidRDefault="00F851CC" w:rsidP="007A6126">
            <w:pPr>
              <w:spacing w:after="0" w:line="240" w:lineRule="auto"/>
              <w:jc w:val="right"/>
              <w:rPr>
                <w:rFonts w:eastAsia="Times New Roman" w:cs="Times New Roman"/>
                <w:b/>
                <w:bCs/>
                <w:color w:val="000000"/>
                <w:szCs w:val="24"/>
              </w:rPr>
            </w:pPr>
            <w:r w:rsidRPr="00466760">
              <w:rPr>
                <w:rFonts w:eastAsia="Times New Roman" w:cs="Times New Roman"/>
                <w:b/>
                <w:bCs/>
                <w:color w:val="000000"/>
                <w:szCs w:val="24"/>
              </w:rPr>
              <w:t>2018</w:t>
            </w:r>
          </w:p>
        </w:tc>
        <w:tc>
          <w:tcPr>
            <w:tcW w:w="554" w:type="pct"/>
            <w:tcBorders>
              <w:left w:val="nil"/>
              <w:bottom w:val="single" w:sz="12" w:space="0" w:color="auto"/>
              <w:right w:val="nil"/>
            </w:tcBorders>
            <w:shd w:val="clear" w:color="auto" w:fill="auto"/>
            <w:noWrap/>
            <w:vAlign w:val="bottom"/>
          </w:tcPr>
          <w:p w14:paraId="1013D6AF" w14:textId="77777777" w:rsidR="00F851CC" w:rsidRPr="00466760" w:rsidRDefault="00F851CC" w:rsidP="007A6126">
            <w:pPr>
              <w:spacing w:after="0" w:line="240" w:lineRule="auto"/>
              <w:jc w:val="right"/>
              <w:rPr>
                <w:rFonts w:eastAsia="Times New Roman" w:cs="Times New Roman"/>
                <w:b/>
                <w:bCs/>
                <w:color w:val="000000"/>
                <w:szCs w:val="24"/>
              </w:rPr>
            </w:pPr>
            <w:r w:rsidRPr="00466760">
              <w:rPr>
                <w:rFonts w:eastAsia="Times New Roman" w:cs="Times New Roman"/>
                <w:b/>
                <w:bCs/>
                <w:color w:val="000000"/>
                <w:szCs w:val="24"/>
              </w:rPr>
              <w:t>2019</w:t>
            </w:r>
          </w:p>
        </w:tc>
        <w:tc>
          <w:tcPr>
            <w:tcW w:w="554" w:type="pct"/>
            <w:tcBorders>
              <w:left w:val="nil"/>
              <w:bottom w:val="single" w:sz="12" w:space="0" w:color="auto"/>
              <w:right w:val="nil"/>
            </w:tcBorders>
            <w:shd w:val="clear" w:color="auto" w:fill="auto"/>
            <w:noWrap/>
            <w:vAlign w:val="bottom"/>
          </w:tcPr>
          <w:p w14:paraId="641FA9D9" w14:textId="77777777" w:rsidR="00F851CC" w:rsidRPr="00466760" w:rsidRDefault="00F851CC" w:rsidP="007A6126">
            <w:pPr>
              <w:spacing w:after="0" w:line="240" w:lineRule="auto"/>
              <w:jc w:val="right"/>
              <w:rPr>
                <w:rFonts w:eastAsia="Times New Roman" w:cs="Times New Roman"/>
                <w:b/>
                <w:bCs/>
                <w:color w:val="000000"/>
                <w:szCs w:val="24"/>
              </w:rPr>
            </w:pPr>
            <w:r w:rsidRPr="00466760">
              <w:rPr>
                <w:rFonts w:eastAsia="Times New Roman" w:cs="Times New Roman"/>
                <w:b/>
                <w:bCs/>
                <w:color w:val="000000"/>
                <w:szCs w:val="24"/>
              </w:rPr>
              <w:t>2020</w:t>
            </w:r>
          </w:p>
        </w:tc>
        <w:tc>
          <w:tcPr>
            <w:tcW w:w="554" w:type="pct"/>
            <w:tcBorders>
              <w:left w:val="nil"/>
              <w:bottom w:val="single" w:sz="12" w:space="0" w:color="auto"/>
              <w:right w:val="nil"/>
            </w:tcBorders>
            <w:shd w:val="clear" w:color="auto" w:fill="auto"/>
            <w:noWrap/>
            <w:vAlign w:val="bottom"/>
          </w:tcPr>
          <w:p w14:paraId="2DC3E577" w14:textId="77777777" w:rsidR="00F851CC" w:rsidRDefault="00F851CC" w:rsidP="007A6126">
            <w:pPr>
              <w:spacing w:after="0" w:line="240" w:lineRule="auto"/>
              <w:jc w:val="right"/>
              <w:rPr>
                <w:rFonts w:eastAsia="Times New Roman" w:cs="Times New Roman"/>
                <w:b/>
                <w:bCs/>
                <w:color w:val="000000"/>
                <w:szCs w:val="24"/>
              </w:rPr>
            </w:pPr>
          </w:p>
          <w:p w14:paraId="4F46D4D4" w14:textId="77777777" w:rsidR="00F851CC" w:rsidRPr="00466760" w:rsidRDefault="00F851CC" w:rsidP="007A6126">
            <w:pPr>
              <w:spacing w:after="0" w:line="240" w:lineRule="auto"/>
              <w:jc w:val="right"/>
              <w:rPr>
                <w:rFonts w:eastAsia="Times New Roman" w:cs="Times New Roman"/>
                <w:b/>
                <w:bCs/>
                <w:color w:val="000000"/>
                <w:szCs w:val="24"/>
              </w:rPr>
            </w:pPr>
            <w:r w:rsidRPr="00466760">
              <w:rPr>
                <w:rFonts w:eastAsia="Times New Roman" w:cs="Times New Roman"/>
                <w:b/>
                <w:bCs/>
                <w:color w:val="000000"/>
                <w:szCs w:val="24"/>
              </w:rPr>
              <w:t>2021</w:t>
            </w:r>
          </w:p>
        </w:tc>
        <w:tc>
          <w:tcPr>
            <w:tcW w:w="553" w:type="pct"/>
            <w:tcBorders>
              <w:left w:val="nil"/>
              <w:bottom w:val="single" w:sz="12" w:space="0" w:color="auto"/>
              <w:right w:val="nil"/>
            </w:tcBorders>
            <w:shd w:val="clear" w:color="auto" w:fill="auto"/>
            <w:noWrap/>
            <w:vAlign w:val="bottom"/>
          </w:tcPr>
          <w:p w14:paraId="6B5FB79C" w14:textId="77777777" w:rsidR="00F851CC" w:rsidRPr="00466760" w:rsidRDefault="00F851CC" w:rsidP="007A6126">
            <w:pPr>
              <w:spacing w:after="0" w:line="240" w:lineRule="auto"/>
              <w:jc w:val="right"/>
              <w:rPr>
                <w:rFonts w:eastAsia="Times New Roman" w:cs="Times New Roman"/>
                <w:b/>
                <w:bCs/>
                <w:color w:val="000000"/>
                <w:szCs w:val="24"/>
              </w:rPr>
            </w:pPr>
            <w:r w:rsidRPr="00466760">
              <w:rPr>
                <w:rFonts w:eastAsia="Times New Roman" w:cs="Times New Roman"/>
                <w:b/>
                <w:bCs/>
                <w:color w:val="000000"/>
                <w:szCs w:val="24"/>
              </w:rPr>
              <w:t>2022</w:t>
            </w:r>
          </w:p>
        </w:tc>
      </w:tr>
      <w:tr w:rsidR="00F851CC" w:rsidRPr="00CE79C4" w14:paraId="21555E4F" w14:textId="77777777" w:rsidTr="007A6126">
        <w:trPr>
          <w:trHeight w:val="300"/>
        </w:trPr>
        <w:tc>
          <w:tcPr>
            <w:tcW w:w="2134" w:type="pct"/>
            <w:tcBorders>
              <w:top w:val="single" w:sz="12" w:space="0" w:color="auto"/>
              <w:left w:val="nil"/>
              <w:right w:val="nil"/>
            </w:tcBorders>
            <w:shd w:val="clear" w:color="auto" w:fill="auto"/>
            <w:noWrap/>
            <w:vAlign w:val="bottom"/>
          </w:tcPr>
          <w:p w14:paraId="59BCAD9C"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EBIT * (1-T)</w:t>
            </w:r>
          </w:p>
        </w:tc>
        <w:tc>
          <w:tcPr>
            <w:tcW w:w="651" w:type="pct"/>
            <w:tcBorders>
              <w:top w:val="single" w:sz="12" w:space="0" w:color="auto"/>
              <w:left w:val="nil"/>
              <w:right w:val="nil"/>
            </w:tcBorders>
            <w:shd w:val="clear" w:color="auto" w:fill="auto"/>
            <w:noWrap/>
            <w:vAlign w:val="bottom"/>
          </w:tcPr>
          <w:p w14:paraId="365D29E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39.403</w:t>
            </w:r>
          </w:p>
        </w:tc>
        <w:tc>
          <w:tcPr>
            <w:tcW w:w="554" w:type="pct"/>
            <w:tcBorders>
              <w:top w:val="single" w:sz="12" w:space="0" w:color="auto"/>
              <w:left w:val="nil"/>
              <w:right w:val="nil"/>
            </w:tcBorders>
            <w:shd w:val="clear" w:color="auto" w:fill="auto"/>
            <w:noWrap/>
            <w:vAlign w:val="bottom"/>
          </w:tcPr>
          <w:p w14:paraId="2F1DD398"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29.602</w:t>
            </w:r>
          </w:p>
        </w:tc>
        <w:tc>
          <w:tcPr>
            <w:tcW w:w="554" w:type="pct"/>
            <w:tcBorders>
              <w:top w:val="single" w:sz="12" w:space="0" w:color="auto"/>
              <w:left w:val="nil"/>
              <w:right w:val="nil"/>
            </w:tcBorders>
            <w:shd w:val="clear" w:color="auto" w:fill="auto"/>
            <w:noWrap/>
            <w:vAlign w:val="bottom"/>
          </w:tcPr>
          <w:p w14:paraId="264B430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47.048</w:t>
            </w:r>
          </w:p>
        </w:tc>
        <w:tc>
          <w:tcPr>
            <w:tcW w:w="554" w:type="pct"/>
            <w:tcBorders>
              <w:top w:val="single" w:sz="12" w:space="0" w:color="auto"/>
              <w:left w:val="nil"/>
              <w:right w:val="nil"/>
            </w:tcBorders>
            <w:shd w:val="clear" w:color="auto" w:fill="auto"/>
            <w:noWrap/>
            <w:vAlign w:val="bottom"/>
          </w:tcPr>
          <w:p w14:paraId="3057A1C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47.763</w:t>
            </w:r>
          </w:p>
        </w:tc>
        <w:tc>
          <w:tcPr>
            <w:tcW w:w="553" w:type="pct"/>
            <w:tcBorders>
              <w:top w:val="single" w:sz="12" w:space="0" w:color="auto"/>
              <w:left w:val="nil"/>
              <w:right w:val="nil"/>
            </w:tcBorders>
            <w:shd w:val="clear" w:color="auto" w:fill="auto"/>
            <w:noWrap/>
            <w:vAlign w:val="bottom"/>
          </w:tcPr>
          <w:p w14:paraId="2CE67CF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47.442</w:t>
            </w:r>
          </w:p>
        </w:tc>
      </w:tr>
      <w:tr w:rsidR="00F851CC" w:rsidRPr="00CE79C4" w14:paraId="4CFA81FA" w14:textId="77777777" w:rsidTr="007A6126">
        <w:trPr>
          <w:trHeight w:val="300"/>
        </w:trPr>
        <w:tc>
          <w:tcPr>
            <w:tcW w:w="2134" w:type="pct"/>
            <w:tcBorders>
              <w:top w:val="nil"/>
              <w:left w:val="nil"/>
              <w:right w:val="nil"/>
            </w:tcBorders>
            <w:shd w:val="clear" w:color="auto" w:fill="auto"/>
            <w:noWrap/>
            <w:vAlign w:val="bottom"/>
          </w:tcPr>
          <w:p w14:paraId="630FCE38"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+amortizacija</w:t>
            </w:r>
          </w:p>
        </w:tc>
        <w:tc>
          <w:tcPr>
            <w:tcW w:w="651" w:type="pct"/>
            <w:tcBorders>
              <w:top w:val="nil"/>
              <w:left w:val="nil"/>
              <w:right w:val="nil"/>
            </w:tcBorders>
            <w:shd w:val="clear" w:color="auto" w:fill="auto"/>
            <w:noWrap/>
            <w:vAlign w:val="bottom"/>
          </w:tcPr>
          <w:p w14:paraId="70672C28"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54.552</w:t>
            </w:r>
          </w:p>
        </w:tc>
        <w:tc>
          <w:tcPr>
            <w:tcW w:w="554" w:type="pct"/>
            <w:tcBorders>
              <w:top w:val="nil"/>
              <w:left w:val="nil"/>
              <w:right w:val="nil"/>
            </w:tcBorders>
            <w:shd w:val="clear" w:color="auto" w:fill="auto"/>
            <w:noWrap/>
            <w:vAlign w:val="bottom"/>
          </w:tcPr>
          <w:p w14:paraId="4115F75D"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54.004</w:t>
            </w:r>
          </w:p>
        </w:tc>
        <w:tc>
          <w:tcPr>
            <w:tcW w:w="554" w:type="pct"/>
            <w:tcBorders>
              <w:top w:val="nil"/>
              <w:left w:val="nil"/>
              <w:right w:val="nil"/>
            </w:tcBorders>
            <w:shd w:val="clear" w:color="auto" w:fill="auto"/>
            <w:noWrap/>
            <w:vAlign w:val="bottom"/>
          </w:tcPr>
          <w:p w14:paraId="02BF75F1"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51.452</w:t>
            </w:r>
          </w:p>
        </w:tc>
        <w:tc>
          <w:tcPr>
            <w:tcW w:w="554" w:type="pct"/>
            <w:tcBorders>
              <w:top w:val="nil"/>
              <w:left w:val="nil"/>
              <w:right w:val="nil"/>
            </w:tcBorders>
            <w:shd w:val="clear" w:color="auto" w:fill="auto"/>
            <w:noWrap/>
            <w:vAlign w:val="bottom"/>
          </w:tcPr>
          <w:p w14:paraId="061C5926"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52.018</w:t>
            </w:r>
          </w:p>
        </w:tc>
        <w:tc>
          <w:tcPr>
            <w:tcW w:w="553" w:type="pct"/>
            <w:tcBorders>
              <w:top w:val="nil"/>
              <w:left w:val="nil"/>
              <w:right w:val="nil"/>
            </w:tcBorders>
            <w:shd w:val="clear" w:color="auto" w:fill="auto"/>
            <w:noWrap/>
            <w:vAlign w:val="bottom"/>
          </w:tcPr>
          <w:p w14:paraId="0894BBEF"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52.465</w:t>
            </w:r>
          </w:p>
        </w:tc>
      </w:tr>
      <w:tr w:rsidR="00F851CC" w:rsidRPr="00CE79C4" w14:paraId="173B9D67" w14:textId="77777777" w:rsidTr="007A6126">
        <w:trPr>
          <w:trHeight w:val="300"/>
        </w:trPr>
        <w:tc>
          <w:tcPr>
            <w:tcW w:w="2134" w:type="pct"/>
            <w:tcBorders>
              <w:top w:val="nil"/>
              <w:left w:val="nil"/>
              <w:right w:val="nil"/>
            </w:tcBorders>
            <w:shd w:val="clear" w:color="auto" w:fill="auto"/>
            <w:noWrap/>
            <w:vAlign w:val="bottom"/>
          </w:tcPr>
          <w:p w14:paraId="41592D50" w14:textId="50308468"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 xml:space="preserve">-naložbe v </w:t>
            </w:r>
            <w:proofErr w:type="spellStart"/>
            <w:r w:rsidRPr="00466760">
              <w:rPr>
                <w:rFonts w:eastAsia="Times New Roman" w:cs="Times New Roman"/>
                <w:color w:val="000000"/>
                <w:szCs w:val="24"/>
              </w:rPr>
              <w:t>osn</w:t>
            </w:r>
            <w:proofErr w:type="spellEnd"/>
            <w:r w:rsidRPr="00466760">
              <w:rPr>
                <w:rFonts w:eastAsia="Times New Roman" w:cs="Times New Roman"/>
                <w:color w:val="000000"/>
                <w:szCs w:val="24"/>
              </w:rPr>
              <w:t xml:space="preserve">. </w:t>
            </w:r>
            <w:r w:rsidR="00061768">
              <w:rPr>
                <w:rFonts w:eastAsia="Times New Roman" w:cs="Times New Roman"/>
                <w:color w:val="000000"/>
                <w:szCs w:val="24"/>
              </w:rPr>
              <w:t>s</w:t>
            </w:r>
            <w:r w:rsidRPr="00466760">
              <w:rPr>
                <w:rFonts w:eastAsia="Times New Roman" w:cs="Times New Roman"/>
                <w:color w:val="000000"/>
                <w:szCs w:val="24"/>
              </w:rPr>
              <w:t>redstva</w:t>
            </w:r>
          </w:p>
        </w:tc>
        <w:tc>
          <w:tcPr>
            <w:tcW w:w="651" w:type="pct"/>
            <w:tcBorders>
              <w:top w:val="nil"/>
              <w:left w:val="nil"/>
              <w:right w:val="nil"/>
            </w:tcBorders>
            <w:shd w:val="clear" w:color="auto" w:fill="auto"/>
            <w:noWrap/>
            <w:vAlign w:val="bottom"/>
          </w:tcPr>
          <w:p w14:paraId="152C32AD"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62.224</w:t>
            </w:r>
          </w:p>
        </w:tc>
        <w:tc>
          <w:tcPr>
            <w:tcW w:w="554" w:type="pct"/>
            <w:tcBorders>
              <w:top w:val="nil"/>
              <w:left w:val="nil"/>
              <w:right w:val="nil"/>
            </w:tcBorders>
            <w:shd w:val="clear" w:color="auto" w:fill="auto"/>
            <w:noWrap/>
            <w:vAlign w:val="bottom"/>
          </w:tcPr>
          <w:p w14:paraId="5BA0DDCE"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62.772</w:t>
            </w:r>
          </w:p>
        </w:tc>
        <w:tc>
          <w:tcPr>
            <w:tcW w:w="554" w:type="pct"/>
            <w:tcBorders>
              <w:top w:val="nil"/>
              <w:left w:val="nil"/>
              <w:right w:val="nil"/>
            </w:tcBorders>
            <w:shd w:val="clear" w:color="auto" w:fill="auto"/>
            <w:noWrap/>
            <w:vAlign w:val="bottom"/>
          </w:tcPr>
          <w:p w14:paraId="456A0233"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64.455</w:t>
            </w:r>
          </w:p>
        </w:tc>
        <w:tc>
          <w:tcPr>
            <w:tcW w:w="554" w:type="pct"/>
            <w:tcBorders>
              <w:top w:val="nil"/>
              <w:left w:val="nil"/>
              <w:right w:val="nil"/>
            </w:tcBorders>
            <w:shd w:val="clear" w:color="auto" w:fill="auto"/>
            <w:noWrap/>
            <w:vAlign w:val="bottom"/>
          </w:tcPr>
          <w:p w14:paraId="0EE33A9E"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63.927</w:t>
            </w:r>
          </w:p>
        </w:tc>
        <w:tc>
          <w:tcPr>
            <w:tcW w:w="553" w:type="pct"/>
            <w:tcBorders>
              <w:top w:val="nil"/>
              <w:left w:val="nil"/>
              <w:right w:val="nil"/>
            </w:tcBorders>
            <w:shd w:val="clear" w:color="auto" w:fill="auto"/>
            <w:noWrap/>
            <w:vAlign w:val="bottom"/>
          </w:tcPr>
          <w:p w14:paraId="3E4C7BF1"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63.085</w:t>
            </w:r>
          </w:p>
        </w:tc>
      </w:tr>
      <w:tr w:rsidR="00F851CC" w:rsidRPr="00CE79C4" w14:paraId="30D4A0D6" w14:textId="77777777" w:rsidTr="007A6126">
        <w:trPr>
          <w:trHeight w:val="300"/>
        </w:trPr>
        <w:tc>
          <w:tcPr>
            <w:tcW w:w="2134" w:type="pct"/>
            <w:tcBorders>
              <w:top w:val="nil"/>
              <w:left w:val="nil"/>
              <w:bottom w:val="single" w:sz="12" w:space="0" w:color="auto"/>
              <w:right w:val="nil"/>
            </w:tcBorders>
            <w:shd w:val="clear" w:color="auto" w:fill="auto"/>
            <w:noWrap/>
            <w:vAlign w:val="bottom"/>
          </w:tcPr>
          <w:p w14:paraId="65122B84"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-naložbe v obratni kapital</w:t>
            </w:r>
          </w:p>
        </w:tc>
        <w:tc>
          <w:tcPr>
            <w:tcW w:w="651" w:type="pct"/>
            <w:tcBorders>
              <w:top w:val="nil"/>
              <w:left w:val="nil"/>
              <w:bottom w:val="single" w:sz="12" w:space="0" w:color="auto"/>
              <w:right w:val="nil"/>
            </w:tcBorders>
            <w:shd w:val="clear" w:color="auto" w:fill="auto"/>
            <w:noWrap/>
            <w:vAlign w:val="bottom"/>
          </w:tcPr>
          <w:p w14:paraId="051C6284"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6.731</w:t>
            </w:r>
          </w:p>
        </w:tc>
        <w:tc>
          <w:tcPr>
            <w:tcW w:w="554" w:type="pct"/>
            <w:tcBorders>
              <w:top w:val="nil"/>
              <w:left w:val="nil"/>
              <w:bottom w:val="single" w:sz="12" w:space="0" w:color="auto"/>
              <w:right w:val="nil"/>
            </w:tcBorders>
            <w:shd w:val="clear" w:color="auto" w:fill="auto"/>
            <w:noWrap/>
            <w:vAlign w:val="bottom"/>
          </w:tcPr>
          <w:p w14:paraId="2CFC0339"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-377</w:t>
            </w:r>
          </w:p>
        </w:tc>
        <w:tc>
          <w:tcPr>
            <w:tcW w:w="554" w:type="pct"/>
            <w:tcBorders>
              <w:top w:val="nil"/>
              <w:left w:val="nil"/>
              <w:bottom w:val="single" w:sz="12" w:space="0" w:color="auto"/>
              <w:right w:val="nil"/>
            </w:tcBorders>
            <w:shd w:val="clear" w:color="auto" w:fill="auto"/>
            <w:noWrap/>
            <w:vAlign w:val="bottom"/>
          </w:tcPr>
          <w:p w14:paraId="5B146E0F"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8.885</w:t>
            </w:r>
          </w:p>
        </w:tc>
        <w:tc>
          <w:tcPr>
            <w:tcW w:w="554" w:type="pct"/>
            <w:tcBorders>
              <w:top w:val="nil"/>
              <w:left w:val="nil"/>
              <w:bottom w:val="single" w:sz="12" w:space="0" w:color="auto"/>
              <w:right w:val="nil"/>
            </w:tcBorders>
            <w:shd w:val="clear" w:color="auto" w:fill="auto"/>
            <w:noWrap/>
            <w:vAlign w:val="bottom"/>
          </w:tcPr>
          <w:p w14:paraId="39CF12D0"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1.123</w:t>
            </w:r>
          </w:p>
        </w:tc>
        <w:tc>
          <w:tcPr>
            <w:tcW w:w="553" w:type="pct"/>
            <w:tcBorders>
              <w:top w:val="nil"/>
              <w:left w:val="nil"/>
              <w:bottom w:val="single" w:sz="12" w:space="0" w:color="auto"/>
              <w:right w:val="nil"/>
            </w:tcBorders>
            <w:shd w:val="clear" w:color="auto" w:fill="auto"/>
            <w:noWrap/>
            <w:vAlign w:val="bottom"/>
          </w:tcPr>
          <w:p w14:paraId="5811757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-4.026</w:t>
            </w:r>
          </w:p>
        </w:tc>
      </w:tr>
      <w:tr w:rsidR="00F851CC" w:rsidRPr="00CE79C4" w14:paraId="08554628" w14:textId="77777777" w:rsidTr="007A6126">
        <w:trPr>
          <w:trHeight w:val="300"/>
        </w:trPr>
        <w:tc>
          <w:tcPr>
            <w:tcW w:w="2134" w:type="pct"/>
            <w:tcBorders>
              <w:top w:val="single" w:sz="12" w:space="0" w:color="auto"/>
              <w:left w:val="nil"/>
              <w:bottom w:val="single" w:sz="12" w:space="0" w:color="auto"/>
              <w:right w:val="nil"/>
            </w:tcBorders>
            <w:shd w:val="clear" w:color="auto" w:fill="auto"/>
            <w:noWrap/>
            <w:vAlign w:val="bottom"/>
          </w:tcPr>
          <w:p w14:paraId="682B1193" w14:textId="77777777" w:rsidR="00F851CC" w:rsidRPr="00466760" w:rsidRDefault="00F851CC" w:rsidP="007A6126">
            <w:pPr>
              <w:spacing w:after="0" w:line="240" w:lineRule="auto"/>
              <w:rPr>
                <w:rFonts w:eastAsia="Times New Roman" w:cs="Times New Roman"/>
                <w:b/>
                <w:bCs/>
                <w:color w:val="000000"/>
                <w:szCs w:val="24"/>
              </w:rPr>
            </w:pPr>
            <w:r w:rsidRPr="00466760">
              <w:rPr>
                <w:rFonts w:eastAsia="Times New Roman" w:cs="Times New Roman"/>
                <w:b/>
                <w:bCs/>
                <w:color w:val="000000"/>
                <w:szCs w:val="24"/>
              </w:rPr>
              <w:t>FCFF</w:t>
            </w:r>
          </w:p>
        </w:tc>
        <w:tc>
          <w:tcPr>
            <w:tcW w:w="651" w:type="pct"/>
            <w:tcBorders>
              <w:top w:val="single" w:sz="12" w:space="0" w:color="auto"/>
              <w:left w:val="nil"/>
              <w:bottom w:val="single" w:sz="12" w:space="0" w:color="auto"/>
              <w:right w:val="nil"/>
            </w:tcBorders>
            <w:shd w:val="clear" w:color="auto" w:fill="auto"/>
            <w:noWrap/>
            <w:vAlign w:val="bottom"/>
          </w:tcPr>
          <w:p w14:paraId="574E1A74"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25.000</w:t>
            </w:r>
          </w:p>
        </w:tc>
        <w:tc>
          <w:tcPr>
            <w:tcW w:w="554" w:type="pct"/>
            <w:tcBorders>
              <w:top w:val="single" w:sz="12" w:space="0" w:color="auto"/>
              <w:left w:val="nil"/>
              <w:bottom w:val="single" w:sz="12" w:space="0" w:color="auto"/>
              <w:right w:val="nil"/>
            </w:tcBorders>
            <w:shd w:val="clear" w:color="auto" w:fill="auto"/>
            <w:noWrap/>
            <w:vAlign w:val="bottom"/>
          </w:tcPr>
          <w:p w14:paraId="6A59BD1D"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21.211</w:t>
            </w:r>
          </w:p>
        </w:tc>
        <w:tc>
          <w:tcPr>
            <w:tcW w:w="554" w:type="pct"/>
            <w:tcBorders>
              <w:top w:val="single" w:sz="12" w:space="0" w:color="auto"/>
              <w:left w:val="nil"/>
              <w:bottom w:val="single" w:sz="12" w:space="0" w:color="auto"/>
              <w:right w:val="nil"/>
            </w:tcBorders>
            <w:shd w:val="clear" w:color="auto" w:fill="auto"/>
            <w:noWrap/>
            <w:vAlign w:val="bottom"/>
          </w:tcPr>
          <w:p w14:paraId="0FB8EDBC"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25.160</w:t>
            </w:r>
          </w:p>
        </w:tc>
        <w:tc>
          <w:tcPr>
            <w:tcW w:w="554" w:type="pct"/>
            <w:tcBorders>
              <w:top w:val="single" w:sz="12" w:space="0" w:color="auto"/>
              <w:left w:val="nil"/>
              <w:bottom w:val="single" w:sz="12" w:space="0" w:color="auto"/>
              <w:right w:val="nil"/>
            </w:tcBorders>
            <w:shd w:val="clear" w:color="auto" w:fill="auto"/>
            <w:noWrap/>
            <w:vAlign w:val="bottom"/>
          </w:tcPr>
          <w:p w14:paraId="448503DD"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34.731</w:t>
            </w:r>
          </w:p>
        </w:tc>
        <w:tc>
          <w:tcPr>
            <w:tcW w:w="553" w:type="pct"/>
            <w:tcBorders>
              <w:top w:val="single" w:sz="12" w:space="0" w:color="auto"/>
              <w:left w:val="nil"/>
              <w:bottom w:val="single" w:sz="12" w:space="0" w:color="auto"/>
              <w:right w:val="nil"/>
            </w:tcBorders>
            <w:shd w:val="clear" w:color="auto" w:fill="auto"/>
            <w:noWrap/>
            <w:vAlign w:val="bottom"/>
          </w:tcPr>
          <w:p w14:paraId="3DF20276"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40.847</w:t>
            </w:r>
          </w:p>
        </w:tc>
      </w:tr>
    </w:tbl>
    <w:p w14:paraId="4A71257A" w14:textId="77777777" w:rsidR="00F851CC" w:rsidRDefault="00F851CC" w:rsidP="00F851CC">
      <w:pPr>
        <w:pStyle w:val="Brezrazmikov"/>
        <w:rPr>
          <w:lang w:eastAsia="sl-SI"/>
        </w:rPr>
      </w:pPr>
    </w:p>
    <w:p w14:paraId="71B794F4" w14:textId="77777777" w:rsidR="00F851CC" w:rsidRDefault="00F851CC" w:rsidP="00F851CC">
      <w:pPr>
        <w:pStyle w:val="Brezrazmikov"/>
        <w:rPr>
          <w:lang w:eastAsia="sl-SI"/>
        </w:rPr>
      </w:pPr>
      <w:r>
        <w:rPr>
          <w:lang w:eastAsia="sl-SI"/>
        </w:rPr>
        <w:t>Dobljeni rezultati za napovedno obdobje so nekoliko višji kot v preteklem obdobju, predvsem zaradi zmanjšanih investicij v osnovna sredstva ter večjih ustvarjenih dobičkov.</w:t>
      </w:r>
    </w:p>
    <w:p w14:paraId="2ADA5A77" w14:textId="77777777" w:rsidR="00F851CC" w:rsidRDefault="00F851CC" w:rsidP="00F851CC">
      <w:pPr>
        <w:pStyle w:val="Naslov1"/>
        <w:rPr>
          <w:lang w:eastAsia="sl-SI"/>
        </w:rPr>
      </w:pPr>
      <w:bookmarkStart w:id="85" w:name="_Toc18964884"/>
      <w:r>
        <w:rPr>
          <w:lang w:eastAsia="sl-SI"/>
        </w:rPr>
        <w:t>Ocena diskontne stopnje</w:t>
      </w:r>
      <w:bookmarkEnd w:id="85"/>
    </w:p>
    <w:p w14:paraId="15CD4A98" w14:textId="77777777" w:rsidR="00F851CC" w:rsidRDefault="00F851CC" w:rsidP="00F851CC">
      <w:pPr>
        <w:pStyle w:val="Brezrazmikov"/>
        <w:rPr>
          <w:lang w:eastAsia="sl-SI"/>
        </w:rPr>
      </w:pPr>
      <w:r>
        <w:rPr>
          <w:lang w:eastAsia="sl-SI"/>
        </w:rPr>
        <w:t>Pri vrednotenju podjetja je zelo pomembna določitev diskontne stopnje, saj ta odraža stroške kapitala. Če so vlagatelji bolj izpostavljeni tveganju, je diskontna stopnja višja, kar posledično pomeni, da je vrednost podjetja nižja. Ker so investitorji tveganju nenaklonjeni, bodo ob enakih pričakovanih donosih investirali v manj tvegano naložbo. Za izračun diskontne stopnje najprej potrebujemo strošek dolžniškega in lastniškega kapitala.</w:t>
      </w:r>
    </w:p>
    <w:p w14:paraId="7FB36801" w14:textId="77777777" w:rsidR="00F851CC" w:rsidRDefault="00F851CC" w:rsidP="00F851CC">
      <w:pPr>
        <w:pStyle w:val="Brezrazmikov"/>
        <w:rPr>
          <w:lang w:eastAsia="sl-SI"/>
        </w:rPr>
      </w:pPr>
    </w:p>
    <w:p w14:paraId="20A9F6CF" w14:textId="764490A6" w:rsidR="00F851CC" w:rsidRDefault="00F851CC" w:rsidP="00F851CC">
      <w:pPr>
        <w:pStyle w:val="Brezrazmikov"/>
        <w:rPr>
          <w:lang w:eastAsia="sl-SI"/>
        </w:rPr>
      </w:pPr>
      <w:r>
        <w:rPr>
          <w:lang w:eastAsia="sl-SI"/>
        </w:rPr>
        <w:t xml:space="preserve">Strošek dolžniškega kapitala nam predstavlja obresti na finančne vire v podjetju. Nominalno obrestno mero na posojilo smo izračunali iz vrednosti plačanih obresti, ki so v letu 2017 znašale 12,741 mio EUR, glede na celoten dolg 383,751 mio EUR. Tako smo dobili, da obrestna mera znaša 3,32 %. Za efektivno davčno stopnjo smo vzeli splošno stopnjo za izračun davka od dohodkov pravnih oseb, ki v Sloveniji znaša 19 %. Po enačbi </w:t>
      </w:r>
      <w:r>
        <w:rPr>
          <w:lang w:eastAsia="sl-SI"/>
        </w:rPr>
        <w:fldChar w:fldCharType="begin"/>
      </w:r>
      <w:r>
        <w:rPr>
          <w:lang w:eastAsia="sl-SI"/>
        </w:rPr>
        <w:instrText xml:space="preserve"> REF enacba7 \h </w:instrText>
      </w:r>
      <w:r>
        <w:rPr>
          <w:lang w:eastAsia="sl-SI"/>
        </w:rPr>
      </w:r>
      <w:r>
        <w:rPr>
          <w:lang w:eastAsia="sl-SI"/>
        </w:rPr>
        <w:fldChar w:fldCharType="separate"/>
      </w:r>
      <w:r w:rsidR="00325440">
        <w:rPr>
          <w:lang w:eastAsia="sl-SI"/>
        </w:rPr>
        <w:t>(</w:t>
      </w:r>
      <w:r w:rsidR="00325440">
        <w:rPr>
          <w:noProof/>
          <w:lang w:eastAsia="sl-SI"/>
        </w:rPr>
        <w:t>7</w:t>
      </w:r>
      <w:r w:rsidR="00325440">
        <w:rPr>
          <w:lang w:eastAsia="sl-SI"/>
        </w:rPr>
        <w:t>)</w:t>
      </w:r>
      <w:r>
        <w:rPr>
          <w:lang w:eastAsia="sl-SI"/>
        </w:rPr>
        <w:fldChar w:fldCharType="end"/>
      </w:r>
      <w:r>
        <w:rPr>
          <w:lang w:eastAsia="sl-SI"/>
        </w:rPr>
        <w:t xml:space="preserve"> smo tako dobili, da strošek dolžniškega kapitala </w:t>
      </w:r>
      <w:r w:rsidRPr="006827B3">
        <w:t>znaša</w:t>
      </w:r>
      <w:r>
        <w:rPr>
          <w:lang w:eastAsia="sl-SI"/>
        </w:rPr>
        <w:t xml:space="preserve"> 2,69 %. </w:t>
      </w:r>
    </w:p>
    <w:p w14:paraId="336E3433" w14:textId="77777777" w:rsidR="004767AA" w:rsidRDefault="004767AA" w:rsidP="00F851CC">
      <w:pPr>
        <w:pStyle w:val="Brezrazmikov"/>
        <w:rPr>
          <w:lang w:eastAsia="sl-SI"/>
        </w:rPr>
      </w:pPr>
    </w:p>
    <w:p w14:paraId="25D54991" w14:textId="77777777" w:rsidR="00F851CC" w:rsidRDefault="00F851CC" w:rsidP="00F851CC">
      <w:pPr>
        <w:pStyle w:val="Brezrazmikov"/>
      </w:pPr>
      <w:r>
        <w:rPr>
          <w:lang w:eastAsia="sl-SI"/>
        </w:rPr>
        <w:t>Za strošek lastniškega kapitala smo, kot že omenjeno v teoretičnem delu, upoštevali 3,5</w:t>
      </w:r>
      <w:r>
        <w:t xml:space="preserve">-odstotno </w:t>
      </w:r>
      <w:r>
        <w:rPr>
          <w:lang w:eastAsia="sl-SI"/>
        </w:rPr>
        <w:t xml:space="preserve"> netvegano obrestno mero, 5,19</w:t>
      </w:r>
      <w:r>
        <w:t>-odstotno</w:t>
      </w:r>
      <w:r>
        <w:rPr>
          <w:lang w:eastAsia="sl-SI"/>
        </w:rPr>
        <w:t xml:space="preserve"> tržno premijo za tveganje ter koeficient beta v višini 1,40. Za dodatne </w:t>
      </w:r>
      <w:r w:rsidRPr="00D37E03">
        <w:rPr>
          <w:lang w:eastAsia="sl-SI"/>
        </w:rPr>
        <w:t xml:space="preserve">pribitke smo upoštevali premijo </w:t>
      </w:r>
      <w:r w:rsidRPr="00D37E03">
        <w:t xml:space="preserve">za </w:t>
      </w:r>
      <w:r w:rsidRPr="006D559E">
        <w:t>majhnost podjetja</w:t>
      </w:r>
      <w:r>
        <w:t xml:space="preserve"> ter deželno tveganje. Da smo lahko opredelili velikost podjetja, smo izračunali tržno kapitalizacijo,</w:t>
      </w:r>
      <w:r w:rsidRPr="006D559E">
        <w:t xml:space="preserve"> ki znaša</w:t>
      </w:r>
      <w:r>
        <w:t>:</w:t>
      </w:r>
    </w:p>
    <w:p w14:paraId="02740CA2" w14:textId="77777777" w:rsidR="004767AA" w:rsidRDefault="004767AA" w:rsidP="00F851CC">
      <w:pPr>
        <w:pStyle w:val="Brezrazmikov"/>
      </w:pPr>
    </w:p>
    <w:p w14:paraId="391544DF" w14:textId="77777777" w:rsidR="00F851CC" w:rsidRPr="004767AA" w:rsidRDefault="00F851CC" w:rsidP="00F851CC">
      <w:pPr>
        <w:pStyle w:val="Brezrazmikov"/>
        <w:jc w:val="center"/>
        <w:rPr>
          <w:rFonts w:eastAsiaTheme="minorEastAsia"/>
        </w:rPr>
      </w:pPr>
      <m:oMathPara>
        <m:oMath>
          <m:r>
            <m:rPr>
              <m:sty m:val="p"/>
            </m:rPr>
            <w:rPr>
              <w:rFonts w:ascii="Cambria Math" w:hAnsi="Cambria Math"/>
            </w:rPr>
            <m:t>24.424.613*5,10 EUR=124,565 mio EUR=139,86 mio USD</m:t>
          </m:r>
        </m:oMath>
      </m:oMathPara>
    </w:p>
    <w:p w14:paraId="7FFFE452" w14:textId="77777777" w:rsidR="004767AA" w:rsidRDefault="004767AA" w:rsidP="00F851CC">
      <w:pPr>
        <w:pStyle w:val="Brezrazmikov"/>
        <w:jc w:val="center"/>
      </w:pPr>
    </w:p>
    <w:p w14:paraId="16E70F4F" w14:textId="178A4CCD" w:rsidR="00F851CC" w:rsidRDefault="00F851CC" w:rsidP="00F851CC">
      <w:pPr>
        <w:pStyle w:val="Brezrazmikov"/>
      </w:pPr>
      <w:r>
        <w:t xml:space="preserve">in tako </w:t>
      </w:r>
      <w:r w:rsidRPr="006D559E">
        <w:t xml:space="preserve">iz </w:t>
      </w:r>
      <w:r w:rsidR="00CD0613">
        <w:rPr>
          <w:i/>
          <w:iCs/>
        </w:rPr>
        <w:fldChar w:fldCharType="begin"/>
      </w:r>
      <w:r w:rsidR="00CD0613" w:rsidRPr="00CD0613">
        <w:rPr>
          <w:i/>
          <w:iCs/>
        </w:rPr>
        <w:instrText xml:space="preserve"> REF  _Ref13480141 \* FirstCap \h  \* MERGEFORMAT </w:instrText>
      </w:r>
      <w:r w:rsidR="00CD0613">
        <w:rPr>
          <w:i/>
          <w:iCs/>
        </w:rPr>
      </w:r>
      <w:r w:rsidR="00CD0613">
        <w:rPr>
          <w:i/>
          <w:iCs/>
        </w:rPr>
        <w:fldChar w:fldCharType="separate"/>
      </w:r>
      <w:r w:rsidR="00CD0613" w:rsidRPr="00CD0613">
        <w:rPr>
          <w:i/>
          <w:iCs/>
        </w:rPr>
        <w:t>Tabel</w:t>
      </w:r>
      <w:r w:rsidR="00CD0613">
        <w:rPr>
          <w:i/>
          <w:iCs/>
        </w:rPr>
        <w:t>e</w:t>
      </w:r>
      <w:r w:rsidR="00CD0613">
        <w:t xml:space="preserve"> </w:t>
      </w:r>
      <w:r w:rsidR="00CD0613">
        <w:rPr>
          <w:noProof/>
        </w:rPr>
        <w:t>1</w:t>
      </w:r>
      <w:r w:rsidR="00CD0613">
        <w:rPr>
          <w:i/>
          <w:iCs/>
        </w:rPr>
        <w:fldChar w:fldCharType="end"/>
      </w:r>
      <w:r w:rsidRPr="006D559E">
        <w:t xml:space="preserve"> videli</w:t>
      </w:r>
      <w:r>
        <w:t xml:space="preserve">, da podjetje spada v tretjo kategorijo, tj. »majhno podjetje«. Pribitek za takšno podjetje znaša 3,67 %. Dodatno smo upoštevali še deželno tveganje Slovenije, ki po izračunih na spletni strani </w:t>
      </w:r>
      <w:proofErr w:type="spellStart"/>
      <w:r>
        <w:t>Damodaran</w:t>
      </w:r>
      <w:proofErr w:type="spellEnd"/>
      <w:r>
        <w:t xml:space="preserve"> znaša 2,22 %.</w:t>
      </w:r>
      <w:r>
        <w:rPr>
          <w:rStyle w:val="Sprotnaopomba-sklic"/>
        </w:rPr>
        <w:footnoteReference w:id="16"/>
      </w:r>
      <w:r>
        <w:t xml:space="preserve"> </w:t>
      </w:r>
      <w:r>
        <w:rPr>
          <w:lang w:eastAsia="sl-SI"/>
        </w:rPr>
        <w:t xml:space="preserve">Tako smo po enačbi </w:t>
      </w:r>
      <w:r>
        <w:rPr>
          <w:lang w:eastAsia="sl-SI"/>
        </w:rPr>
        <w:fldChar w:fldCharType="begin"/>
      </w:r>
      <w:r>
        <w:rPr>
          <w:lang w:eastAsia="sl-SI"/>
        </w:rPr>
        <w:instrText xml:space="preserve"> REF enacba5 \h </w:instrText>
      </w:r>
      <w:r>
        <w:rPr>
          <w:lang w:eastAsia="sl-SI"/>
        </w:rPr>
      </w:r>
      <w:r>
        <w:rPr>
          <w:lang w:eastAsia="sl-SI"/>
        </w:rPr>
        <w:fldChar w:fldCharType="separate"/>
      </w:r>
      <w:r w:rsidR="00325440">
        <w:rPr>
          <w:lang w:eastAsia="sl-SI"/>
        </w:rPr>
        <w:t>(</w:t>
      </w:r>
      <w:r w:rsidR="00325440">
        <w:rPr>
          <w:noProof/>
          <w:lang w:eastAsia="sl-SI"/>
        </w:rPr>
        <w:t>5</w:t>
      </w:r>
      <w:r w:rsidR="00325440">
        <w:rPr>
          <w:lang w:eastAsia="sl-SI"/>
        </w:rPr>
        <w:t>)</w:t>
      </w:r>
      <w:r>
        <w:rPr>
          <w:lang w:eastAsia="sl-SI"/>
        </w:rPr>
        <w:fldChar w:fldCharType="end"/>
      </w:r>
      <w:r>
        <w:rPr>
          <w:lang w:eastAsia="sl-SI"/>
        </w:rPr>
        <w:t xml:space="preserve"> dobili vrednost zahtevanega donosa lastniškega kapitala v višini 16,64 </w:t>
      </w:r>
      <w:r w:rsidRPr="006827B3">
        <w:t xml:space="preserve">%. </w:t>
      </w:r>
    </w:p>
    <w:p w14:paraId="3943045E" w14:textId="77777777" w:rsidR="004767AA" w:rsidRDefault="004767AA" w:rsidP="00F851CC">
      <w:pPr>
        <w:pStyle w:val="Brezrazmikov"/>
      </w:pPr>
    </w:p>
    <w:p w14:paraId="5B0B6C9A" w14:textId="20453A43" w:rsidR="00F851CC" w:rsidRDefault="00F851CC" w:rsidP="00F851CC">
      <w:pPr>
        <w:pStyle w:val="Brezrazmikov"/>
      </w:pPr>
      <w:r>
        <w:lastRenderedPageBreak/>
        <w:t xml:space="preserve">Za izračun stopnje WACC si moramo pogledati še strukturo financiranja. </w:t>
      </w:r>
      <w:r w:rsidRPr="006827B3">
        <w:t>Vrednost dolžniškega kapitala predstavlja 53,69</w:t>
      </w:r>
      <w:r>
        <w:t>-odstotni</w:t>
      </w:r>
      <w:r w:rsidRPr="006827B3">
        <w:t xml:space="preserve"> delež v celotnem financiranju Skupine Gorenje.</w:t>
      </w:r>
      <w:r>
        <w:rPr>
          <w:lang w:eastAsia="sl-SI"/>
        </w:rPr>
        <w:t xml:space="preserve"> Ostalih 46,31 % pripada lastniškemu kapitalu. Če pripadajoč delež lastniškega kapitala pomnožimo s stroškom tega kapitala, analogno za dolžniški kapital, ter obe vrednosti seštejemo, po enačbi </w:t>
      </w:r>
      <w:r>
        <w:rPr>
          <w:lang w:eastAsia="sl-SI"/>
        </w:rPr>
        <w:fldChar w:fldCharType="begin"/>
      </w:r>
      <w:r>
        <w:rPr>
          <w:lang w:eastAsia="sl-SI"/>
        </w:rPr>
        <w:instrText xml:space="preserve"> REF enacba4 \h </w:instrText>
      </w:r>
      <w:r>
        <w:rPr>
          <w:lang w:eastAsia="sl-SI"/>
        </w:rPr>
      </w:r>
      <w:r>
        <w:rPr>
          <w:lang w:eastAsia="sl-SI"/>
        </w:rPr>
        <w:fldChar w:fldCharType="separate"/>
      </w:r>
      <w:r w:rsidR="00325440">
        <w:rPr>
          <w:lang w:eastAsia="sl-SI"/>
        </w:rPr>
        <w:t>(</w:t>
      </w:r>
      <w:r w:rsidR="00325440">
        <w:rPr>
          <w:noProof/>
          <w:lang w:eastAsia="sl-SI"/>
        </w:rPr>
        <w:t>4</w:t>
      </w:r>
      <w:r w:rsidR="00325440">
        <w:rPr>
          <w:lang w:eastAsia="sl-SI"/>
        </w:rPr>
        <w:t>)</w:t>
      </w:r>
      <w:r>
        <w:rPr>
          <w:lang w:eastAsia="sl-SI"/>
        </w:rPr>
        <w:fldChar w:fldCharType="end"/>
      </w:r>
      <w:r>
        <w:rPr>
          <w:lang w:eastAsia="sl-SI"/>
        </w:rPr>
        <w:t xml:space="preserve"> dobimo tehtano povprečje stroškov kapitala oz. WACC v višini 8,87 %. </w:t>
      </w:r>
    </w:p>
    <w:p w14:paraId="605243B5" w14:textId="2378DE22" w:rsidR="00F851CC" w:rsidRDefault="00F851CC" w:rsidP="00F851CC">
      <w:pPr>
        <w:pStyle w:val="Napis"/>
        <w:jc w:val="center"/>
      </w:pPr>
      <w:bookmarkStart w:id="86" w:name="_Toc18964920"/>
      <w:r>
        <w:t xml:space="preserve">Tabela </w:t>
      </w:r>
      <w:fldSimple w:instr=" SEQ Tabela \* ARABIC ">
        <w:r w:rsidR="00325440">
          <w:rPr>
            <w:noProof/>
          </w:rPr>
          <w:t>5</w:t>
        </w:r>
      </w:fldSimple>
      <w:r>
        <w:t>: Izračun diskontne stopnje</w:t>
      </w:r>
      <w:bookmarkEnd w:id="86"/>
    </w:p>
    <w:tbl>
      <w:tblPr>
        <w:tblW w:w="4780" w:type="dxa"/>
        <w:jc w:val="center"/>
        <w:tblLook w:val="04A0" w:firstRow="1" w:lastRow="0" w:firstColumn="1" w:lastColumn="0" w:noHBand="0" w:noVBand="1"/>
      </w:tblPr>
      <w:tblGrid>
        <w:gridCol w:w="3380"/>
        <w:gridCol w:w="1400"/>
      </w:tblGrid>
      <w:tr w:rsidR="00F851CC" w:rsidRPr="00AF5AE4" w14:paraId="3A3C7AAF" w14:textId="77777777" w:rsidTr="007A6126">
        <w:trPr>
          <w:trHeight w:val="288"/>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C68F2"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nominalna obrestna mera</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452DEDC" w14:textId="77777777" w:rsidR="00F851CC" w:rsidRPr="00AF5AE4" w:rsidRDefault="00F851CC" w:rsidP="007A6126">
            <w:pPr>
              <w:spacing w:after="0" w:line="240" w:lineRule="auto"/>
              <w:jc w:val="right"/>
              <w:rPr>
                <w:rFonts w:eastAsia="Times New Roman" w:cs="Times New Roman"/>
                <w:szCs w:val="24"/>
              </w:rPr>
            </w:pPr>
            <w:r>
              <w:rPr>
                <w:rFonts w:eastAsia="Times New Roman" w:cs="Times New Roman"/>
                <w:szCs w:val="24"/>
              </w:rPr>
              <w:t xml:space="preserve">3,32 </w:t>
            </w:r>
            <w:r w:rsidRPr="00AF5AE4">
              <w:rPr>
                <w:rFonts w:eastAsia="Times New Roman" w:cs="Times New Roman"/>
                <w:szCs w:val="24"/>
              </w:rPr>
              <w:t>%</w:t>
            </w:r>
          </w:p>
        </w:tc>
      </w:tr>
      <w:tr w:rsidR="00F851CC" w:rsidRPr="00AF5AE4" w14:paraId="11452252" w14:textId="77777777" w:rsidTr="007A6126">
        <w:trPr>
          <w:trHeight w:val="300"/>
          <w:jc w:val="center"/>
        </w:trPr>
        <w:tc>
          <w:tcPr>
            <w:tcW w:w="3380" w:type="dxa"/>
            <w:tcBorders>
              <w:top w:val="nil"/>
              <w:left w:val="single" w:sz="4" w:space="0" w:color="auto"/>
              <w:bottom w:val="single" w:sz="8" w:space="0" w:color="auto"/>
              <w:right w:val="single" w:sz="4" w:space="0" w:color="auto"/>
            </w:tcBorders>
            <w:shd w:val="clear" w:color="auto" w:fill="auto"/>
            <w:noWrap/>
            <w:vAlign w:val="bottom"/>
            <w:hideMark/>
          </w:tcPr>
          <w:p w14:paraId="3D3B6078"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efektivna davčna stopnja</w:t>
            </w:r>
          </w:p>
        </w:tc>
        <w:tc>
          <w:tcPr>
            <w:tcW w:w="1400" w:type="dxa"/>
            <w:tcBorders>
              <w:top w:val="nil"/>
              <w:left w:val="nil"/>
              <w:bottom w:val="single" w:sz="8" w:space="0" w:color="auto"/>
              <w:right w:val="single" w:sz="4" w:space="0" w:color="auto"/>
            </w:tcBorders>
            <w:shd w:val="clear" w:color="auto" w:fill="auto"/>
            <w:noWrap/>
            <w:vAlign w:val="bottom"/>
            <w:hideMark/>
          </w:tcPr>
          <w:p w14:paraId="29F0ADB8" w14:textId="77777777" w:rsidR="00F851CC" w:rsidRPr="00AF5AE4" w:rsidRDefault="00F851CC" w:rsidP="007A6126">
            <w:pPr>
              <w:spacing w:after="0" w:line="240" w:lineRule="auto"/>
              <w:jc w:val="right"/>
              <w:rPr>
                <w:rFonts w:eastAsia="Times New Roman" w:cs="Times New Roman"/>
                <w:szCs w:val="24"/>
              </w:rPr>
            </w:pPr>
            <w:r>
              <w:rPr>
                <w:rFonts w:eastAsia="Times New Roman" w:cs="Times New Roman"/>
                <w:szCs w:val="24"/>
              </w:rPr>
              <w:t xml:space="preserve">19 </w:t>
            </w:r>
            <w:r w:rsidRPr="00AF5AE4">
              <w:rPr>
                <w:rFonts w:eastAsia="Times New Roman" w:cs="Times New Roman"/>
                <w:szCs w:val="24"/>
              </w:rPr>
              <w:t>%</w:t>
            </w:r>
          </w:p>
        </w:tc>
      </w:tr>
      <w:tr w:rsidR="00F851CC" w:rsidRPr="00AF5AE4" w14:paraId="59817050" w14:textId="77777777" w:rsidTr="007A6126">
        <w:trPr>
          <w:trHeight w:val="300"/>
          <w:jc w:val="center"/>
        </w:trPr>
        <w:tc>
          <w:tcPr>
            <w:tcW w:w="3380" w:type="dxa"/>
            <w:tcBorders>
              <w:top w:val="nil"/>
              <w:left w:val="single" w:sz="4" w:space="0" w:color="auto"/>
              <w:bottom w:val="single" w:sz="8" w:space="0" w:color="auto"/>
              <w:right w:val="single" w:sz="4" w:space="0" w:color="auto"/>
            </w:tcBorders>
            <w:shd w:val="clear" w:color="auto" w:fill="auto"/>
            <w:noWrap/>
            <w:vAlign w:val="bottom"/>
            <w:hideMark/>
          </w:tcPr>
          <w:p w14:paraId="2442594A" w14:textId="77777777" w:rsidR="00F851CC" w:rsidRPr="00AF5AE4" w:rsidRDefault="00F851CC" w:rsidP="007A6126">
            <w:pPr>
              <w:spacing w:after="0" w:line="240" w:lineRule="auto"/>
              <w:rPr>
                <w:rFonts w:eastAsia="Times New Roman" w:cs="Times New Roman"/>
                <w:b/>
                <w:bCs/>
                <w:szCs w:val="24"/>
              </w:rPr>
            </w:pPr>
            <w:r w:rsidRPr="00AF5AE4">
              <w:rPr>
                <w:rFonts w:eastAsia="Times New Roman" w:cs="Times New Roman"/>
                <w:b/>
                <w:bCs/>
                <w:szCs w:val="24"/>
              </w:rPr>
              <w:t>strošek dolžniškega kapitala</w:t>
            </w:r>
          </w:p>
        </w:tc>
        <w:tc>
          <w:tcPr>
            <w:tcW w:w="1400" w:type="dxa"/>
            <w:tcBorders>
              <w:top w:val="nil"/>
              <w:left w:val="nil"/>
              <w:bottom w:val="single" w:sz="8" w:space="0" w:color="auto"/>
              <w:right w:val="single" w:sz="4" w:space="0" w:color="auto"/>
            </w:tcBorders>
            <w:shd w:val="clear" w:color="auto" w:fill="auto"/>
            <w:noWrap/>
            <w:vAlign w:val="bottom"/>
            <w:hideMark/>
          </w:tcPr>
          <w:p w14:paraId="206839E3" w14:textId="77777777" w:rsidR="00F851CC" w:rsidRPr="00AF5AE4" w:rsidRDefault="00F851CC" w:rsidP="007A6126">
            <w:pPr>
              <w:spacing w:after="0" w:line="240" w:lineRule="auto"/>
              <w:jc w:val="right"/>
              <w:rPr>
                <w:rFonts w:eastAsia="Times New Roman" w:cs="Times New Roman"/>
                <w:b/>
                <w:bCs/>
                <w:szCs w:val="24"/>
              </w:rPr>
            </w:pPr>
            <w:r>
              <w:rPr>
                <w:rFonts w:eastAsia="Times New Roman" w:cs="Times New Roman"/>
                <w:b/>
                <w:bCs/>
                <w:szCs w:val="24"/>
              </w:rPr>
              <w:t xml:space="preserve">2,69 </w:t>
            </w:r>
            <w:r w:rsidRPr="00AF5AE4">
              <w:rPr>
                <w:rFonts w:eastAsia="Times New Roman" w:cs="Times New Roman"/>
                <w:b/>
                <w:bCs/>
                <w:szCs w:val="24"/>
              </w:rPr>
              <w:t>%</w:t>
            </w:r>
          </w:p>
        </w:tc>
      </w:tr>
      <w:tr w:rsidR="00F851CC" w:rsidRPr="00AF5AE4" w14:paraId="5DDDBD6E" w14:textId="77777777" w:rsidTr="007A6126">
        <w:trPr>
          <w:trHeight w:val="288"/>
          <w:jc w:val="center"/>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E8567" w14:textId="77777777" w:rsidR="00F851CC" w:rsidRPr="00AF5AE4" w:rsidRDefault="00F851CC" w:rsidP="007A6126">
            <w:pPr>
              <w:spacing w:after="0" w:line="240" w:lineRule="auto"/>
              <w:rPr>
                <w:rFonts w:eastAsia="Times New Roman" w:cs="Times New Roman"/>
                <w:szCs w:val="24"/>
              </w:rPr>
            </w:pPr>
            <w:proofErr w:type="spellStart"/>
            <w:r w:rsidRPr="00AF5AE4">
              <w:rPr>
                <w:rFonts w:eastAsia="Times New Roman" w:cs="Times New Roman"/>
                <w:szCs w:val="24"/>
              </w:rPr>
              <w:t>unlevered</w:t>
            </w:r>
            <w:proofErr w:type="spellEnd"/>
            <w:r w:rsidRPr="00AF5AE4">
              <w:rPr>
                <w:rFonts w:eastAsia="Times New Roman" w:cs="Times New Roman"/>
                <w:szCs w:val="24"/>
              </w:rPr>
              <w:t xml:space="preserve"> beta</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0910A02E"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0,72</w:t>
            </w:r>
          </w:p>
        </w:tc>
      </w:tr>
      <w:tr w:rsidR="00F851CC" w:rsidRPr="00AF5AE4" w14:paraId="59D542BB" w14:textId="77777777" w:rsidTr="007A6126">
        <w:trPr>
          <w:trHeight w:val="288"/>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EB9120F" w14:textId="6EC1CAD7" w:rsidR="00F851CC" w:rsidRPr="00AF5AE4" w:rsidRDefault="00DF78C8" w:rsidP="007A6126">
            <w:pPr>
              <w:spacing w:after="0" w:line="240" w:lineRule="auto"/>
              <w:rPr>
                <w:rFonts w:eastAsia="Times New Roman" w:cs="Times New Roman"/>
                <w:szCs w:val="24"/>
              </w:rPr>
            </w:pPr>
            <w:r w:rsidRPr="00AF5AE4">
              <w:rPr>
                <w:rFonts w:eastAsia="Times New Roman" w:cs="Times New Roman"/>
                <w:szCs w:val="24"/>
              </w:rPr>
              <w:t>β</w:t>
            </w:r>
          </w:p>
        </w:tc>
        <w:tc>
          <w:tcPr>
            <w:tcW w:w="1400" w:type="dxa"/>
            <w:tcBorders>
              <w:top w:val="nil"/>
              <w:left w:val="nil"/>
              <w:bottom w:val="single" w:sz="4" w:space="0" w:color="auto"/>
              <w:right w:val="single" w:sz="4" w:space="0" w:color="auto"/>
            </w:tcBorders>
            <w:shd w:val="clear" w:color="auto" w:fill="auto"/>
            <w:noWrap/>
            <w:vAlign w:val="bottom"/>
            <w:hideMark/>
          </w:tcPr>
          <w:p w14:paraId="3CF68EE9" w14:textId="77777777" w:rsidR="00F851CC" w:rsidRPr="00CE79C4" w:rsidRDefault="00F851CC" w:rsidP="007A6126">
            <w:pPr>
              <w:spacing w:after="0" w:line="240" w:lineRule="auto"/>
              <w:jc w:val="right"/>
              <w:rPr>
                <w:rFonts w:eastAsia="Times New Roman" w:cs="Times New Roman"/>
                <w:szCs w:val="24"/>
              </w:rPr>
            </w:pPr>
            <w:r w:rsidRPr="00AF5AE4">
              <w:rPr>
                <w:rFonts w:eastAsia="Times New Roman" w:cs="Times New Roman"/>
                <w:szCs w:val="24"/>
              </w:rPr>
              <w:t>1,</w:t>
            </w:r>
            <w:r>
              <w:rPr>
                <w:rFonts w:eastAsia="Times New Roman" w:cs="Times New Roman"/>
                <w:szCs w:val="24"/>
              </w:rPr>
              <w:t>40</w:t>
            </w:r>
          </w:p>
        </w:tc>
      </w:tr>
      <w:tr w:rsidR="00F851CC" w:rsidRPr="00AF5AE4" w14:paraId="14BD8FBF" w14:textId="77777777" w:rsidTr="007A6126">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656DE1B7"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delež lastniškega kapitala</w:t>
            </w:r>
          </w:p>
        </w:tc>
        <w:tc>
          <w:tcPr>
            <w:tcW w:w="1400" w:type="dxa"/>
            <w:tcBorders>
              <w:top w:val="nil"/>
              <w:left w:val="nil"/>
              <w:bottom w:val="single" w:sz="4" w:space="0" w:color="auto"/>
              <w:right w:val="single" w:sz="4" w:space="0" w:color="auto"/>
            </w:tcBorders>
            <w:shd w:val="clear" w:color="auto" w:fill="auto"/>
            <w:noWrap/>
            <w:vAlign w:val="bottom"/>
            <w:hideMark/>
          </w:tcPr>
          <w:p w14:paraId="437904E5"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46,31</w:t>
            </w:r>
            <w:r>
              <w:rPr>
                <w:rFonts w:eastAsia="Times New Roman" w:cs="Times New Roman"/>
                <w:szCs w:val="24"/>
              </w:rPr>
              <w:t xml:space="preserve"> </w:t>
            </w:r>
            <w:r w:rsidRPr="00AF5AE4">
              <w:rPr>
                <w:rFonts w:eastAsia="Times New Roman" w:cs="Times New Roman"/>
                <w:szCs w:val="24"/>
              </w:rPr>
              <w:t>%</w:t>
            </w:r>
          </w:p>
        </w:tc>
      </w:tr>
      <w:tr w:rsidR="00F851CC" w:rsidRPr="00AF5AE4" w14:paraId="34E7AD65" w14:textId="77777777" w:rsidTr="007A6126">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74061F6"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delež dolžniškega kapitala</w:t>
            </w:r>
          </w:p>
        </w:tc>
        <w:tc>
          <w:tcPr>
            <w:tcW w:w="1400" w:type="dxa"/>
            <w:tcBorders>
              <w:top w:val="nil"/>
              <w:left w:val="nil"/>
              <w:bottom w:val="single" w:sz="4" w:space="0" w:color="auto"/>
              <w:right w:val="single" w:sz="4" w:space="0" w:color="auto"/>
            </w:tcBorders>
            <w:shd w:val="clear" w:color="auto" w:fill="auto"/>
            <w:noWrap/>
            <w:vAlign w:val="bottom"/>
            <w:hideMark/>
          </w:tcPr>
          <w:p w14:paraId="0BFAF077"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53,69</w:t>
            </w:r>
            <w:r>
              <w:rPr>
                <w:rFonts w:eastAsia="Times New Roman" w:cs="Times New Roman"/>
                <w:szCs w:val="24"/>
              </w:rPr>
              <w:t xml:space="preserve"> </w:t>
            </w:r>
            <w:r w:rsidRPr="00AF5AE4">
              <w:rPr>
                <w:rFonts w:eastAsia="Times New Roman" w:cs="Times New Roman"/>
                <w:szCs w:val="24"/>
              </w:rPr>
              <w:t>%</w:t>
            </w:r>
          </w:p>
        </w:tc>
      </w:tr>
      <w:tr w:rsidR="00F851CC" w:rsidRPr="00AF5AE4" w14:paraId="2E2CF085" w14:textId="77777777" w:rsidTr="007A6126">
        <w:trPr>
          <w:trHeight w:val="288"/>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36F3BCF4"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pribitek za majhnost podjetja</w:t>
            </w:r>
          </w:p>
        </w:tc>
        <w:tc>
          <w:tcPr>
            <w:tcW w:w="1400" w:type="dxa"/>
            <w:tcBorders>
              <w:top w:val="nil"/>
              <w:left w:val="nil"/>
              <w:bottom w:val="single" w:sz="4" w:space="0" w:color="auto"/>
              <w:right w:val="single" w:sz="4" w:space="0" w:color="auto"/>
            </w:tcBorders>
            <w:shd w:val="clear" w:color="auto" w:fill="auto"/>
            <w:noWrap/>
            <w:vAlign w:val="bottom"/>
            <w:hideMark/>
          </w:tcPr>
          <w:p w14:paraId="3FA4BE7F"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3,6</w:t>
            </w:r>
            <w:r>
              <w:rPr>
                <w:rFonts w:eastAsia="Times New Roman" w:cs="Times New Roman"/>
                <w:szCs w:val="24"/>
              </w:rPr>
              <w:t xml:space="preserve">7 </w:t>
            </w:r>
            <w:r w:rsidRPr="00AF5AE4">
              <w:rPr>
                <w:rFonts w:eastAsia="Times New Roman" w:cs="Times New Roman"/>
                <w:szCs w:val="24"/>
              </w:rPr>
              <w:t>%</w:t>
            </w:r>
          </w:p>
        </w:tc>
      </w:tr>
      <w:tr w:rsidR="00F851CC" w:rsidRPr="00AF5AE4" w14:paraId="3552CA99" w14:textId="77777777" w:rsidTr="007A6126">
        <w:trPr>
          <w:trHeight w:val="300"/>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0D13E4C1"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pribitek za deželno tveganje</w:t>
            </w:r>
          </w:p>
        </w:tc>
        <w:tc>
          <w:tcPr>
            <w:tcW w:w="1400" w:type="dxa"/>
            <w:tcBorders>
              <w:top w:val="nil"/>
              <w:left w:val="nil"/>
              <w:bottom w:val="single" w:sz="4" w:space="0" w:color="auto"/>
              <w:right w:val="single" w:sz="4" w:space="0" w:color="auto"/>
            </w:tcBorders>
            <w:shd w:val="clear" w:color="auto" w:fill="auto"/>
            <w:noWrap/>
            <w:vAlign w:val="bottom"/>
            <w:hideMark/>
          </w:tcPr>
          <w:p w14:paraId="4F3B69B3" w14:textId="77777777" w:rsidR="00F851CC" w:rsidRPr="00AF5AE4" w:rsidRDefault="00F851CC" w:rsidP="007A6126">
            <w:pPr>
              <w:spacing w:after="0" w:line="240" w:lineRule="auto"/>
              <w:jc w:val="right"/>
              <w:rPr>
                <w:rFonts w:eastAsia="Times New Roman" w:cs="Times New Roman"/>
                <w:szCs w:val="24"/>
              </w:rPr>
            </w:pPr>
            <w:r>
              <w:rPr>
                <w:rFonts w:eastAsia="Times New Roman" w:cs="Times New Roman"/>
                <w:szCs w:val="24"/>
              </w:rPr>
              <w:t xml:space="preserve">2,22 </w:t>
            </w:r>
            <w:r w:rsidRPr="00AF5AE4">
              <w:rPr>
                <w:rFonts w:eastAsia="Times New Roman" w:cs="Times New Roman"/>
                <w:szCs w:val="24"/>
              </w:rPr>
              <w:t>%</w:t>
            </w:r>
          </w:p>
        </w:tc>
      </w:tr>
      <w:tr w:rsidR="00F851CC" w:rsidRPr="00AF5AE4" w14:paraId="36D06145" w14:textId="77777777" w:rsidTr="007A6126">
        <w:trPr>
          <w:trHeight w:val="288"/>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44332FDD" w14:textId="553AD753" w:rsidR="00F851CC" w:rsidRPr="00AF5AE4" w:rsidRDefault="00DF78C8" w:rsidP="007A6126">
            <w:pPr>
              <w:spacing w:after="0" w:line="240" w:lineRule="auto"/>
              <w:rPr>
                <w:rFonts w:eastAsia="Times New Roman" w:cs="Times New Roman"/>
                <w:szCs w:val="24"/>
              </w:rPr>
            </w:pPr>
            <w:proofErr w:type="spellStart"/>
            <w:r>
              <w:rPr>
                <w:rFonts w:eastAsia="Times New Roman" w:cs="Times New Roman"/>
                <w:szCs w:val="24"/>
              </w:rPr>
              <w:t>n</w:t>
            </w:r>
            <w:r w:rsidR="00F851CC" w:rsidRPr="00AF5AE4">
              <w:rPr>
                <w:rFonts w:eastAsia="Times New Roman" w:cs="Times New Roman"/>
                <w:szCs w:val="24"/>
              </w:rPr>
              <w:t>etvegana</w:t>
            </w:r>
            <w:proofErr w:type="spellEnd"/>
            <w:r w:rsidR="00F851CC" w:rsidRPr="00AF5AE4">
              <w:rPr>
                <w:rFonts w:eastAsia="Times New Roman" w:cs="Times New Roman"/>
                <w:szCs w:val="24"/>
              </w:rPr>
              <w:t xml:space="preserve"> stopnja donosa </w:t>
            </w:r>
          </w:p>
        </w:tc>
        <w:tc>
          <w:tcPr>
            <w:tcW w:w="1400" w:type="dxa"/>
            <w:tcBorders>
              <w:top w:val="nil"/>
              <w:left w:val="nil"/>
              <w:bottom w:val="single" w:sz="4" w:space="0" w:color="auto"/>
              <w:right w:val="single" w:sz="4" w:space="0" w:color="auto"/>
            </w:tcBorders>
            <w:shd w:val="clear" w:color="auto" w:fill="auto"/>
            <w:noWrap/>
            <w:vAlign w:val="bottom"/>
            <w:hideMark/>
          </w:tcPr>
          <w:p w14:paraId="7AC01AC8"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3,50</w:t>
            </w:r>
            <w:r>
              <w:rPr>
                <w:rFonts w:eastAsia="Times New Roman" w:cs="Times New Roman"/>
                <w:szCs w:val="24"/>
              </w:rPr>
              <w:t xml:space="preserve"> </w:t>
            </w:r>
            <w:r w:rsidRPr="00AF5AE4">
              <w:rPr>
                <w:rFonts w:eastAsia="Times New Roman" w:cs="Times New Roman"/>
                <w:szCs w:val="24"/>
              </w:rPr>
              <w:t>%</w:t>
            </w:r>
          </w:p>
        </w:tc>
      </w:tr>
      <w:tr w:rsidR="00F851CC" w:rsidRPr="00AF5AE4" w14:paraId="672D81FB" w14:textId="77777777" w:rsidTr="007A6126">
        <w:trPr>
          <w:trHeight w:val="288"/>
          <w:jc w:val="center"/>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73305C38" w14:textId="7B5F5C56" w:rsidR="00F851CC" w:rsidRPr="00AF5AE4" w:rsidRDefault="00DF78C8" w:rsidP="007A6126">
            <w:pPr>
              <w:spacing w:after="0" w:line="240" w:lineRule="auto"/>
              <w:rPr>
                <w:rFonts w:eastAsia="Times New Roman" w:cs="Times New Roman"/>
                <w:szCs w:val="24"/>
              </w:rPr>
            </w:pPr>
            <w:r>
              <w:rPr>
                <w:rFonts w:eastAsia="Times New Roman" w:cs="Times New Roman"/>
                <w:szCs w:val="24"/>
              </w:rPr>
              <w:t>t</w:t>
            </w:r>
            <w:r w:rsidR="00F851CC" w:rsidRPr="00AF5AE4">
              <w:rPr>
                <w:rFonts w:eastAsia="Times New Roman" w:cs="Times New Roman"/>
                <w:szCs w:val="24"/>
              </w:rPr>
              <w:t>ržna premija za tveganje</w:t>
            </w:r>
          </w:p>
        </w:tc>
        <w:tc>
          <w:tcPr>
            <w:tcW w:w="1400" w:type="dxa"/>
            <w:tcBorders>
              <w:top w:val="nil"/>
              <w:left w:val="nil"/>
              <w:bottom w:val="single" w:sz="4" w:space="0" w:color="auto"/>
              <w:right w:val="single" w:sz="4" w:space="0" w:color="auto"/>
            </w:tcBorders>
            <w:shd w:val="clear" w:color="auto" w:fill="auto"/>
            <w:noWrap/>
            <w:vAlign w:val="bottom"/>
            <w:hideMark/>
          </w:tcPr>
          <w:p w14:paraId="214ECD7A"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5,19</w:t>
            </w:r>
            <w:r>
              <w:rPr>
                <w:rFonts w:eastAsia="Times New Roman" w:cs="Times New Roman"/>
                <w:szCs w:val="24"/>
              </w:rPr>
              <w:t xml:space="preserve"> </w:t>
            </w:r>
            <w:r w:rsidRPr="00AF5AE4">
              <w:rPr>
                <w:rFonts w:eastAsia="Times New Roman" w:cs="Times New Roman"/>
                <w:szCs w:val="24"/>
              </w:rPr>
              <w:t>%</w:t>
            </w:r>
          </w:p>
        </w:tc>
      </w:tr>
      <w:tr w:rsidR="00F851CC" w:rsidRPr="00AF5AE4" w14:paraId="75EB0745" w14:textId="77777777" w:rsidTr="007A6126">
        <w:trPr>
          <w:trHeight w:val="300"/>
          <w:jc w:val="center"/>
        </w:trPr>
        <w:tc>
          <w:tcPr>
            <w:tcW w:w="3380" w:type="dxa"/>
            <w:tcBorders>
              <w:top w:val="nil"/>
              <w:left w:val="single" w:sz="4" w:space="0" w:color="auto"/>
              <w:bottom w:val="single" w:sz="8" w:space="0" w:color="auto"/>
              <w:right w:val="single" w:sz="4" w:space="0" w:color="auto"/>
            </w:tcBorders>
            <w:shd w:val="clear" w:color="auto" w:fill="auto"/>
            <w:noWrap/>
            <w:vAlign w:val="bottom"/>
            <w:hideMark/>
          </w:tcPr>
          <w:p w14:paraId="57E07105" w14:textId="77777777" w:rsidR="00F851CC" w:rsidRPr="00AF5AE4" w:rsidRDefault="00F851CC" w:rsidP="007A6126">
            <w:pPr>
              <w:spacing w:after="0" w:line="240" w:lineRule="auto"/>
              <w:rPr>
                <w:rFonts w:eastAsia="Times New Roman" w:cs="Times New Roman"/>
                <w:szCs w:val="24"/>
              </w:rPr>
            </w:pPr>
            <w:r w:rsidRPr="00AF5AE4">
              <w:rPr>
                <w:rFonts w:eastAsia="Times New Roman" w:cs="Times New Roman"/>
                <w:szCs w:val="24"/>
              </w:rPr>
              <w:t>posebna tveganja</w:t>
            </w:r>
          </w:p>
        </w:tc>
        <w:tc>
          <w:tcPr>
            <w:tcW w:w="1400" w:type="dxa"/>
            <w:tcBorders>
              <w:top w:val="nil"/>
              <w:left w:val="nil"/>
              <w:bottom w:val="single" w:sz="8" w:space="0" w:color="auto"/>
              <w:right w:val="single" w:sz="4" w:space="0" w:color="auto"/>
            </w:tcBorders>
            <w:shd w:val="clear" w:color="auto" w:fill="auto"/>
            <w:noWrap/>
            <w:vAlign w:val="bottom"/>
            <w:hideMark/>
          </w:tcPr>
          <w:p w14:paraId="585CA9CD" w14:textId="77777777" w:rsidR="00F851CC" w:rsidRPr="00AF5AE4" w:rsidRDefault="00F851CC" w:rsidP="007A6126">
            <w:pPr>
              <w:spacing w:after="0" w:line="240" w:lineRule="auto"/>
              <w:jc w:val="right"/>
              <w:rPr>
                <w:rFonts w:eastAsia="Times New Roman" w:cs="Times New Roman"/>
                <w:szCs w:val="24"/>
              </w:rPr>
            </w:pPr>
            <w:r w:rsidRPr="00AF5AE4">
              <w:rPr>
                <w:rFonts w:eastAsia="Times New Roman" w:cs="Times New Roman"/>
                <w:szCs w:val="24"/>
              </w:rPr>
              <w:t>0,00</w:t>
            </w:r>
            <w:r>
              <w:rPr>
                <w:rFonts w:eastAsia="Times New Roman" w:cs="Times New Roman"/>
                <w:szCs w:val="24"/>
              </w:rPr>
              <w:t xml:space="preserve"> </w:t>
            </w:r>
            <w:r w:rsidRPr="00AF5AE4">
              <w:rPr>
                <w:rFonts w:eastAsia="Times New Roman" w:cs="Times New Roman"/>
                <w:szCs w:val="24"/>
              </w:rPr>
              <w:t>%</w:t>
            </w:r>
          </w:p>
        </w:tc>
      </w:tr>
      <w:tr w:rsidR="00F851CC" w:rsidRPr="00AF5AE4" w14:paraId="0A6C2B3A" w14:textId="77777777" w:rsidTr="007A6126">
        <w:trPr>
          <w:trHeight w:val="300"/>
          <w:jc w:val="center"/>
        </w:trPr>
        <w:tc>
          <w:tcPr>
            <w:tcW w:w="3380" w:type="dxa"/>
            <w:tcBorders>
              <w:top w:val="nil"/>
              <w:left w:val="single" w:sz="4" w:space="0" w:color="auto"/>
              <w:bottom w:val="single" w:sz="12" w:space="0" w:color="auto"/>
              <w:right w:val="single" w:sz="4" w:space="0" w:color="auto"/>
            </w:tcBorders>
            <w:shd w:val="clear" w:color="auto" w:fill="auto"/>
            <w:noWrap/>
            <w:vAlign w:val="bottom"/>
            <w:hideMark/>
          </w:tcPr>
          <w:p w14:paraId="5482CE30" w14:textId="77777777" w:rsidR="00F851CC" w:rsidRPr="00AF5AE4" w:rsidRDefault="00F851CC" w:rsidP="007A6126">
            <w:pPr>
              <w:spacing w:after="0" w:line="240" w:lineRule="auto"/>
              <w:rPr>
                <w:rFonts w:eastAsia="Times New Roman" w:cs="Times New Roman"/>
                <w:b/>
                <w:bCs/>
                <w:szCs w:val="24"/>
              </w:rPr>
            </w:pPr>
            <w:r w:rsidRPr="00AF5AE4">
              <w:rPr>
                <w:rFonts w:eastAsia="Times New Roman" w:cs="Times New Roman"/>
                <w:b/>
                <w:bCs/>
                <w:szCs w:val="24"/>
              </w:rPr>
              <w:t>strošek lastniškega kapitala</w:t>
            </w:r>
          </w:p>
        </w:tc>
        <w:tc>
          <w:tcPr>
            <w:tcW w:w="1400" w:type="dxa"/>
            <w:tcBorders>
              <w:top w:val="nil"/>
              <w:left w:val="nil"/>
              <w:bottom w:val="single" w:sz="12" w:space="0" w:color="auto"/>
              <w:right w:val="single" w:sz="4" w:space="0" w:color="auto"/>
            </w:tcBorders>
            <w:shd w:val="clear" w:color="auto" w:fill="auto"/>
            <w:noWrap/>
            <w:vAlign w:val="bottom"/>
            <w:hideMark/>
          </w:tcPr>
          <w:p w14:paraId="392CE579" w14:textId="77777777" w:rsidR="00F851CC" w:rsidRPr="00AF5AE4" w:rsidRDefault="00F851CC" w:rsidP="007A6126">
            <w:pPr>
              <w:spacing w:after="0" w:line="240" w:lineRule="auto"/>
              <w:jc w:val="right"/>
              <w:rPr>
                <w:rFonts w:eastAsia="Times New Roman" w:cs="Times New Roman"/>
                <w:b/>
                <w:bCs/>
                <w:szCs w:val="24"/>
              </w:rPr>
            </w:pPr>
            <w:r w:rsidRPr="00AF5AE4">
              <w:rPr>
                <w:rFonts w:eastAsia="Times New Roman" w:cs="Times New Roman"/>
                <w:b/>
                <w:bCs/>
                <w:szCs w:val="24"/>
              </w:rPr>
              <w:t>1</w:t>
            </w:r>
            <w:r>
              <w:rPr>
                <w:rFonts w:eastAsia="Times New Roman" w:cs="Times New Roman"/>
                <w:b/>
                <w:bCs/>
                <w:szCs w:val="24"/>
              </w:rPr>
              <w:t>6</w:t>
            </w:r>
            <w:r w:rsidRPr="00AF5AE4">
              <w:rPr>
                <w:rFonts w:eastAsia="Times New Roman" w:cs="Times New Roman"/>
                <w:b/>
                <w:bCs/>
                <w:szCs w:val="24"/>
              </w:rPr>
              <w:t>,</w:t>
            </w:r>
            <w:r>
              <w:rPr>
                <w:rFonts w:eastAsia="Times New Roman" w:cs="Times New Roman"/>
                <w:b/>
                <w:bCs/>
                <w:szCs w:val="24"/>
              </w:rPr>
              <w:t xml:space="preserve">64 </w:t>
            </w:r>
            <w:r w:rsidRPr="00AF5AE4">
              <w:rPr>
                <w:rFonts w:eastAsia="Times New Roman" w:cs="Times New Roman"/>
                <w:b/>
                <w:bCs/>
                <w:szCs w:val="24"/>
              </w:rPr>
              <w:t>%</w:t>
            </w:r>
          </w:p>
        </w:tc>
      </w:tr>
      <w:tr w:rsidR="00F851CC" w:rsidRPr="00AF5AE4" w14:paraId="442AE754" w14:textId="77777777" w:rsidTr="007A6126">
        <w:trPr>
          <w:trHeight w:val="300"/>
          <w:jc w:val="center"/>
        </w:trPr>
        <w:tc>
          <w:tcPr>
            <w:tcW w:w="3380" w:type="dxa"/>
            <w:tcBorders>
              <w:top w:val="single" w:sz="12" w:space="0" w:color="auto"/>
              <w:left w:val="single" w:sz="4" w:space="0" w:color="auto"/>
              <w:bottom w:val="single" w:sz="12" w:space="0" w:color="auto"/>
              <w:right w:val="single" w:sz="4" w:space="0" w:color="auto"/>
            </w:tcBorders>
            <w:shd w:val="clear" w:color="000000" w:fill="D0CECE"/>
            <w:noWrap/>
            <w:vAlign w:val="bottom"/>
            <w:hideMark/>
          </w:tcPr>
          <w:p w14:paraId="72C3027F" w14:textId="77777777" w:rsidR="00F851CC" w:rsidRPr="00AF5AE4" w:rsidRDefault="00F851CC" w:rsidP="007A6126">
            <w:pPr>
              <w:spacing w:after="0" w:line="240" w:lineRule="auto"/>
              <w:rPr>
                <w:rFonts w:eastAsia="Times New Roman" w:cs="Times New Roman"/>
                <w:b/>
                <w:bCs/>
                <w:szCs w:val="24"/>
              </w:rPr>
            </w:pPr>
            <w:r w:rsidRPr="00AF5AE4">
              <w:rPr>
                <w:rFonts w:eastAsia="Times New Roman" w:cs="Times New Roman"/>
                <w:b/>
                <w:bCs/>
                <w:szCs w:val="24"/>
              </w:rPr>
              <w:t>WACC</w:t>
            </w:r>
          </w:p>
        </w:tc>
        <w:tc>
          <w:tcPr>
            <w:tcW w:w="1400" w:type="dxa"/>
            <w:tcBorders>
              <w:top w:val="single" w:sz="12" w:space="0" w:color="auto"/>
              <w:left w:val="nil"/>
              <w:bottom w:val="single" w:sz="12" w:space="0" w:color="auto"/>
              <w:right w:val="single" w:sz="4" w:space="0" w:color="auto"/>
            </w:tcBorders>
            <w:shd w:val="clear" w:color="000000" w:fill="D0CECE"/>
            <w:noWrap/>
            <w:vAlign w:val="bottom"/>
            <w:hideMark/>
          </w:tcPr>
          <w:p w14:paraId="3E43A558" w14:textId="77777777" w:rsidR="00F851CC" w:rsidRPr="00AF5AE4" w:rsidRDefault="00F851CC" w:rsidP="007A6126">
            <w:pPr>
              <w:spacing w:after="0" w:line="240" w:lineRule="auto"/>
              <w:jc w:val="right"/>
              <w:rPr>
                <w:rFonts w:eastAsia="Times New Roman" w:cs="Times New Roman"/>
                <w:b/>
                <w:bCs/>
                <w:szCs w:val="24"/>
              </w:rPr>
            </w:pPr>
            <w:r w:rsidRPr="00AF5AE4">
              <w:rPr>
                <w:rFonts w:eastAsia="Times New Roman" w:cs="Times New Roman"/>
                <w:b/>
                <w:bCs/>
                <w:szCs w:val="24"/>
              </w:rPr>
              <w:t>8,</w:t>
            </w:r>
            <w:r>
              <w:rPr>
                <w:rFonts w:eastAsia="Times New Roman" w:cs="Times New Roman"/>
                <w:b/>
                <w:bCs/>
                <w:szCs w:val="24"/>
              </w:rPr>
              <w:t xml:space="preserve">87 </w:t>
            </w:r>
            <w:r w:rsidRPr="00AF5AE4">
              <w:rPr>
                <w:rFonts w:eastAsia="Times New Roman" w:cs="Times New Roman"/>
                <w:b/>
                <w:bCs/>
                <w:szCs w:val="24"/>
              </w:rPr>
              <w:t>%</w:t>
            </w:r>
          </w:p>
        </w:tc>
      </w:tr>
    </w:tbl>
    <w:p w14:paraId="3CF94A7F" w14:textId="77777777" w:rsidR="00F851CC" w:rsidRDefault="00F851CC" w:rsidP="00F851CC">
      <w:pPr>
        <w:pStyle w:val="Naslov1"/>
        <w:rPr>
          <w:lang w:eastAsia="sl-SI"/>
        </w:rPr>
      </w:pPr>
      <w:bookmarkStart w:id="87" w:name="_Toc18964885"/>
      <w:r>
        <w:rPr>
          <w:lang w:eastAsia="sl-SI"/>
        </w:rPr>
        <w:t>Izračun vrednosti delnice po metodi diskontiranih denarnih tokov</w:t>
      </w:r>
      <w:bookmarkEnd w:id="87"/>
    </w:p>
    <w:p w14:paraId="42ABC0D4" w14:textId="77777777" w:rsidR="00F851CC" w:rsidRDefault="00F851CC" w:rsidP="00F851CC">
      <w:pPr>
        <w:pStyle w:val="Brezrazmikov"/>
        <w:rPr>
          <w:lang w:eastAsia="sl-SI"/>
        </w:rPr>
      </w:pPr>
      <w:r>
        <w:rPr>
          <w:lang w:eastAsia="sl-SI"/>
        </w:rPr>
        <w:t>Z izračunanimi denarnimi tokovi za napovedno obdobje ter ocenjeno diskontno stopnjo</w:t>
      </w:r>
      <w:r w:rsidR="0008500D">
        <w:rPr>
          <w:lang w:eastAsia="sl-SI"/>
        </w:rPr>
        <w:t xml:space="preserve"> lahko družbi</w:t>
      </w:r>
      <w:r>
        <w:rPr>
          <w:lang w:eastAsia="sl-SI"/>
        </w:rPr>
        <w:t xml:space="preserve"> izračunamo vrednost delnice. Najprej moramo vsak denarni tok diskontirati z diskontno stopnjo WACC. To naredimo tako, da izračunamo diskontni faktor za vsako leto. Obratno vrednost izraza </w:t>
      </w:r>
      <m:oMath>
        <m:r>
          <w:rPr>
            <w:rFonts w:ascii="Cambria Math" w:hAnsi="Cambria Math"/>
            <w:lang w:eastAsia="sl-SI"/>
          </w:rPr>
          <m:t>(1+WACC)</m:t>
        </m:r>
      </m:oMath>
      <w:r>
        <w:rPr>
          <w:rFonts w:eastAsiaTheme="minorEastAsia"/>
          <w:lang w:eastAsia="sl-SI"/>
        </w:rPr>
        <w:t xml:space="preserve"> potenciramo s številom let diskontiranja</w:t>
      </w:r>
      <w:r>
        <w:rPr>
          <w:lang w:eastAsia="sl-SI"/>
        </w:rPr>
        <w:t>, nato pa vrednost FCFF pomnožimo s tem faktorjem ter tako dobimo diskontirani FCFF.</w:t>
      </w:r>
    </w:p>
    <w:p w14:paraId="521164EC" w14:textId="7DB0FAD9" w:rsidR="00F851CC" w:rsidRDefault="00F851CC" w:rsidP="00F851CC">
      <w:pPr>
        <w:pStyle w:val="Napis"/>
        <w:jc w:val="center"/>
      </w:pPr>
      <w:bookmarkStart w:id="88" w:name="_Ref13511340"/>
      <w:bookmarkStart w:id="89" w:name="_Toc18964921"/>
      <w:r w:rsidRPr="006327B5">
        <w:t>Tabela</w:t>
      </w:r>
      <w:r>
        <w:t xml:space="preserve"> </w:t>
      </w:r>
      <w:fldSimple w:instr=" SEQ Tabela \* ARABIC ">
        <w:r w:rsidR="00325440">
          <w:rPr>
            <w:noProof/>
          </w:rPr>
          <w:t>6</w:t>
        </w:r>
      </w:fldSimple>
      <w:bookmarkEnd w:id="88"/>
      <w:r>
        <w:t>: Diskontiran denarni tok</w:t>
      </w:r>
      <w:bookmarkEnd w:id="89"/>
    </w:p>
    <w:tbl>
      <w:tblPr>
        <w:tblW w:w="0" w:type="auto"/>
        <w:jc w:val="center"/>
        <w:tblLook w:val="04A0" w:firstRow="1" w:lastRow="0" w:firstColumn="1" w:lastColumn="0" w:noHBand="0" w:noVBand="1"/>
      </w:tblPr>
      <w:tblGrid>
        <w:gridCol w:w="2117"/>
        <w:gridCol w:w="876"/>
        <w:gridCol w:w="876"/>
        <w:gridCol w:w="876"/>
        <w:gridCol w:w="876"/>
        <w:gridCol w:w="876"/>
      </w:tblGrid>
      <w:tr w:rsidR="00F851CC" w:rsidRPr="00466760" w14:paraId="5D12693B" w14:textId="77777777" w:rsidTr="007A6126">
        <w:trPr>
          <w:trHeight w:val="324"/>
          <w:jc w:val="center"/>
        </w:trPr>
        <w:tc>
          <w:tcPr>
            <w:tcW w:w="0" w:type="auto"/>
            <w:tcBorders>
              <w:top w:val="nil"/>
              <w:left w:val="nil"/>
              <w:bottom w:val="single" w:sz="12" w:space="0" w:color="auto"/>
              <w:right w:val="nil"/>
            </w:tcBorders>
            <w:shd w:val="clear" w:color="auto" w:fill="auto"/>
            <w:noWrap/>
            <w:vAlign w:val="bottom"/>
            <w:hideMark/>
          </w:tcPr>
          <w:p w14:paraId="00599EC2" w14:textId="77777777" w:rsidR="00F851CC" w:rsidRPr="00466760" w:rsidRDefault="00F851CC" w:rsidP="007A6126">
            <w:pPr>
              <w:spacing w:after="0" w:line="240" w:lineRule="auto"/>
              <w:rPr>
                <w:rFonts w:eastAsia="Times New Roman" w:cs="Times New Roman"/>
                <w:b/>
                <w:bCs/>
                <w:color w:val="000000"/>
                <w:szCs w:val="24"/>
              </w:rPr>
            </w:pPr>
            <w:r w:rsidRPr="00466760">
              <w:rPr>
                <w:rFonts w:eastAsia="Times New Roman" w:cs="Times New Roman"/>
                <w:b/>
                <w:bCs/>
                <w:color w:val="000000"/>
                <w:szCs w:val="24"/>
              </w:rPr>
              <w:t>FCFF</w:t>
            </w:r>
          </w:p>
        </w:tc>
        <w:tc>
          <w:tcPr>
            <w:tcW w:w="0" w:type="auto"/>
            <w:tcBorders>
              <w:top w:val="nil"/>
              <w:left w:val="nil"/>
              <w:bottom w:val="single" w:sz="12" w:space="0" w:color="auto"/>
              <w:right w:val="nil"/>
            </w:tcBorders>
            <w:shd w:val="clear" w:color="auto" w:fill="auto"/>
            <w:noWrap/>
            <w:vAlign w:val="bottom"/>
            <w:hideMark/>
          </w:tcPr>
          <w:p w14:paraId="092C36F8"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25.000</w:t>
            </w:r>
          </w:p>
        </w:tc>
        <w:tc>
          <w:tcPr>
            <w:tcW w:w="0" w:type="auto"/>
            <w:tcBorders>
              <w:top w:val="nil"/>
              <w:left w:val="nil"/>
              <w:bottom w:val="single" w:sz="12" w:space="0" w:color="auto"/>
              <w:right w:val="nil"/>
            </w:tcBorders>
            <w:shd w:val="clear" w:color="auto" w:fill="auto"/>
            <w:noWrap/>
            <w:vAlign w:val="bottom"/>
            <w:hideMark/>
          </w:tcPr>
          <w:p w14:paraId="00458E4F"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21.211</w:t>
            </w:r>
          </w:p>
        </w:tc>
        <w:tc>
          <w:tcPr>
            <w:tcW w:w="0" w:type="auto"/>
            <w:tcBorders>
              <w:top w:val="nil"/>
              <w:left w:val="nil"/>
              <w:bottom w:val="single" w:sz="12" w:space="0" w:color="auto"/>
              <w:right w:val="nil"/>
            </w:tcBorders>
            <w:shd w:val="clear" w:color="auto" w:fill="auto"/>
            <w:noWrap/>
            <w:vAlign w:val="bottom"/>
            <w:hideMark/>
          </w:tcPr>
          <w:p w14:paraId="07710FC3"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25.160</w:t>
            </w:r>
          </w:p>
        </w:tc>
        <w:tc>
          <w:tcPr>
            <w:tcW w:w="0" w:type="auto"/>
            <w:tcBorders>
              <w:top w:val="nil"/>
              <w:left w:val="nil"/>
              <w:bottom w:val="single" w:sz="12" w:space="0" w:color="auto"/>
              <w:right w:val="nil"/>
            </w:tcBorders>
            <w:shd w:val="clear" w:color="auto" w:fill="auto"/>
            <w:noWrap/>
            <w:vAlign w:val="bottom"/>
            <w:hideMark/>
          </w:tcPr>
          <w:p w14:paraId="1776505D"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34.731</w:t>
            </w:r>
          </w:p>
        </w:tc>
        <w:tc>
          <w:tcPr>
            <w:tcW w:w="0" w:type="auto"/>
            <w:tcBorders>
              <w:top w:val="nil"/>
              <w:left w:val="nil"/>
              <w:bottom w:val="single" w:sz="12" w:space="0" w:color="auto"/>
              <w:right w:val="nil"/>
            </w:tcBorders>
            <w:vAlign w:val="bottom"/>
          </w:tcPr>
          <w:p w14:paraId="30F5B44B"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40.847</w:t>
            </w:r>
          </w:p>
        </w:tc>
      </w:tr>
      <w:tr w:rsidR="00F851CC" w:rsidRPr="00466760" w14:paraId="016B6541" w14:textId="77777777" w:rsidTr="007A6126">
        <w:trPr>
          <w:trHeight w:val="312"/>
          <w:jc w:val="center"/>
        </w:trPr>
        <w:tc>
          <w:tcPr>
            <w:tcW w:w="0" w:type="auto"/>
            <w:tcBorders>
              <w:top w:val="single" w:sz="12" w:space="0" w:color="auto"/>
              <w:left w:val="nil"/>
              <w:bottom w:val="nil"/>
              <w:right w:val="nil"/>
            </w:tcBorders>
            <w:shd w:val="clear" w:color="auto" w:fill="auto"/>
            <w:noWrap/>
            <w:vAlign w:val="bottom"/>
            <w:hideMark/>
          </w:tcPr>
          <w:p w14:paraId="265BF37F"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Diskontni faktor</w:t>
            </w:r>
          </w:p>
        </w:tc>
        <w:tc>
          <w:tcPr>
            <w:tcW w:w="0" w:type="auto"/>
            <w:tcBorders>
              <w:top w:val="single" w:sz="12" w:space="0" w:color="auto"/>
              <w:left w:val="nil"/>
              <w:bottom w:val="nil"/>
              <w:right w:val="nil"/>
            </w:tcBorders>
            <w:shd w:val="clear" w:color="auto" w:fill="auto"/>
            <w:noWrap/>
            <w:vAlign w:val="bottom"/>
            <w:hideMark/>
          </w:tcPr>
          <w:p w14:paraId="30991AAA"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0,9185</w:t>
            </w:r>
          </w:p>
        </w:tc>
        <w:tc>
          <w:tcPr>
            <w:tcW w:w="0" w:type="auto"/>
            <w:tcBorders>
              <w:top w:val="single" w:sz="12" w:space="0" w:color="auto"/>
              <w:left w:val="nil"/>
              <w:bottom w:val="nil"/>
              <w:right w:val="nil"/>
            </w:tcBorders>
            <w:shd w:val="clear" w:color="auto" w:fill="auto"/>
            <w:noWrap/>
            <w:vAlign w:val="bottom"/>
            <w:hideMark/>
          </w:tcPr>
          <w:p w14:paraId="7CA0C931"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0,8436</w:t>
            </w:r>
          </w:p>
        </w:tc>
        <w:tc>
          <w:tcPr>
            <w:tcW w:w="0" w:type="auto"/>
            <w:tcBorders>
              <w:top w:val="single" w:sz="12" w:space="0" w:color="auto"/>
              <w:left w:val="nil"/>
              <w:bottom w:val="nil"/>
              <w:right w:val="nil"/>
            </w:tcBorders>
            <w:shd w:val="clear" w:color="auto" w:fill="auto"/>
            <w:noWrap/>
            <w:vAlign w:val="bottom"/>
            <w:hideMark/>
          </w:tcPr>
          <w:p w14:paraId="3F534A0C"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0,7749</w:t>
            </w:r>
          </w:p>
        </w:tc>
        <w:tc>
          <w:tcPr>
            <w:tcW w:w="0" w:type="auto"/>
            <w:tcBorders>
              <w:top w:val="single" w:sz="12" w:space="0" w:color="auto"/>
              <w:left w:val="nil"/>
              <w:bottom w:val="nil"/>
              <w:right w:val="nil"/>
            </w:tcBorders>
            <w:shd w:val="clear" w:color="auto" w:fill="auto"/>
            <w:noWrap/>
            <w:vAlign w:val="bottom"/>
            <w:hideMark/>
          </w:tcPr>
          <w:p w14:paraId="794C81E7"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0,7117</w:t>
            </w:r>
          </w:p>
        </w:tc>
        <w:tc>
          <w:tcPr>
            <w:tcW w:w="0" w:type="auto"/>
            <w:tcBorders>
              <w:top w:val="single" w:sz="12" w:space="0" w:color="auto"/>
              <w:left w:val="nil"/>
              <w:bottom w:val="nil"/>
              <w:right w:val="nil"/>
            </w:tcBorders>
            <w:vAlign w:val="bottom"/>
          </w:tcPr>
          <w:p w14:paraId="07206911"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0,6537</w:t>
            </w:r>
          </w:p>
        </w:tc>
      </w:tr>
      <w:tr w:rsidR="00F851CC" w:rsidRPr="00466760" w14:paraId="003C12B3" w14:textId="77777777" w:rsidTr="007A6126">
        <w:trPr>
          <w:trHeight w:val="312"/>
          <w:jc w:val="center"/>
        </w:trPr>
        <w:tc>
          <w:tcPr>
            <w:tcW w:w="0" w:type="auto"/>
            <w:tcBorders>
              <w:top w:val="nil"/>
              <w:left w:val="nil"/>
              <w:right w:val="nil"/>
            </w:tcBorders>
            <w:shd w:val="clear" w:color="auto" w:fill="auto"/>
            <w:noWrap/>
            <w:vAlign w:val="bottom"/>
            <w:hideMark/>
          </w:tcPr>
          <w:p w14:paraId="10182B4F"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Leto</w:t>
            </w:r>
          </w:p>
        </w:tc>
        <w:tc>
          <w:tcPr>
            <w:tcW w:w="0" w:type="auto"/>
            <w:tcBorders>
              <w:top w:val="nil"/>
              <w:left w:val="nil"/>
              <w:right w:val="nil"/>
            </w:tcBorders>
            <w:shd w:val="clear" w:color="auto" w:fill="auto"/>
            <w:noWrap/>
            <w:vAlign w:val="bottom"/>
            <w:hideMark/>
          </w:tcPr>
          <w:p w14:paraId="0A422E20"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1</w:t>
            </w:r>
          </w:p>
        </w:tc>
        <w:tc>
          <w:tcPr>
            <w:tcW w:w="0" w:type="auto"/>
            <w:tcBorders>
              <w:top w:val="nil"/>
              <w:left w:val="nil"/>
              <w:right w:val="nil"/>
            </w:tcBorders>
            <w:shd w:val="clear" w:color="auto" w:fill="auto"/>
            <w:noWrap/>
            <w:vAlign w:val="bottom"/>
            <w:hideMark/>
          </w:tcPr>
          <w:p w14:paraId="27F037FD"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2</w:t>
            </w:r>
          </w:p>
        </w:tc>
        <w:tc>
          <w:tcPr>
            <w:tcW w:w="0" w:type="auto"/>
            <w:tcBorders>
              <w:top w:val="nil"/>
              <w:left w:val="nil"/>
              <w:right w:val="nil"/>
            </w:tcBorders>
            <w:shd w:val="clear" w:color="auto" w:fill="auto"/>
            <w:noWrap/>
            <w:vAlign w:val="bottom"/>
            <w:hideMark/>
          </w:tcPr>
          <w:p w14:paraId="45A0A323"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3</w:t>
            </w:r>
          </w:p>
        </w:tc>
        <w:tc>
          <w:tcPr>
            <w:tcW w:w="0" w:type="auto"/>
            <w:tcBorders>
              <w:top w:val="nil"/>
              <w:left w:val="nil"/>
              <w:right w:val="nil"/>
            </w:tcBorders>
            <w:shd w:val="clear" w:color="auto" w:fill="auto"/>
            <w:noWrap/>
            <w:vAlign w:val="bottom"/>
            <w:hideMark/>
          </w:tcPr>
          <w:p w14:paraId="3E9F5D14"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4</w:t>
            </w:r>
          </w:p>
        </w:tc>
        <w:tc>
          <w:tcPr>
            <w:tcW w:w="0" w:type="auto"/>
            <w:tcBorders>
              <w:top w:val="nil"/>
              <w:left w:val="nil"/>
              <w:right w:val="nil"/>
            </w:tcBorders>
            <w:vAlign w:val="bottom"/>
          </w:tcPr>
          <w:p w14:paraId="02C2A4E2"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5</w:t>
            </w:r>
          </w:p>
        </w:tc>
      </w:tr>
      <w:tr w:rsidR="00F851CC" w:rsidRPr="00466760" w14:paraId="7F191E7F" w14:textId="77777777" w:rsidTr="007A6126">
        <w:trPr>
          <w:trHeight w:val="324"/>
          <w:jc w:val="center"/>
        </w:trPr>
        <w:tc>
          <w:tcPr>
            <w:tcW w:w="0" w:type="auto"/>
            <w:tcBorders>
              <w:left w:val="nil"/>
              <w:bottom w:val="single" w:sz="12" w:space="0" w:color="auto"/>
              <w:right w:val="nil"/>
            </w:tcBorders>
            <w:shd w:val="clear" w:color="auto" w:fill="auto"/>
            <w:noWrap/>
            <w:vAlign w:val="bottom"/>
            <w:hideMark/>
          </w:tcPr>
          <w:p w14:paraId="1BA61108" w14:textId="77777777" w:rsidR="00F851CC" w:rsidRPr="00466760" w:rsidRDefault="00F851CC" w:rsidP="007A6126">
            <w:pPr>
              <w:spacing w:after="0" w:line="240" w:lineRule="auto"/>
              <w:rPr>
                <w:rFonts w:eastAsia="Times New Roman" w:cs="Times New Roman"/>
                <w:color w:val="000000"/>
                <w:szCs w:val="24"/>
              </w:rPr>
            </w:pPr>
            <w:r w:rsidRPr="00466760">
              <w:rPr>
                <w:rFonts w:eastAsia="Times New Roman" w:cs="Times New Roman"/>
                <w:color w:val="000000"/>
                <w:szCs w:val="24"/>
              </w:rPr>
              <w:t>WACC</w:t>
            </w:r>
          </w:p>
        </w:tc>
        <w:tc>
          <w:tcPr>
            <w:tcW w:w="0" w:type="auto"/>
            <w:tcBorders>
              <w:left w:val="nil"/>
              <w:bottom w:val="single" w:sz="12" w:space="0" w:color="auto"/>
              <w:right w:val="nil"/>
            </w:tcBorders>
            <w:shd w:val="clear" w:color="auto" w:fill="auto"/>
            <w:noWrap/>
            <w:vAlign w:val="bottom"/>
            <w:hideMark/>
          </w:tcPr>
          <w:p w14:paraId="4CE82CA0"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8,87%</w:t>
            </w:r>
          </w:p>
        </w:tc>
        <w:tc>
          <w:tcPr>
            <w:tcW w:w="0" w:type="auto"/>
            <w:tcBorders>
              <w:left w:val="nil"/>
              <w:bottom w:val="single" w:sz="12" w:space="0" w:color="auto"/>
              <w:right w:val="nil"/>
            </w:tcBorders>
            <w:shd w:val="clear" w:color="auto" w:fill="auto"/>
            <w:noWrap/>
            <w:vAlign w:val="bottom"/>
            <w:hideMark/>
          </w:tcPr>
          <w:p w14:paraId="0204E612"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8,87%</w:t>
            </w:r>
          </w:p>
        </w:tc>
        <w:tc>
          <w:tcPr>
            <w:tcW w:w="0" w:type="auto"/>
            <w:tcBorders>
              <w:left w:val="nil"/>
              <w:bottom w:val="single" w:sz="12" w:space="0" w:color="auto"/>
              <w:right w:val="nil"/>
            </w:tcBorders>
            <w:shd w:val="clear" w:color="auto" w:fill="auto"/>
            <w:noWrap/>
            <w:vAlign w:val="bottom"/>
            <w:hideMark/>
          </w:tcPr>
          <w:p w14:paraId="10FB0241"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8,87%</w:t>
            </w:r>
          </w:p>
        </w:tc>
        <w:tc>
          <w:tcPr>
            <w:tcW w:w="0" w:type="auto"/>
            <w:tcBorders>
              <w:left w:val="nil"/>
              <w:bottom w:val="single" w:sz="12" w:space="0" w:color="auto"/>
              <w:right w:val="nil"/>
            </w:tcBorders>
            <w:shd w:val="clear" w:color="auto" w:fill="auto"/>
            <w:noWrap/>
            <w:vAlign w:val="bottom"/>
            <w:hideMark/>
          </w:tcPr>
          <w:p w14:paraId="0892368F"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8,87%</w:t>
            </w:r>
          </w:p>
        </w:tc>
        <w:tc>
          <w:tcPr>
            <w:tcW w:w="0" w:type="auto"/>
            <w:tcBorders>
              <w:left w:val="nil"/>
              <w:bottom w:val="single" w:sz="12" w:space="0" w:color="auto"/>
              <w:right w:val="nil"/>
            </w:tcBorders>
            <w:vAlign w:val="bottom"/>
          </w:tcPr>
          <w:p w14:paraId="6C43C63E" w14:textId="77777777" w:rsidR="00F851CC" w:rsidRPr="00305696" w:rsidRDefault="00F851CC" w:rsidP="007A6126">
            <w:pPr>
              <w:spacing w:after="0" w:line="240" w:lineRule="auto"/>
              <w:jc w:val="right"/>
              <w:rPr>
                <w:rFonts w:eastAsia="Times New Roman" w:cs="Times New Roman"/>
                <w:color w:val="000000"/>
                <w:szCs w:val="24"/>
              </w:rPr>
            </w:pPr>
            <w:r w:rsidRPr="00305696">
              <w:rPr>
                <w:rFonts w:eastAsia="Times New Roman" w:cs="Times New Roman"/>
                <w:color w:val="000000"/>
                <w:szCs w:val="24"/>
              </w:rPr>
              <w:t>8,87%</w:t>
            </w:r>
          </w:p>
        </w:tc>
      </w:tr>
      <w:tr w:rsidR="00F851CC" w:rsidRPr="00466760" w14:paraId="40A6BAFB" w14:textId="77777777" w:rsidTr="00061768">
        <w:trPr>
          <w:trHeight w:val="324"/>
          <w:jc w:val="center"/>
        </w:trPr>
        <w:tc>
          <w:tcPr>
            <w:tcW w:w="0" w:type="auto"/>
            <w:tcBorders>
              <w:top w:val="single" w:sz="12" w:space="0" w:color="auto"/>
              <w:left w:val="nil"/>
              <w:bottom w:val="single" w:sz="12" w:space="0" w:color="auto"/>
              <w:right w:val="nil"/>
            </w:tcBorders>
            <w:shd w:val="clear" w:color="auto" w:fill="auto"/>
            <w:noWrap/>
            <w:vAlign w:val="bottom"/>
            <w:hideMark/>
          </w:tcPr>
          <w:p w14:paraId="01B3F696" w14:textId="77777777" w:rsidR="00F851CC" w:rsidRPr="00466760" w:rsidRDefault="00F851CC" w:rsidP="007A6126">
            <w:pPr>
              <w:spacing w:after="0" w:line="240" w:lineRule="auto"/>
              <w:rPr>
                <w:rFonts w:eastAsia="Times New Roman" w:cs="Times New Roman"/>
                <w:b/>
                <w:bCs/>
                <w:color w:val="000000"/>
                <w:szCs w:val="24"/>
              </w:rPr>
            </w:pPr>
            <w:r w:rsidRPr="00466760">
              <w:rPr>
                <w:rFonts w:eastAsia="Times New Roman" w:cs="Times New Roman"/>
                <w:b/>
                <w:bCs/>
                <w:color w:val="000000"/>
                <w:szCs w:val="24"/>
              </w:rPr>
              <w:t>Diskontiran FCFF</w:t>
            </w:r>
          </w:p>
        </w:tc>
        <w:tc>
          <w:tcPr>
            <w:tcW w:w="0" w:type="auto"/>
            <w:tcBorders>
              <w:top w:val="single" w:sz="12" w:space="0" w:color="auto"/>
              <w:left w:val="nil"/>
              <w:bottom w:val="single" w:sz="12" w:space="0" w:color="auto"/>
              <w:right w:val="nil"/>
            </w:tcBorders>
            <w:shd w:val="clear" w:color="auto" w:fill="auto"/>
            <w:noWrap/>
            <w:vAlign w:val="bottom"/>
            <w:hideMark/>
          </w:tcPr>
          <w:p w14:paraId="70078320"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22.963</w:t>
            </w:r>
          </w:p>
        </w:tc>
        <w:tc>
          <w:tcPr>
            <w:tcW w:w="0" w:type="auto"/>
            <w:tcBorders>
              <w:top w:val="single" w:sz="12" w:space="0" w:color="auto"/>
              <w:left w:val="nil"/>
              <w:bottom w:val="single" w:sz="12" w:space="0" w:color="auto"/>
              <w:right w:val="nil"/>
            </w:tcBorders>
            <w:shd w:val="clear" w:color="auto" w:fill="auto"/>
            <w:noWrap/>
            <w:vAlign w:val="bottom"/>
            <w:hideMark/>
          </w:tcPr>
          <w:p w14:paraId="6B3E4A07"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17.894</w:t>
            </w:r>
          </w:p>
        </w:tc>
        <w:tc>
          <w:tcPr>
            <w:tcW w:w="0" w:type="auto"/>
            <w:tcBorders>
              <w:top w:val="single" w:sz="12" w:space="0" w:color="auto"/>
              <w:left w:val="nil"/>
              <w:bottom w:val="single" w:sz="12" w:space="0" w:color="auto"/>
              <w:right w:val="nil"/>
            </w:tcBorders>
            <w:shd w:val="clear" w:color="auto" w:fill="auto"/>
            <w:noWrap/>
            <w:vAlign w:val="bottom"/>
            <w:hideMark/>
          </w:tcPr>
          <w:p w14:paraId="4FAAD292"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19.496</w:t>
            </w:r>
          </w:p>
        </w:tc>
        <w:tc>
          <w:tcPr>
            <w:tcW w:w="0" w:type="auto"/>
            <w:tcBorders>
              <w:top w:val="single" w:sz="12" w:space="0" w:color="auto"/>
              <w:left w:val="nil"/>
              <w:bottom w:val="single" w:sz="12" w:space="0" w:color="auto"/>
              <w:right w:val="nil"/>
            </w:tcBorders>
            <w:shd w:val="clear" w:color="auto" w:fill="auto"/>
            <w:noWrap/>
            <w:vAlign w:val="bottom"/>
            <w:hideMark/>
          </w:tcPr>
          <w:p w14:paraId="675D17C2"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24.719</w:t>
            </w:r>
          </w:p>
        </w:tc>
        <w:tc>
          <w:tcPr>
            <w:tcW w:w="0" w:type="auto"/>
            <w:tcBorders>
              <w:top w:val="single" w:sz="12" w:space="0" w:color="auto"/>
              <w:left w:val="nil"/>
              <w:bottom w:val="single" w:sz="12" w:space="0" w:color="auto"/>
              <w:right w:val="nil"/>
            </w:tcBorders>
            <w:vAlign w:val="bottom"/>
          </w:tcPr>
          <w:p w14:paraId="79655CD1" w14:textId="77777777" w:rsidR="00F851CC" w:rsidRPr="00305696" w:rsidRDefault="00F851CC" w:rsidP="007A6126">
            <w:pPr>
              <w:spacing w:after="0" w:line="240" w:lineRule="auto"/>
              <w:jc w:val="right"/>
              <w:rPr>
                <w:rFonts w:eastAsia="Times New Roman" w:cs="Times New Roman"/>
                <w:b/>
                <w:bCs/>
                <w:color w:val="000000"/>
                <w:szCs w:val="24"/>
              </w:rPr>
            </w:pPr>
            <w:r w:rsidRPr="00305696">
              <w:rPr>
                <w:rFonts w:eastAsia="Times New Roman" w:cs="Times New Roman"/>
                <w:b/>
                <w:bCs/>
                <w:color w:val="000000"/>
                <w:szCs w:val="24"/>
              </w:rPr>
              <w:t>26.703</w:t>
            </w:r>
          </w:p>
        </w:tc>
      </w:tr>
      <w:tr w:rsidR="00061768" w:rsidRPr="00466760" w14:paraId="1ABC2A63" w14:textId="77777777" w:rsidTr="00061768">
        <w:trPr>
          <w:trHeight w:val="324"/>
          <w:jc w:val="center"/>
        </w:trPr>
        <w:tc>
          <w:tcPr>
            <w:tcW w:w="0" w:type="auto"/>
            <w:tcBorders>
              <w:top w:val="single" w:sz="12" w:space="0" w:color="auto"/>
              <w:left w:val="nil"/>
              <w:right w:val="nil"/>
            </w:tcBorders>
            <w:shd w:val="clear" w:color="auto" w:fill="auto"/>
            <w:noWrap/>
            <w:vAlign w:val="bottom"/>
          </w:tcPr>
          <w:p w14:paraId="30D62148" w14:textId="77777777" w:rsidR="00061768" w:rsidRPr="00466760" w:rsidRDefault="00061768" w:rsidP="007A6126">
            <w:pPr>
              <w:spacing w:after="0" w:line="240" w:lineRule="auto"/>
              <w:rPr>
                <w:rFonts w:eastAsia="Times New Roman" w:cs="Times New Roman"/>
                <w:b/>
                <w:bCs/>
                <w:color w:val="000000"/>
                <w:szCs w:val="24"/>
              </w:rPr>
            </w:pPr>
          </w:p>
        </w:tc>
        <w:tc>
          <w:tcPr>
            <w:tcW w:w="0" w:type="auto"/>
            <w:tcBorders>
              <w:top w:val="single" w:sz="12" w:space="0" w:color="auto"/>
              <w:left w:val="nil"/>
              <w:right w:val="nil"/>
            </w:tcBorders>
            <w:shd w:val="clear" w:color="auto" w:fill="auto"/>
            <w:noWrap/>
            <w:vAlign w:val="bottom"/>
          </w:tcPr>
          <w:p w14:paraId="21C794DC" w14:textId="77777777" w:rsidR="00061768" w:rsidRPr="00305696" w:rsidRDefault="00061768" w:rsidP="007A6126">
            <w:pPr>
              <w:spacing w:after="0" w:line="240" w:lineRule="auto"/>
              <w:jc w:val="right"/>
              <w:rPr>
                <w:rFonts w:eastAsia="Times New Roman" w:cs="Times New Roman"/>
                <w:b/>
                <w:bCs/>
                <w:color w:val="000000"/>
                <w:szCs w:val="24"/>
              </w:rPr>
            </w:pPr>
          </w:p>
        </w:tc>
        <w:tc>
          <w:tcPr>
            <w:tcW w:w="0" w:type="auto"/>
            <w:tcBorders>
              <w:top w:val="single" w:sz="12" w:space="0" w:color="auto"/>
              <w:left w:val="nil"/>
              <w:right w:val="nil"/>
            </w:tcBorders>
            <w:shd w:val="clear" w:color="auto" w:fill="auto"/>
            <w:noWrap/>
            <w:vAlign w:val="bottom"/>
          </w:tcPr>
          <w:p w14:paraId="00A67D43" w14:textId="77777777" w:rsidR="00061768" w:rsidRPr="00305696" w:rsidRDefault="00061768" w:rsidP="007A6126">
            <w:pPr>
              <w:spacing w:after="0" w:line="240" w:lineRule="auto"/>
              <w:jc w:val="right"/>
              <w:rPr>
                <w:rFonts w:eastAsia="Times New Roman" w:cs="Times New Roman"/>
                <w:b/>
                <w:bCs/>
                <w:color w:val="000000"/>
                <w:szCs w:val="24"/>
              </w:rPr>
            </w:pPr>
          </w:p>
        </w:tc>
        <w:tc>
          <w:tcPr>
            <w:tcW w:w="0" w:type="auto"/>
            <w:tcBorders>
              <w:top w:val="single" w:sz="12" w:space="0" w:color="auto"/>
              <w:left w:val="nil"/>
              <w:right w:val="nil"/>
            </w:tcBorders>
            <w:shd w:val="clear" w:color="auto" w:fill="auto"/>
            <w:noWrap/>
            <w:vAlign w:val="bottom"/>
          </w:tcPr>
          <w:p w14:paraId="0E2035CE" w14:textId="77777777" w:rsidR="00061768" w:rsidRPr="00305696" w:rsidRDefault="00061768" w:rsidP="007A6126">
            <w:pPr>
              <w:spacing w:after="0" w:line="240" w:lineRule="auto"/>
              <w:jc w:val="right"/>
              <w:rPr>
                <w:rFonts w:eastAsia="Times New Roman" w:cs="Times New Roman"/>
                <w:b/>
                <w:bCs/>
                <w:color w:val="000000"/>
                <w:szCs w:val="24"/>
              </w:rPr>
            </w:pPr>
          </w:p>
        </w:tc>
        <w:tc>
          <w:tcPr>
            <w:tcW w:w="0" w:type="auto"/>
            <w:tcBorders>
              <w:top w:val="single" w:sz="12" w:space="0" w:color="auto"/>
              <w:left w:val="nil"/>
              <w:right w:val="nil"/>
            </w:tcBorders>
            <w:shd w:val="clear" w:color="auto" w:fill="auto"/>
            <w:noWrap/>
            <w:vAlign w:val="bottom"/>
          </w:tcPr>
          <w:p w14:paraId="04BCD7BD" w14:textId="77777777" w:rsidR="00061768" w:rsidRPr="00305696" w:rsidRDefault="00061768" w:rsidP="007A6126">
            <w:pPr>
              <w:spacing w:after="0" w:line="240" w:lineRule="auto"/>
              <w:jc w:val="right"/>
              <w:rPr>
                <w:rFonts w:eastAsia="Times New Roman" w:cs="Times New Roman"/>
                <w:b/>
                <w:bCs/>
                <w:color w:val="000000"/>
                <w:szCs w:val="24"/>
              </w:rPr>
            </w:pPr>
          </w:p>
        </w:tc>
        <w:tc>
          <w:tcPr>
            <w:tcW w:w="0" w:type="auto"/>
            <w:tcBorders>
              <w:top w:val="single" w:sz="12" w:space="0" w:color="auto"/>
              <w:left w:val="nil"/>
              <w:right w:val="nil"/>
            </w:tcBorders>
            <w:vAlign w:val="bottom"/>
          </w:tcPr>
          <w:p w14:paraId="5BAD199B" w14:textId="77777777" w:rsidR="00061768" w:rsidRPr="00305696" w:rsidRDefault="00061768" w:rsidP="007A6126">
            <w:pPr>
              <w:spacing w:after="0" w:line="240" w:lineRule="auto"/>
              <w:jc w:val="right"/>
              <w:rPr>
                <w:rFonts w:eastAsia="Times New Roman" w:cs="Times New Roman"/>
                <w:b/>
                <w:bCs/>
                <w:color w:val="000000"/>
                <w:szCs w:val="24"/>
              </w:rPr>
            </w:pPr>
          </w:p>
        </w:tc>
      </w:tr>
    </w:tbl>
    <w:p w14:paraId="1B32B240" w14:textId="13769D71" w:rsidR="00F851CC" w:rsidRDefault="00F851CC" w:rsidP="00F851CC">
      <w:pPr>
        <w:pStyle w:val="Brezrazmikov"/>
      </w:pPr>
      <w:r>
        <w:t xml:space="preserve">Po enačbi </w:t>
      </w:r>
      <w:r>
        <w:fldChar w:fldCharType="begin"/>
      </w:r>
      <w:r>
        <w:instrText xml:space="preserve"> REF enacba2 \h </w:instrText>
      </w:r>
      <w:r>
        <w:fldChar w:fldCharType="separate"/>
      </w:r>
      <w:r w:rsidR="00325440">
        <w:rPr>
          <w:lang w:eastAsia="sl-SI"/>
        </w:rPr>
        <w:t>(</w:t>
      </w:r>
      <w:r w:rsidR="00325440">
        <w:rPr>
          <w:noProof/>
          <w:lang w:eastAsia="sl-SI"/>
        </w:rPr>
        <w:t>2</w:t>
      </w:r>
      <w:r w:rsidR="00325440">
        <w:rPr>
          <w:lang w:eastAsia="sl-SI"/>
        </w:rPr>
        <w:t>)</w:t>
      </w:r>
      <w:r>
        <w:fldChar w:fldCharType="end"/>
      </w:r>
      <w:r>
        <w:t xml:space="preserve"> lahko izračunamo sedanjo vrednost, ki izhaja iz napovedanih FCFF in tako dobimo 111,77 mio EUR. </w:t>
      </w:r>
      <w:r w:rsidRPr="00CC31CF">
        <w:t>Podobno lahko, z upoštevano konstantno rastjo v višini 1,</w:t>
      </w:r>
      <w:r>
        <w:t>6</w:t>
      </w:r>
      <w:r w:rsidRPr="00CC31CF">
        <w:t xml:space="preserve"> %, po</w:t>
      </w:r>
      <w:r>
        <w:t xml:space="preserve"> enačbi </w:t>
      </w:r>
      <w:r>
        <w:fldChar w:fldCharType="begin"/>
      </w:r>
      <w:r>
        <w:instrText xml:space="preserve"> REF enacba3 \h </w:instrText>
      </w:r>
      <w:r>
        <w:fldChar w:fldCharType="separate"/>
      </w:r>
      <w:r w:rsidR="00325440">
        <w:rPr>
          <w:lang w:eastAsia="sl-SI"/>
        </w:rPr>
        <w:t>(</w:t>
      </w:r>
      <w:r w:rsidR="00325440">
        <w:rPr>
          <w:noProof/>
          <w:lang w:eastAsia="sl-SI"/>
        </w:rPr>
        <w:t>3</w:t>
      </w:r>
      <w:r w:rsidR="00325440">
        <w:rPr>
          <w:lang w:eastAsia="sl-SI"/>
        </w:rPr>
        <w:t>)</w:t>
      </w:r>
      <w:r>
        <w:fldChar w:fldCharType="end"/>
      </w:r>
      <w:r w:rsidRPr="00CC31CF">
        <w:t xml:space="preserve"> izračunamo preostalo vrednost, ki znaša </w:t>
      </w:r>
      <w:r>
        <w:t>570,60</w:t>
      </w:r>
      <w:r w:rsidRPr="00CC31CF">
        <w:t xml:space="preserve"> </w:t>
      </w:r>
      <w:r>
        <w:t>mio</w:t>
      </w:r>
      <w:r w:rsidRPr="00CC31CF">
        <w:t xml:space="preserve"> EUR. </w:t>
      </w:r>
      <w:r>
        <w:t xml:space="preserve">To vrednost je potrebno še pomnožiti z </w:t>
      </w:r>
      <w:r>
        <w:lastRenderedPageBreak/>
        <w:t xml:space="preserve">diskontnim faktorjem 0,6537 ter tako dobimo diskontirano preostalo vrednost, ki znaša 373,01 mio EUR. </w:t>
      </w:r>
      <w:r w:rsidRPr="00CC31CF">
        <w:t>Tako skupaj dobimo vrednost celotnega kapitala Skupine Gorenje v višini 4</w:t>
      </w:r>
      <w:r>
        <w:t>84,78</w:t>
      </w:r>
      <w:r w:rsidRPr="00CC31CF">
        <w:t xml:space="preserve"> </w:t>
      </w:r>
      <w:r>
        <w:t>mio</w:t>
      </w:r>
      <w:r w:rsidRPr="00CC31CF">
        <w:t xml:space="preserve"> EUR, čemur moramo odšteti še 35</w:t>
      </w:r>
      <w:r>
        <w:t>0,65</w:t>
      </w:r>
      <w:r w:rsidRPr="00CC31CF">
        <w:t xml:space="preserve"> </w:t>
      </w:r>
      <w:r>
        <w:t>mio</w:t>
      </w:r>
      <w:r w:rsidRPr="00CC31CF">
        <w:t xml:space="preserve"> EUR neto dolga, da dobimo vrednost lastniškega kapitala, ki znaša 1</w:t>
      </w:r>
      <w:r>
        <w:t>34,13</w:t>
      </w:r>
      <w:r w:rsidRPr="00CC31CF">
        <w:t xml:space="preserve"> </w:t>
      </w:r>
      <w:r>
        <w:t>mio</w:t>
      </w:r>
      <w:r w:rsidRPr="00CC31CF">
        <w:t xml:space="preserve"> EUR oz. 1</w:t>
      </w:r>
      <w:r>
        <w:t>34</w:t>
      </w:r>
      <w:r w:rsidRPr="00CC31CF">
        <w:t>.</w:t>
      </w:r>
      <w:r>
        <w:t>130</w:t>
      </w:r>
      <w:r w:rsidRPr="00CC31CF">
        <w:t>.</w:t>
      </w:r>
      <w:r>
        <w:t>297</w:t>
      </w:r>
      <w:r w:rsidRPr="00CC31CF">
        <w:t xml:space="preserve"> EUR. Če želimo izračunati vrednost, ki jo podjetje </w:t>
      </w:r>
      <w:r>
        <w:t>predstavlja</w:t>
      </w:r>
      <w:r w:rsidRPr="00CC31CF">
        <w:t xml:space="preserve"> na eno delnico, moramo to število deliti še s številom vseh delnic, k</w:t>
      </w:r>
      <w:r>
        <w:t>i ji</w:t>
      </w:r>
      <w:r w:rsidRPr="00CC31CF">
        <w:t>h je 24.424.613. Tako dobim</w:t>
      </w:r>
      <w:r>
        <w:t>o rezultat</w:t>
      </w:r>
      <w:r w:rsidRPr="00CC31CF">
        <w:t xml:space="preserve">, da cena delnice </w:t>
      </w:r>
      <w:r>
        <w:t>družbe</w:t>
      </w:r>
      <w:r w:rsidRPr="00CC31CF">
        <w:t xml:space="preserve"> Gorenje d. d. z oznako GRVG, na dan 31. 12. 2017 znaša 5,</w:t>
      </w:r>
      <w:r>
        <w:t>49</w:t>
      </w:r>
      <w:r w:rsidRPr="00CC31CF">
        <w:t xml:space="preserve"> EUR.</w:t>
      </w:r>
      <w:r>
        <w:t xml:space="preserve"> </w:t>
      </w:r>
    </w:p>
    <w:p w14:paraId="02ECFBA0" w14:textId="77777777" w:rsidR="00F851CC" w:rsidRDefault="00F851CC" w:rsidP="00F851CC">
      <w:pPr>
        <w:pStyle w:val="Brezrazmikov"/>
      </w:pPr>
    </w:p>
    <w:p w14:paraId="587DC958" w14:textId="77777777" w:rsidR="00F851CC" w:rsidRDefault="00F851CC" w:rsidP="00F851CC">
      <w:pPr>
        <w:pStyle w:val="Brezrazmikov"/>
      </w:pPr>
      <w:r>
        <w:t>Delnica družbe Gorenje je na borzi na dan 31. 12. 2017 kotirala z zaključnim tečajem 5,10 EUR. Po naših izračunih je cena delnice precej podobna dejanski ceni, zato lahko sklepamo, da cena delnice na sekundarnem trgu odraža realno situacijo. Lahko pa pričakujemo dvig cene delnice v prihodnje.</w:t>
      </w:r>
    </w:p>
    <w:p w14:paraId="6CA212DB" w14:textId="77777777" w:rsidR="00F851CC" w:rsidRPr="00CC31CF" w:rsidRDefault="00F851CC" w:rsidP="00F851CC">
      <w:pPr>
        <w:pStyle w:val="Naslov1"/>
      </w:pPr>
      <w:bookmarkStart w:id="90" w:name="_Toc18964886"/>
      <w:r>
        <w:t>Ocena prevzemne premije</w:t>
      </w:r>
      <w:bookmarkEnd w:id="90"/>
    </w:p>
    <w:p w14:paraId="20BA3CE5" w14:textId="77777777" w:rsidR="00F851CC" w:rsidRDefault="00F851CC" w:rsidP="00F851CC">
      <w:pPr>
        <w:pStyle w:val="Brezrazmikov"/>
      </w:pPr>
      <w:r>
        <w:rPr>
          <w:lang w:eastAsia="sl-SI"/>
        </w:rPr>
        <w:t xml:space="preserve">Že v predstavitvi Skupine Gorenje smo omenili, da je bilo podjetje v letu 2018 prevzeto s strani kitajske družbe </w:t>
      </w:r>
      <w:proofErr w:type="spellStart"/>
      <w:r>
        <w:rPr>
          <w:lang w:eastAsia="sl-SI"/>
        </w:rPr>
        <w:t>Hisense</w:t>
      </w:r>
      <w:proofErr w:type="spellEnd"/>
      <w:r>
        <w:rPr>
          <w:lang w:eastAsia="sl-SI"/>
        </w:rPr>
        <w:t>. V mesecu juniju leta 2018 so v Gorenju podpisali novo podjetniško kolektivno pogodbo s kitajskim lastnikom. Ta je z uspešno prevzemno ponudbo v višini 12 EUR na delnico že v roku enega meseca po podpisu uspel pridobiti več kot 95</w:t>
      </w:r>
      <w:r>
        <w:t>-odstotni</w:t>
      </w:r>
      <w:r>
        <w:rPr>
          <w:lang w:eastAsia="sl-SI"/>
        </w:rPr>
        <w:t xml:space="preserve"> delež lastništva Gorenja. Na predlog novega večinskega lastnika so na </w:t>
      </w:r>
      <w:r>
        <w:t xml:space="preserve">27. skupščini družbe Gorenje, d. d., delničarji podprli </w:t>
      </w:r>
      <w:proofErr w:type="spellStart"/>
      <w:r>
        <w:t>iztisnitev</w:t>
      </w:r>
      <w:proofErr w:type="spellEnd"/>
      <w:r>
        <w:t xml:space="preserve"> malih delničarjev, tj. prenos vseh preostalih delnic GRVG na omenjenega glavnega delničarja. Tako je z umikom Gorenja z borze, družba </w:t>
      </w:r>
      <w:proofErr w:type="spellStart"/>
      <w:r>
        <w:t>Hisense</w:t>
      </w:r>
      <w:proofErr w:type="spellEnd"/>
      <w:r>
        <w:t xml:space="preserve"> postala 100-odstotni lastnik Skupine Gorenje (</w:t>
      </w:r>
      <w:proofErr w:type="spellStart"/>
      <w:r>
        <w:t>Sa</w:t>
      </w:r>
      <w:proofErr w:type="spellEnd"/>
      <w:r>
        <w:t xml:space="preserve">. J., </w:t>
      </w:r>
      <w:proofErr w:type="spellStart"/>
      <w:r w:rsidRPr="001F50DD">
        <w:t>Hisense</w:t>
      </w:r>
      <w:proofErr w:type="spellEnd"/>
      <w:r w:rsidRPr="001F50DD">
        <w:t xml:space="preserve"> bi Gorenje, ki ima po novem 12 članov uprave, rad umaknil z borze</w:t>
      </w:r>
      <w:r>
        <w:t>).</w:t>
      </w:r>
    </w:p>
    <w:p w14:paraId="23BECEDF" w14:textId="77777777" w:rsidR="00F851CC" w:rsidRDefault="00F851CC" w:rsidP="00F851CC">
      <w:pPr>
        <w:pStyle w:val="Brezrazmikov"/>
      </w:pPr>
    </w:p>
    <w:p w14:paraId="6A1304E5" w14:textId="77777777" w:rsidR="00F851CC" w:rsidRDefault="00F851CC" w:rsidP="00F851CC">
      <w:pPr>
        <w:pStyle w:val="Brezrazmikov"/>
        <w:rPr>
          <w:lang w:eastAsia="sl-SI"/>
        </w:rPr>
      </w:pPr>
      <w:r>
        <w:t>V tem razdelku bomo raziskovali, zakaj je novi lastnik za podjetje plačal dvakratnik tržne vrednosti delnice, ki je takrat kotirala na borzi.</w:t>
      </w:r>
      <w:r w:rsidRPr="0058479F">
        <w:rPr>
          <w:lang w:eastAsia="sl-SI"/>
        </w:rPr>
        <w:t xml:space="preserve"> </w:t>
      </w:r>
      <w:r>
        <w:rPr>
          <w:lang w:eastAsia="sl-SI"/>
        </w:rPr>
        <w:t>Najprej bomo poskušali poiskati vplive, ki bi zaradi novega lastnika pripomogli k boljšemu poslovanju Skupine Gorenje, da bi ta prinašala večje dobičke.</w:t>
      </w:r>
    </w:p>
    <w:p w14:paraId="76AFB4C2" w14:textId="77777777" w:rsidR="00F851CC" w:rsidRDefault="00F851CC" w:rsidP="00F851CC">
      <w:pPr>
        <w:pStyle w:val="Naslov2"/>
      </w:pPr>
      <w:bookmarkStart w:id="91" w:name="_Ref15037990"/>
      <w:bookmarkStart w:id="92" w:name="_Toc18964887"/>
      <w:proofErr w:type="spellStart"/>
      <w:r>
        <w:t>Sinergijska</w:t>
      </w:r>
      <w:proofErr w:type="spellEnd"/>
      <w:r>
        <w:t xml:space="preserve"> vrednost</w:t>
      </w:r>
      <w:bookmarkEnd w:id="91"/>
      <w:bookmarkEnd w:id="92"/>
    </w:p>
    <w:p w14:paraId="4DB66213" w14:textId="77777777" w:rsidR="00F851CC" w:rsidRDefault="00F851CC" w:rsidP="00F851CC">
      <w:pPr>
        <w:pStyle w:val="Brezrazmikov"/>
      </w:pPr>
      <w:r>
        <w:t xml:space="preserve">Tržna vrednost delnice na borzi je po navadi dober pokazatelj, koliko donosa bi naj podjetje prinašalo investitorjem, zato je smiselno pričakovati, da investitor kupi delnico za to ceno. Lahko pa se zgodi, kot v primeru Gorenja, da investitor želi pridobiti 50-odstotni  delež plus eno delnico podjetja, kar pomeni, da mora več kot polovico delničarjev prepričati v prodajo delnice. Zaradi tega se po navadi </w:t>
      </w:r>
      <w:r w:rsidRPr="005B2C70">
        <w:rPr>
          <w:color w:val="000000" w:themeColor="text1"/>
        </w:rPr>
        <w:t>ob prevzemih cene delnic dvignejo</w:t>
      </w:r>
      <w:r>
        <w:rPr>
          <w:color w:val="000000" w:themeColor="text1"/>
        </w:rPr>
        <w:t xml:space="preserve">. To </w:t>
      </w:r>
      <w:r w:rsidRPr="005B2C70">
        <w:rPr>
          <w:color w:val="000000" w:themeColor="text1"/>
        </w:rPr>
        <w:t>dodatno premijo imenujem</w:t>
      </w:r>
      <w:r>
        <w:rPr>
          <w:color w:val="000000" w:themeColor="text1"/>
        </w:rPr>
        <w:t>o</w:t>
      </w:r>
      <w:r w:rsidRPr="005B2C70">
        <w:rPr>
          <w:color w:val="000000" w:themeColor="text1"/>
        </w:rPr>
        <w:t xml:space="preserve"> </w:t>
      </w:r>
      <w:r>
        <w:rPr>
          <w:color w:val="000000" w:themeColor="text1"/>
        </w:rPr>
        <w:t>prevzemna</w:t>
      </w:r>
      <w:r w:rsidRPr="005B2C70">
        <w:rPr>
          <w:color w:val="000000" w:themeColor="text1"/>
        </w:rPr>
        <w:t xml:space="preserve"> premija. A </w:t>
      </w:r>
      <w:r>
        <w:t xml:space="preserve">to ni edini razlog dviga cene delnice. Večkrat je posledica tudi to, da prevzemnik z združitvijo svojega ter na novo pridobljenega podjetja omogoči boljše poslovanje ter s tem večje donose pridobljenega podjetja kot tudi svojega. Tem večjim donosom pravimo sinergije. V Slovarju slovenskega knjižnega jezika ta beseda pomeni </w:t>
      </w:r>
      <w:r w:rsidRPr="00FA46BF">
        <w:rPr>
          <w:i/>
          <w:iCs/>
        </w:rPr>
        <w:t xml:space="preserve">»sodelovanje, medsebojno dopolnjevanje dveh ali več snovi, organov ali telesnih sestavov.« </w:t>
      </w:r>
      <w:r>
        <w:t xml:space="preserve">To lahko razumemo kot način, da s </w:t>
      </w:r>
      <w:r>
        <w:lastRenderedPageBreak/>
        <w:t xml:space="preserve">sodelovanjem oz. z združitvijo dveh ali več podjetij ustvarimo boljše donose kot če primerjamo donose vsakega podjetja posebej. Razlog tega je lahko to, da se z združitvijo prekine morebitna konkurenca med združenimi deli. Prav tako lahko združena družba </w:t>
      </w:r>
      <w:r w:rsidRPr="00E56053">
        <w:t>izkoristi večjo pogajalsko moč z dobavitelji, saj zaradi večje velikosti povprašuje po večjem obsegu naročil, kar omogoči pridobivanje ugodnejših cen za materiale, storitve itd. Podobno pa se lahko povečajo tudi prihodki od prodaje, saj pozitivna korelacija med združenimi deli vpliva na boljšo prepoznavnost</w:t>
      </w:r>
      <w:r>
        <w:t xml:space="preserve"> ter </w:t>
      </w:r>
      <w:r w:rsidRPr="00E56053">
        <w:t xml:space="preserve">večje zaupanje s strani potrošnikov, kar krepi prodajo. Vse skupaj rezultira v pridobivanju večjih koristi, ki jih drugače ne bi bilo mogoče realizirati. </w:t>
      </w:r>
    </w:p>
    <w:p w14:paraId="68DD4672" w14:textId="77777777" w:rsidR="00F851CC" w:rsidRDefault="00F851CC" w:rsidP="00F851CC">
      <w:pPr>
        <w:pStyle w:val="Brezrazmikov"/>
      </w:pPr>
    </w:p>
    <w:p w14:paraId="0BE47190" w14:textId="77777777" w:rsidR="00F851CC" w:rsidRDefault="00F851CC" w:rsidP="00F851CC">
      <w:pPr>
        <w:pStyle w:val="Brezrazmikov"/>
      </w:pPr>
      <w:r w:rsidRPr="00E56053">
        <w:t xml:space="preserve">V </w:t>
      </w:r>
      <w:r>
        <w:t xml:space="preserve">primeru </w:t>
      </w:r>
      <w:r w:rsidRPr="00E56053">
        <w:t xml:space="preserve">družbe </w:t>
      </w:r>
      <w:proofErr w:type="spellStart"/>
      <w:r w:rsidRPr="00E56053">
        <w:t>Hisense</w:t>
      </w:r>
      <w:proofErr w:type="spellEnd"/>
      <w:r w:rsidRPr="00E56053">
        <w:t xml:space="preserve"> in Skupine Gorenj</w:t>
      </w:r>
      <w:r>
        <w:t>e</w:t>
      </w:r>
      <w:r w:rsidRPr="00E56053">
        <w:t xml:space="preserve"> bi združitev distribucijskih kanalov obeh družb v Evropi, ki so bili do sedaj močno komplementarni, lahko pripomogla k še večji uveljavljenosti blagovnih znamk obeh družb</w:t>
      </w:r>
      <w:r>
        <w:t xml:space="preserve">. Prav tako bi pripomogla k </w:t>
      </w:r>
      <w:r w:rsidRPr="00E56053">
        <w:t>povečanju obsega poslovanja Skupin</w:t>
      </w:r>
      <w:r>
        <w:t>e</w:t>
      </w:r>
      <w:r w:rsidRPr="00E56053">
        <w:t xml:space="preserve"> Gorenj</w:t>
      </w:r>
      <w:r>
        <w:t>a,</w:t>
      </w:r>
      <w:r w:rsidRPr="00E56053">
        <w:t xml:space="preserve"> hkrati pa tudi prispevala k širitvi poslovanja družbe </w:t>
      </w:r>
      <w:proofErr w:type="spellStart"/>
      <w:r w:rsidRPr="00E56053">
        <w:t>Hisense</w:t>
      </w:r>
      <w:proofErr w:type="spellEnd"/>
      <w:r w:rsidRPr="00E56053">
        <w:t xml:space="preserve"> pri razvoju </w:t>
      </w:r>
      <w:r>
        <w:t xml:space="preserve">njihovih </w:t>
      </w:r>
      <w:r w:rsidRPr="00E56053">
        <w:t>blagovn</w:t>
      </w:r>
      <w:r>
        <w:t>ih</w:t>
      </w:r>
      <w:r w:rsidRPr="00E56053">
        <w:t xml:space="preserve"> znamk in </w:t>
      </w:r>
      <w:r>
        <w:t xml:space="preserve">povečanju </w:t>
      </w:r>
      <w:r w:rsidRPr="00E56053">
        <w:t>donosnosti (Prevzemna pogodba za odkup delnic družbe Gorenje Gospodinjski aparati, d. d.</w:t>
      </w:r>
      <w:r>
        <w:t xml:space="preserve"> 2018</w:t>
      </w:r>
      <w:r w:rsidRPr="00E56053">
        <w:t>).</w:t>
      </w:r>
    </w:p>
    <w:p w14:paraId="55E5553D" w14:textId="77777777" w:rsidR="00F851CC" w:rsidRDefault="00F851CC" w:rsidP="00F851CC">
      <w:pPr>
        <w:pStyle w:val="Brezrazmikov"/>
      </w:pPr>
    </w:p>
    <w:p w14:paraId="5A03DA47" w14:textId="77777777" w:rsidR="00F851CC" w:rsidRDefault="00F851CC" w:rsidP="00F851CC">
      <w:pPr>
        <w:pStyle w:val="Brezrazmikov"/>
      </w:pPr>
      <w:r>
        <w:t xml:space="preserve">V </w:t>
      </w:r>
      <w:r w:rsidRPr="00D109F7">
        <w:t>nadaljevanju smo pripravili eno od možnih realizacij izboljšanja poslovanja Skupine Gorenje po prevzemu. Predpostavili smo, da bo zaradi zamenjave vodilnega položaja prišlo do večjih optimizacij poslovnega procesa in prestrukturiranja, saj smo videli, da poslovanje Skupine Gorenje ni tako dobro</w:t>
      </w:r>
      <w:r>
        <w:t>,</w:t>
      </w:r>
      <w:r w:rsidRPr="00D109F7">
        <w:t xml:space="preserve"> kot bi lahko bilo. </w:t>
      </w:r>
      <w:r>
        <w:t>P</w:t>
      </w:r>
      <w:r w:rsidRPr="00D109F7">
        <w:t xml:space="preserve">redvidevamo, da bo novi lastnik zagotovo poskusil rešiti ta problem, saj bo le tako lahko s podjetjem ustvarjal večje donose. Prestrukturiranja so možna v upravi družbe, kjer bi lahko prihranili pri stroških dela. </w:t>
      </w:r>
      <w:r>
        <w:t xml:space="preserve">Lahko se osredotočijo bolj na tiste dele prodaje, ki ustvarjajo največje donose, recimo blagovna znamka Gorenje in </w:t>
      </w:r>
      <w:proofErr w:type="spellStart"/>
      <w:r>
        <w:t>Asko</w:t>
      </w:r>
      <w:proofErr w:type="spellEnd"/>
      <w:r>
        <w:t>.</w:t>
      </w:r>
      <w:r>
        <w:rPr>
          <w:rStyle w:val="Sprotnaopomba-sklic"/>
        </w:rPr>
        <w:footnoteReference w:id="17"/>
      </w:r>
      <w:r>
        <w:t xml:space="preserve"> Prav tako lahko prevzemnik izkoristi svoje strateške partnerje, pri čemer bi lahko prek teh povezav pridobil ugodnejše cene blaga, materiala in storitev, kot jih je do sedaj uveljavljala Skupina Gorenje s svojimi partnerji.</w:t>
      </w:r>
    </w:p>
    <w:p w14:paraId="60D9BCD1" w14:textId="77777777" w:rsidR="00F851CC" w:rsidRDefault="00F851CC" w:rsidP="00F851CC">
      <w:pPr>
        <w:pStyle w:val="Brezrazmikov"/>
      </w:pPr>
      <w:r>
        <w:t xml:space="preserve">Predpostavili smo tudi povečanje investicijskih vlaganj, ki bodo posledice prestrukturiranja Skupine Gorenje, saj prevzemnik napoveduje, da bo Skupina Gorenje poleg proizvodov, ki se že tržijo pod blagovnimi znamkami Gorenja, proizvajali tudi gospodinjske aparate blagovnih znamk </w:t>
      </w:r>
      <w:proofErr w:type="spellStart"/>
      <w:r>
        <w:t>Hisense</w:t>
      </w:r>
      <w:proofErr w:type="spellEnd"/>
      <w:r>
        <w:t xml:space="preserve"> na evropskem trgu (Prevzemna pogodba za odkup delnic družbe Gorenje Gospodinjski aparati, d. d.). </w:t>
      </w:r>
    </w:p>
    <w:p w14:paraId="1C2D94C4" w14:textId="77777777" w:rsidR="00F851CC" w:rsidRDefault="00F851CC" w:rsidP="00F851CC">
      <w:pPr>
        <w:pStyle w:val="Brezrazmikov"/>
      </w:pPr>
    </w:p>
    <w:p w14:paraId="1BB0D9D4" w14:textId="64F59F22" w:rsidR="00F851CC" w:rsidRDefault="00F851CC" w:rsidP="00F851CC">
      <w:pPr>
        <w:pStyle w:val="Brezrazmikov"/>
      </w:pPr>
      <w:r>
        <w:t xml:space="preserve">Z optimizacijo stroškov ter povečanjem investicij po letu 2018, smo dobili večje vrednosti prostih denarnih tokov podjetju, ki jih lahko vidimo na </w:t>
      </w:r>
      <w:r w:rsidR="00CD0613">
        <w:rPr>
          <w:i/>
          <w:iCs/>
        </w:rPr>
        <w:fldChar w:fldCharType="begin"/>
      </w:r>
      <w:r w:rsidR="00CD0613" w:rsidRPr="00CD0613">
        <w:rPr>
          <w:i/>
          <w:iCs/>
        </w:rPr>
        <w:instrText xml:space="preserve"> REF  _Ref16979670 \* FirstCap \h  \* MERGEFORMAT </w:instrText>
      </w:r>
      <w:r w:rsidR="00CD0613">
        <w:rPr>
          <w:i/>
          <w:iCs/>
        </w:rPr>
      </w:r>
      <w:r w:rsidR="00CD0613">
        <w:rPr>
          <w:i/>
          <w:iCs/>
        </w:rPr>
        <w:fldChar w:fldCharType="separate"/>
      </w:r>
      <w:r w:rsidR="00CD0613" w:rsidRPr="00CD0613">
        <w:rPr>
          <w:i/>
          <w:iCs/>
        </w:rPr>
        <w:t>Slik</w:t>
      </w:r>
      <w:r w:rsidR="00CD0613">
        <w:rPr>
          <w:i/>
          <w:iCs/>
        </w:rPr>
        <w:t>i</w:t>
      </w:r>
      <w:r w:rsidR="00CD0613">
        <w:t xml:space="preserve"> </w:t>
      </w:r>
      <w:r w:rsidR="00CD0613">
        <w:rPr>
          <w:noProof/>
        </w:rPr>
        <w:t>24</w:t>
      </w:r>
      <w:r w:rsidR="00CD0613">
        <w:rPr>
          <w:i/>
          <w:iCs/>
        </w:rPr>
        <w:fldChar w:fldCharType="end"/>
      </w:r>
      <w:r>
        <w:t>. Višji FCFF posledično pomeni večjo vrednost delnice, ki bi ob takšnih denarnih tokovih znašala 10,65 EUR.</w:t>
      </w:r>
    </w:p>
    <w:p w14:paraId="6AA15D73" w14:textId="36AC9072" w:rsidR="00F851CC" w:rsidRDefault="00F851CC" w:rsidP="00F851CC">
      <w:pPr>
        <w:pStyle w:val="Napis"/>
        <w:keepNext/>
      </w:pPr>
      <w:bookmarkStart w:id="93" w:name="_Ref16979670"/>
      <w:bookmarkStart w:id="94" w:name="_Toc18964914"/>
      <w:r>
        <w:lastRenderedPageBreak/>
        <w:t xml:space="preserve">Slika </w:t>
      </w:r>
      <w:fldSimple w:instr=" SEQ Slika \* ARABIC ">
        <w:r w:rsidR="00325440">
          <w:rPr>
            <w:noProof/>
          </w:rPr>
          <w:t>24</w:t>
        </w:r>
      </w:fldSimple>
      <w:bookmarkEnd w:id="93"/>
      <w:r>
        <w:t>: Povečanje FCFF po prevzemu</w:t>
      </w:r>
      <w:bookmarkEnd w:id="94"/>
    </w:p>
    <w:p w14:paraId="4B8AF0E6" w14:textId="77777777" w:rsidR="00F851CC" w:rsidRPr="00DA1B03" w:rsidRDefault="00F851CC" w:rsidP="00F851CC">
      <w:pPr>
        <w:pStyle w:val="Grafi"/>
      </w:pPr>
      <w:r>
        <w:rPr>
          <w:lang w:eastAsia="sl-SI"/>
        </w:rPr>
        <w:drawing>
          <wp:inline distT="0" distB="0" distL="0" distR="0" wp14:anchorId="2956B51E" wp14:editId="7E6EFA0A">
            <wp:extent cx="4312920" cy="2560320"/>
            <wp:effectExtent l="0" t="0" r="11430" b="11430"/>
            <wp:docPr id="8" name="Grafikon 8">
              <a:extLst xmlns:a="http://schemas.openxmlformats.org/drawingml/2006/main">
                <a:ext uri="{FF2B5EF4-FFF2-40B4-BE49-F238E27FC236}">
                  <a16:creationId xmlns:a16="http://schemas.microsoft.com/office/drawing/2014/main" id="{1D45AF01-2BD9-464F-B195-F72DFA009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C488584" w14:textId="77777777" w:rsidR="00F851CC" w:rsidRDefault="00F851CC" w:rsidP="00F851CC">
      <w:pPr>
        <w:pStyle w:val="Naslov2"/>
        <w:rPr>
          <w:lang w:eastAsia="sl-SI"/>
        </w:rPr>
      </w:pPr>
      <w:bookmarkStart w:id="95" w:name="_Toc18964888"/>
      <w:r>
        <w:rPr>
          <w:lang w:eastAsia="sl-SI"/>
        </w:rPr>
        <w:t>Kontrolna premija</w:t>
      </w:r>
      <w:bookmarkEnd w:id="95"/>
    </w:p>
    <w:p w14:paraId="7536EA3F" w14:textId="77777777" w:rsidR="00F851CC" w:rsidRPr="00A14548" w:rsidRDefault="00F851CC" w:rsidP="00F851CC">
      <w:pPr>
        <w:pStyle w:val="Brezrazmikov"/>
        <w:rPr>
          <w:color w:val="000000" w:themeColor="text1"/>
          <w:lang w:eastAsia="sl-SI"/>
        </w:rPr>
      </w:pPr>
      <w:r>
        <w:rPr>
          <w:lang w:eastAsia="sl-SI"/>
        </w:rPr>
        <w:t xml:space="preserve">Porast cene delnice ob prevzemu lahko razumemo tudi kot prevzemno oz. kontrolno </w:t>
      </w:r>
      <w:r w:rsidRPr="00A14548">
        <w:rPr>
          <w:color w:val="000000" w:themeColor="text1"/>
          <w:lang w:eastAsia="sl-SI"/>
        </w:rPr>
        <w:t>premijo.</w:t>
      </w:r>
      <w:r w:rsidRPr="00A14548">
        <w:rPr>
          <w:rStyle w:val="Sprotnaopomba-sklic"/>
          <w:color w:val="000000" w:themeColor="text1"/>
          <w:lang w:eastAsia="sl-SI"/>
        </w:rPr>
        <w:footnoteReference w:id="18"/>
      </w:r>
      <w:r w:rsidRPr="00A14548">
        <w:rPr>
          <w:color w:val="000000" w:themeColor="text1"/>
          <w:lang w:eastAsia="sl-SI"/>
        </w:rPr>
        <w:t xml:space="preserve"> O prevzemni premiji lahko govorimo, kadar delničarji za odkup prevzetega podjetja pridobijo višjo vrednost vrednostnega papirja</w:t>
      </w:r>
      <w:r>
        <w:rPr>
          <w:color w:val="000000" w:themeColor="text1"/>
          <w:lang w:eastAsia="sl-SI"/>
        </w:rPr>
        <w:t>,</w:t>
      </w:r>
      <w:r w:rsidRPr="00A14548">
        <w:rPr>
          <w:color w:val="000000" w:themeColor="text1"/>
          <w:lang w:eastAsia="sl-SI"/>
        </w:rPr>
        <w:t xml:space="preserve"> kot je ta bila pred prevzemom (</w:t>
      </w:r>
      <w:proofErr w:type="spellStart"/>
      <w:r w:rsidRPr="00A14548">
        <w:rPr>
          <w:color w:val="000000" w:themeColor="text1"/>
          <w:lang w:eastAsia="sl-SI"/>
        </w:rPr>
        <w:t>Nielsen</w:t>
      </w:r>
      <w:proofErr w:type="spellEnd"/>
      <w:r w:rsidRPr="00A14548">
        <w:rPr>
          <w:color w:val="000000" w:themeColor="text1"/>
          <w:lang w:eastAsia="sl-SI"/>
        </w:rPr>
        <w:t xml:space="preserve">, </w:t>
      </w:r>
      <w:proofErr w:type="spellStart"/>
      <w:r w:rsidRPr="00A14548">
        <w:rPr>
          <w:color w:val="000000" w:themeColor="text1"/>
          <w:lang w:eastAsia="sl-SI"/>
        </w:rPr>
        <w:t>Melicher</w:t>
      </w:r>
      <w:proofErr w:type="spellEnd"/>
      <w:r w:rsidRPr="00A14548">
        <w:rPr>
          <w:color w:val="000000" w:themeColor="text1"/>
          <w:lang w:eastAsia="sl-SI"/>
        </w:rPr>
        <w:t>, 1973, str. 139–</w:t>
      </w:r>
      <w:r w:rsidRPr="00A14548">
        <w:rPr>
          <w:color w:val="000000" w:themeColor="text1"/>
        </w:rPr>
        <w:t>148</w:t>
      </w:r>
      <w:r w:rsidRPr="00A14548">
        <w:rPr>
          <w:color w:val="000000" w:themeColor="text1"/>
          <w:lang w:eastAsia="sl-SI"/>
        </w:rPr>
        <w:t xml:space="preserve">). </w:t>
      </w:r>
    </w:p>
    <w:p w14:paraId="56C57629" w14:textId="77777777" w:rsidR="00F851CC" w:rsidRPr="00A14548" w:rsidRDefault="00F851CC" w:rsidP="00F851CC">
      <w:pPr>
        <w:pStyle w:val="Brezrazmikov"/>
        <w:rPr>
          <w:color w:val="000000" w:themeColor="text1"/>
          <w:lang w:eastAsia="sl-SI"/>
        </w:rPr>
      </w:pPr>
    </w:p>
    <w:p w14:paraId="7052E5B9" w14:textId="77777777" w:rsidR="00F851CC" w:rsidRPr="00A14548" w:rsidRDefault="00F851CC" w:rsidP="00F851CC">
      <w:pPr>
        <w:pStyle w:val="Brezrazmikov"/>
        <w:rPr>
          <w:color w:val="000000" w:themeColor="text1"/>
          <w:lang w:eastAsia="sl-SI"/>
        </w:rPr>
      </w:pPr>
      <w:r w:rsidRPr="00A14548">
        <w:rPr>
          <w:color w:val="000000" w:themeColor="text1"/>
          <w:lang w:eastAsia="sl-SI"/>
        </w:rPr>
        <w:t>Prevzemna premija se največkrat pojavi pri prevzemih podjetja z odkupom delnic. Poznamo tudi druge oblike prevzemov</w:t>
      </w:r>
      <w:r>
        <w:rPr>
          <w:color w:val="000000" w:themeColor="text1"/>
          <w:lang w:eastAsia="sl-SI"/>
        </w:rPr>
        <w:t>,</w:t>
      </w:r>
      <w:r w:rsidRPr="00A14548">
        <w:rPr>
          <w:color w:val="000000" w:themeColor="text1"/>
          <w:lang w:eastAsia="sl-SI"/>
        </w:rPr>
        <w:t xml:space="preserve"> kot sta prevzem z odkupom premoženja ter združitve več podjetij v eno. Prevzem z odkupom delnic pomeni nakup zadostnega števila delnic oz. glasov, ki prevzemniku omogočajo prevzem nadzora nad podjetjem. Ključni del prevzema je prevzemna ponudba za odkup delnic ciljnega podjetja, ki jo prevzemnik naslovi na delničarje.</w:t>
      </w:r>
      <w:r w:rsidRPr="00A14548">
        <w:rPr>
          <w:rStyle w:val="Sprotnaopomba-sklic"/>
          <w:color w:val="000000" w:themeColor="text1"/>
          <w:lang w:eastAsia="sl-SI"/>
        </w:rPr>
        <w:footnoteReference w:id="19"/>
      </w:r>
      <w:r w:rsidRPr="00A14548">
        <w:rPr>
          <w:color w:val="000000" w:themeColor="text1"/>
          <w:lang w:eastAsia="sl-SI"/>
        </w:rPr>
        <w:t xml:space="preserve"> Da pa prevzemnik lahko objavi prevzemno ponudbo, mora pridobiti dovoljenje s strani agencije za trg vrednostnih papirjev (Bešter, 1996, str. 30). </w:t>
      </w:r>
    </w:p>
    <w:p w14:paraId="3743DA73" w14:textId="77777777" w:rsidR="00F851CC" w:rsidRDefault="00F851CC" w:rsidP="00F851CC">
      <w:pPr>
        <w:pStyle w:val="Brezrazmikov"/>
        <w:rPr>
          <w:lang w:eastAsia="sl-SI"/>
        </w:rPr>
      </w:pPr>
    </w:p>
    <w:p w14:paraId="41204B83" w14:textId="77777777" w:rsidR="00F851CC" w:rsidRDefault="00F851CC" w:rsidP="00F851CC">
      <w:pPr>
        <w:pStyle w:val="Brezrazmikov"/>
        <w:rPr>
          <w:lang w:eastAsia="sl-SI"/>
        </w:rPr>
      </w:pPr>
      <w:r>
        <w:rPr>
          <w:lang w:eastAsia="sl-SI"/>
        </w:rPr>
        <w:t>Beseda kontrolna premija izhaja iz pomena, da prevzemnik plača premijo zaradi zahteve po večji kontroli v podjetju. Kontrola v podjetju se deli med lastnike oz. imetnike delnic. Koliko kontrolnega deleža ima nek delničar, je odvisno od tega, kolikšen delež delnic ima v lasti. Za prevzemnika, ki želi imeti vodilni položaj v podjetju, je važno to, da je največji delničar med vsemi lastniki, zato se lahko kontrolne premije plačujejo že ob manjših količinskih zakupih delnic. Glede na to, kolikšen kontrolni delež želi lastnik pridobiti, se razlikujejo tudi višine kontrolne premije, npr. med ceno posamezne delnice na trgu in ceno paketa delnic z 51</w:t>
      </w:r>
      <w:r>
        <w:t>-odstotnim</w:t>
      </w:r>
      <w:r>
        <w:rPr>
          <w:lang w:eastAsia="sl-SI"/>
        </w:rPr>
        <w:t xml:space="preserve"> deležem v podjetju je zelo velika razlika, saj paket daje lastniku možnost nadzora v podjetju. S tem, ko delničar pridobi </w:t>
      </w:r>
      <w:r>
        <w:rPr>
          <w:lang w:eastAsia="sl-SI"/>
        </w:rPr>
        <w:lastRenderedPageBreak/>
        <w:t xml:space="preserve">kontrolni delež v podjetju, pridobi tudi pravico odločanja o poslovanju. Ker ima v lasti največ glasov, lahko na skupščini delničarjev uveljavlja svoje zahteve. Tako se lahko odloča o investicijah, nadzoru in tudi možnosti zamenjave vodstva podjetja ali uprave. Pridobljen nadzor mu omogoča, da s spremembo poslovanja </w:t>
      </w:r>
      <w:proofErr w:type="spellStart"/>
      <w:r>
        <w:rPr>
          <w:lang w:eastAsia="sl-SI"/>
        </w:rPr>
        <w:t>maksimizira</w:t>
      </w:r>
      <w:proofErr w:type="spellEnd"/>
      <w:r>
        <w:rPr>
          <w:lang w:eastAsia="sl-SI"/>
        </w:rPr>
        <w:t xml:space="preserve"> vrednost podjetja.</w:t>
      </w:r>
    </w:p>
    <w:p w14:paraId="0EFDC359" w14:textId="77777777" w:rsidR="00F851CC" w:rsidRDefault="00F851CC" w:rsidP="00F851CC">
      <w:pPr>
        <w:pStyle w:val="Brezrazmikov"/>
        <w:rPr>
          <w:lang w:eastAsia="sl-SI"/>
        </w:rPr>
      </w:pPr>
    </w:p>
    <w:p w14:paraId="383BF03E" w14:textId="77777777" w:rsidR="00F851CC" w:rsidRDefault="00F851CC" w:rsidP="00F851CC">
      <w:pPr>
        <w:pStyle w:val="Brezrazmikov"/>
        <w:rPr>
          <w:lang w:eastAsia="sl-SI"/>
        </w:rPr>
      </w:pPr>
      <w:r>
        <w:rPr>
          <w:lang w:eastAsia="sl-SI"/>
        </w:rPr>
        <w:t>Ob zakupih svežnjev delnic z namenom pridobitve kontrolnih deležev lahko prihaja do velikih razlik med tržno ceno delnice določen čas pred prevzemom in ceno delnice, ki jo za odkup ponuja prevzemnik v postopku prevzema. Razlika je odvisna tudi od časa do prevzema. Če primerjamo ceno delnice eno leto pred prevzemom s prevzemno ceno, je to razmerje po navadi višje, kot če bi primerjali ceno delnice en mesec pred prevzemom. Na to razliko v razmerju ne vpliva sprememba poslovanja v podjetju, temveč informacije o morebitnem prevzemu. To je zato, ker po navadi namera o prevzemu ni znana šele na dan uradne objave prevzemne ponudbe, temveč se lahko že prej začnejo širiti neuradne govorice o prevzemu ali če podjetje javno objavi razpis o strateškem partnerstvu, s katerim se lahko pričakuje, da pride tudi do prevzema. Tako se cena delnice začne dvigovati</w:t>
      </w:r>
      <w:r w:rsidRPr="00A62B4E">
        <w:rPr>
          <w:lang w:eastAsia="sl-SI"/>
        </w:rPr>
        <w:t xml:space="preserve"> </w:t>
      </w:r>
      <w:r>
        <w:rPr>
          <w:lang w:eastAsia="sl-SI"/>
        </w:rPr>
        <w:t xml:space="preserve">že prej, saj se v primeru prevzema pričakuje, da bodo lastniki za delnico pridobili višje vrednosti in je zaradi tega delnica s takšnimi informacijami vredna več. </w:t>
      </w:r>
    </w:p>
    <w:p w14:paraId="6E7C5C3A" w14:textId="77777777" w:rsidR="00F851CC" w:rsidRDefault="00F851CC" w:rsidP="00F851CC">
      <w:pPr>
        <w:pStyle w:val="Brezrazmikov"/>
        <w:rPr>
          <w:lang w:eastAsia="sl-SI"/>
        </w:rPr>
      </w:pPr>
    </w:p>
    <w:p w14:paraId="5F7A4E93" w14:textId="3F006D92" w:rsidR="00F851CC" w:rsidRPr="00A718D0" w:rsidRDefault="00F851CC" w:rsidP="00F851CC">
      <w:pPr>
        <w:pStyle w:val="Brezrazmikov"/>
        <w:rPr>
          <w:lang w:eastAsia="sl-SI"/>
        </w:rPr>
      </w:pPr>
      <w:r>
        <w:rPr>
          <w:lang w:eastAsia="sl-SI"/>
        </w:rPr>
        <w:t>Kontrolno premijo lahko glede na čas do prevzema delimo na 1-dnevno, 7-dnevno, 30-dnevno, 90-dnevno 180- ter 365-dnevno. Da bi pridobili kar najbolj natančne ocene, bi bilo najbolje izračunati vsako od teh premij za več slovenskih prevzemov v zadnjih letih. Iz teh vrednosti bi nato izračunali povprečne kontrolne premije na določen čas pred prevzemom. Tako bi lahko za naše ocenjevano podjetje ocenili, kakšen bi bil porast tržne vrednosti delnice.</w:t>
      </w:r>
      <w:r w:rsidR="00452C28">
        <w:rPr>
          <w:lang w:eastAsia="sl-SI"/>
        </w:rPr>
        <w:t xml:space="preserve"> </w:t>
      </w:r>
      <w:r>
        <w:rPr>
          <w:lang w:eastAsia="sl-SI"/>
        </w:rPr>
        <w:t xml:space="preserve">V diplomskem delu tega izračuna nismo napravili, saj smo zaradi tujega investitorja predpostavili, da je bolj optimalno, če namesto povprečja kontrolnih premij slovenskih podjetij </w:t>
      </w:r>
      <w:r w:rsidRPr="00A718D0">
        <w:rPr>
          <w:lang w:eastAsia="sl-SI"/>
        </w:rPr>
        <w:t>vzamemo povprečno kontrolno premijo v Evropi.</w:t>
      </w:r>
    </w:p>
    <w:p w14:paraId="72255942" w14:textId="77777777" w:rsidR="00F851CC" w:rsidRPr="00A718D0" w:rsidRDefault="00F851CC" w:rsidP="00F851CC">
      <w:pPr>
        <w:pStyle w:val="Brezrazmikov"/>
        <w:rPr>
          <w:lang w:eastAsia="sl-SI"/>
        </w:rPr>
      </w:pPr>
    </w:p>
    <w:p w14:paraId="6D7FFBDD" w14:textId="37764496" w:rsidR="00F851CC" w:rsidRPr="00A718D0" w:rsidRDefault="00F851CC" w:rsidP="00F851CC">
      <w:pPr>
        <w:pStyle w:val="Brezrazmikov"/>
        <w:rPr>
          <w:lang w:eastAsia="sl-SI"/>
        </w:rPr>
      </w:pPr>
      <w:r w:rsidRPr="00A718D0">
        <w:rPr>
          <w:lang w:eastAsia="sl-SI"/>
        </w:rPr>
        <w:t>V našem primeru je kitajski prevzemnik izrecno zahteval vsaj 50</w:t>
      </w:r>
      <w:r>
        <w:t>-odstotni</w:t>
      </w:r>
      <w:r w:rsidRPr="00A718D0">
        <w:rPr>
          <w:lang w:eastAsia="sl-SI"/>
        </w:rPr>
        <w:t xml:space="preserve"> delež plus eno delnico podjetja Gorenje. Da je lahko to storil, je moral več kot </w:t>
      </w:r>
      <w:r w:rsidRPr="00A718D0">
        <w:t>polovico delničarjev prepričati v prodajo delnice</w:t>
      </w:r>
      <w:r w:rsidRPr="00A718D0">
        <w:rPr>
          <w:lang w:eastAsia="sl-SI"/>
        </w:rPr>
        <w:t>, to pa je lažje dosegel, če jim je za delnico ponudi več</w:t>
      </w:r>
      <w:r>
        <w:rPr>
          <w:lang w:eastAsia="sl-SI"/>
        </w:rPr>
        <w:t>,</w:t>
      </w:r>
      <w:r w:rsidRPr="00A718D0">
        <w:rPr>
          <w:lang w:eastAsia="sl-SI"/>
        </w:rPr>
        <w:t xml:space="preserve"> kot je njena cena na borzi. Oceno prevzemne premije smo prevzeli </w:t>
      </w:r>
      <w:r>
        <w:rPr>
          <w:lang w:eastAsia="sl-SI"/>
        </w:rPr>
        <w:t xml:space="preserve">iz poročila avtorja Jamesa </w:t>
      </w:r>
      <w:proofErr w:type="spellStart"/>
      <w:r w:rsidRPr="00A718D0">
        <w:rPr>
          <w:lang w:eastAsia="sl-SI"/>
        </w:rPr>
        <w:t>Cherowbrier</w:t>
      </w:r>
      <w:r>
        <w:rPr>
          <w:lang w:eastAsia="sl-SI"/>
        </w:rPr>
        <w:t>ja</w:t>
      </w:r>
      <w:proofErr w:type="spellEnd"/>
      <w:r>
        <w:rPr>
          <w:lang w:eastAsia="sl-SI"/>
        </w:rPr>
        <w:t>, dostopno na</w:t>
      </w:r>
      <w:r w:rsidRPr="00A718D0">
        <w:rPr>
          <w:lang w:eastAsia="sl-SI"/>
        </w:rPr>
        <w:t xml:space="preserve"> spletn</w:t>
      </w:r>
      <w:r>
        <w:rPr>
          <w:lang w:eastAsia="sl-SI"/>
        </w:rPr>
        <w:t>i</w:t>
      </w:r>
      <w:r w:rsidRPr="00A718D0">
        <w:rPr>
          <w:lang w:eastAsia="sl-SI"/>
        </w:rPr>
        <w:t xml:space="preserve"> strani Statista</w:t>
      </w:r>
      <w:r>
        <w:rPr>
          <w:lang w:eastAsia="sl-SI"/>
        </w:rPr>
        <w:t>,</w:t>
      </w:r>
      <w:r w:rsidRPr="00A718D0">
        <w:rPr>
          <w:lang w:eastAsia="sl-SI"/>
        </w:rPr>
        <w:t xml:space="preserve"> </w:t>
      </w:r>
      <w:r>
        <w:rPr>
          <w:lang w:eastAsia="sl-SI"/>
        </w:rPr>
        <w:t>v katerem</w:t>
      </w:r>
      <w:r w:rsidRPr="00A718D0">
        <w:rPr>
          <w:lang w:eastAsia="sl-SI"/>
        </w:rPr>
        <w:t xml:space="preserve"> je izračunana povprečna kontrolna premija za Evropo po panogah za leti 2017 in 2018. Premija predstavlja pribitek na ceno delnice, ki je na borzi kotirala štiri tedne pred prevzemom.</w:t>
      </w:r>
    </w:p>
    <w:p w14:paraId="61EE4BFD" w14:textId="244A0BA3" w:rsidR="00F851CC" w:rsidRDefault="00F851CC" w:rsidP="00F851CC">
      <w:pPr>
        <w:pStyle w:val="Napis"/>
        <w:keepNext/>
      </w:pPr>
      <w:bookmarkStart w:id="96" w:name="_Ref15036648"/>
      <w:bookmarkStart w:id="97" w:name="_Toc18964915"/>
      <w:r>
        <w:lastRenderedPageBreak/>
        <w:t xml:space="preserve">Slika </w:t>
      </w:r>
      <w:fldSimple w:instr=" SEQ Slika \* ARABIC ">
        <w:r w:rsidR="00325440">
          <w:rPr>
            <w:noProof/>
          </w:rPr>
          <w:t>25</w:t>
        </w:r>
      </w:fldSimple>
      <w:bookmarkEnd w:id="96"/>
      <w:r>
        <w:t>: Povprečna štiritedenska prevzemna premija za Evropo</w:t>
      </w:r>
      <w:bookmarkEnd w:id="97"/>
    </w:p>
    <w:p w14:paraId="0DE608BF" w14:textId="77777777" w:rsidR="00F851CC" w:rsidRDefault="00F851CC" w:rsidP="00F851CC">
      <w:pPr>
        <w:pStyle w:val="Brezrazmikov"/>
        <w:rPr>
          <w:lang w:eastAsia="sl-SI"/>
        </w:rPr>
      </w:pPr>
      <w:r>
        <w:rPr>
          <w:noProof/>
          <w:lang w:eastAsia="sl-SI"/>
        </w:rPr>
        <w:drawing>
          <wp:inline distT="0" distB="0" distL="0" distR="0" wp14:anchorId="027B500A" wp14:editId="4FBA5398">
            <wp:extent cx="5577840" cy="3253740"/>
            <wp:effectExtent l="0" t="0" r="3810" b="3810"/>
            <wp:docPr id="15" name="Grafikon 15">
              <a:extLst xmlns:a="http://schemas.openxmlformats.org/drawingml/2006/main">
                <a:ext uri="{FF2B5EF4-FFF2-40B4-BE49-F238E27FC236}">
                  <a16:creationId xmlns:a16="http://schemas.microsoft.com/office/drawing/2014/main" id="{6E23A2E4-8D86-4F6C-8282-29375048D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CEA4713" w14:textId="77777777" w:rsidR="00F851CC" w:rsidRDefault="00F851CC" w:rsidP="00F851CC">
      <w:pPr>
        <w:pStyle w:val="Brezrazmikov"/>
      </w:pPr>
      <w:r w:rsidRPr="003732DE">
        <w:rPr>
          <w:lang w:eastAsia="sl-SI"/>
        </w:rPr>
        <w:t>Vir:</w:t>
      </w:r>
      <w:r>
        <w:rPr>
          <w:lang w:eastAsia="sl-SI"/>
        </w:rPr>
        <w:t xml:space="preserve"> </w:t>
      </w:r>
      <w:proofErr w:type="spellStart"/>
      <w:r w:rsidRPr="00A718D0">
        <w:rPr>
          <w:lang w:eastAsia="sl-SI"/>
        </w:rPr>
        <w:t>Cherowbrier</w:t>
      </w:r>
      <w:proofErr w:type="spellEnd"/>
      <w:r w:rsidRPr="00A718D0">
        <w:rPr>
          <w:lang w:eastAsia="sl-SI"/>
        </w:rPr>
        <w:t xml:space="preserve">, J. </w:t>
      </w:r>
      <w:proofErr w:type="spellStart"/>
      <w:r w:rsidRPr="00A718D0">
        <w:rPr>
          <w:lang w:eastAsia="sl-SI"/>
        </w:rPr>
        <w:t>Average</w:t>
      </w:r>
      <w:proofErr w:type="spellEnd"/>
      <w:r w:rsidRPr="00A718D0">
        <w:rPr>
          <w:lang w:eastAsia="sl-SI"/>
        </w:rPr>
        <w:t xml:space="preserve"> </w:t>
      </w:r>
      <w:proofErr w:type="spellStart"/>
      <w:r w:rsidRPr="00A718D0">
        <w:rPr>
          <w:lang w:eastAsia="sl-SI"/>
        </w:rPr>
        <w:t>merger</w:t>
      </w:r>
      <w:proofErr w:type="spellEnd"/>
      <w:r w:rsidRPr="00A718D0">
        <w:rPr>
          <w:lang w:eastAsia="sl-SI"/>
        </w:rPr>
        <w:t xml:space="preserve"> </w:t>
      </w:r>
      <w:proofErr w:type="spellStart"/>
      <w:r w:rsidRPr="00A718D0">
        <w:rPr>
          <w:lang w:eastAsia="sl-SI"/>
        </w:rPr>
        <w:t>and</w:t>
      </w:r>
      <w:proofErr w:type="spellEnd"/>
      <w:r w:rsidRPr="00A718D0">
        <w:rPr>
          <w:lang w:eastAsia="sl-SI"/>
        </w:rPr>
        <w:t xml:space="preserve"> </w:t>
      </w:r>
      <w:proofErr w:type="spellStart"/>
      <w:r w:rsidRPr="00A718D0">
        <w:rPr>
          <w:lang w:eastAsia="sl-SI"/>
        </w:rPr>
        <w:t>acquisition</w:t>
      </w:r>
      <w:proofErr w:type="spellEnd"/>
      <w:r w:rsidRPr="00A718D0">
        <w:rPr>
          <w:lang w:eastAsia="sl-SI"/>
        </w:rPr>
        <w:t xml:space="preserve"> (M&amp;A) </w:t>
      </w:r>
      <w:proofErr w:type="spellStart"/>
      <w:r w:rsidRPr="00A718D0">
        <w:rPr>
          <w:lang w:eastAsia="sl-SI"/>
        </w:rPr>
        <w:t>premiums</w:t>
      </w:r>
      <w:proofErr w:type="spellEnd"/>
      <w:r w:rsidRPr="00A718D0">
        <w:rPr>
          <w:lang w:eastAsia="sl-SI"/>
        </w:rPr>
        <w:t xml:space="preserve"> to </w:t>
      </w:r>
      <w:proofErr w:type="spellStart"/>
      <w:r w:rsidRPr="00A718D0">
        <w:rPr>
          <w:lang w:eastAsia="sl-SI"/>
        </w:rPr>
        <w:t>four</w:t>
      </w:r>
      <w:proofErr w:type="spellEnd"/>
      <w:r w:rsidRPr="00A718D0">
        <w:rPr>
          <w:lang w:eastAsia="sl-SI"/>
        </w:rPr>
        <w:t xml:space="preserve"> </w:t>
      </w:r>
      <w:proofErr w:type="spellStart"/>
      <w:r w:rsidRPr="00A718D0">
        <w:rPr>
          <w:lang w:eastAsia="sl-SI"/>
        </w:rPr>
        <w:t>week</w:t>
      </w:r>
      <w:proofErr w:type="spellEnd"/>
      <w:r w:rsidRPr="00A718D0">
        <w:rPr>
          <w:lang w:eastAsia="sl-SI"/>
        </w:rPr>
        <w:t xml:space="preserve"> </w:t>
      </w:r>
      <w:proofErr w:type="spellStart"/>
      <w:r w:rsidRPr="00A718D0">
        <w:rPr>
          <w:lang w:eastAsia="sl-SI"/>
        </w:rPr>
        <w:t>stock</w:t>
      </w:r>
      <w:proofErr w:type="spellEnd"/>
      <w:r w:rsidRPr="00A718D0">
        <w:rPr>
          <w:lang w:eastAsia="sl-SI"/>
        </w:rPr>
        <w:t xml:space="preserve"> </w:t>
      </w:r>
      <w:proofErr w:type="spellStart"/>
      <w:r w:rsidRPr="00A718D0">
        <w:rPr>
          <w:lang w:eastAsia="sl-SI"/>
        </w:rPr>
        <w:t>price</w:t>
      </w:r>
      <w:proofErr w:type="spellEnd"/>
      <w:r w:rsidRPr="00A718D0">
        <w:rPr>
          <w:lang w:eastAsia="sl-SI"/>
        </w:rPr>
        <w:t xml:space="preserve"> in </w:t>
      </w:r>
      <w:proofErr w:type="spellStart"/>
      <w:r w:rsidRPr="00A718D0">
        <w:rPr>
          <w:lang w:eastAsia="sl-SI"/>
        </w:rPr>
        <w:t>Europe</w:t>
      </w:r>
      <w:proofErr w:type="spellEnd"/>
      <w:r w:rsidRPr="00A718D0">
        <w:rPr>
          <w:lang w:eastAsia="sl-SI"/>
        </w:rPr>
        <w:t xml:space="preserve"> in 2017 </w:t>
      </w:r>
      <w:proofErr w:type="spellStart"/>
      <w:r w:rsidRPr="00A718D0">
        <w:rPr>
          <w:lang w:eastAsia="sl-SI"/>
        </w:rPr>
        <w:t>and</w:t>
      </w:r>
      <w:proofErr w:type="spellEnd"/>
      <w:r w:rsidRPr="00A718D0">
        <w:rPr>
          <w:lang w:eastAsia="sl-SI"/>
        </w:rPr>
        <w:t xml:space="preserve"> 2018, </w:t>
      </w:r>
      <w:proofErr w:type="spellStart"/>
      <w:r w:rsidRPr="00A718D0">
        <w:rPr>
          <w:lang w:eastAsia="sl-SI"/>
        </w:rPr>
        <w:t>by</w:t>
      </w:r>
      <w:proofErr w:type="spellEnd"/>
      <w:r w:rsidRPr="00A718D0">
        <w:rPr>
          <w:lang w:eastAsia="sl-SI"/>
        </w:rPr>
        <w:t xml:space="preserve"> </w:t>
      </w:r>
      <w:proofErr w:type="spellStart"/>
      <w:r w:rsidRPr="00A718D0">
        <w:rPr>
          <w:lang w:eastAsia="sl-SI"/>
        </w:rPr>
        <w:t>industr</w:t>
      </w:r>
      <w:r>
        <w:rPr>
          <w:lang w:eastAsia="sl-SI"/>
        </w:rPr>
        <w:t>y</w:t>
      </w:r>
      <w:proofErr w:type="spellEnd"/>
    </w:p>
    <w:p w14:paraId="52B58CE0" w14:textId="77777777" w:rsidR="00F851CC" w:rsidRPr="003732DE" w:rsidRDefault="00F851CC" w:rsidP="00F851CC">
      <w:pPr>
        <w:pStyle w:val="Brezrazmikov"/>
      </w:pPr>
    </w:p>
    <w:p w14:paraId="19EA5993" w14:textId="77777777" w:rsidR="00F851CC" w:rsidRDefault="00F851CC" w:rsidP="00F851CC">
      <w:pPr>
        <w:pStyle w:val="Brezrazmikov"/>
      </w:pPr>
      <w:r>
        <w:t>Iz teh podatkov smo vzeli premijo iz kategorije »</w:t>
      </w:r>
      <w:proofErr w:type="spellStart"/>
      <w:r>
        <w:t>Consumer</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Services</w:t>
      </w:r>
      <w:proofErr w:type="spellEnd"/>
      <w:r>
        <w:t>«, ki prikazuje prevzemno premijo v panogi podjetij, ki proizvajajo potrošniške produkte kamor spada tudi Gorenje, ki deluje v panogi bele tehnike. Ta premija je na ceno delnice, ki je na borzi kotirala 4 tedne pred prevzemom, v letu 2018 znašala 24,60 %, medtem ko je v letu 2017 znašala 19,30 %.</w:t>
      </w:r>
    </w:p>
    <w:p w14:paraId="4E7B1AF8" w14:textId="77777777" w:rsidR="00F851CC" w:rsidRDefault="00F851CC" w:rsidP="00F851CC">
      <w:pPr>
        <w:pStyle w:val="Brezrazmikov"/>
      </w:pPr>
    </w:p>
    <w:p w14:paraId="63C66945" w14:textId="6F9B3D6C" w:rsidR="00F851CC" w:rsidRDefault="00F851CC" w:rsidP="00F851CC">
      <w:pPr>
        <w:pStyle w:val="Brezrazmikov"/>
      </w:pPr>
      <w:r>
        <w:t xml:space="preserve">Družba </w:t>
      </w:r>
      <w:proofErr w:type="spellStart"/>
      <w:r>
        <w:t>Hisense</w:t>
      </w:r>
      <w:proofErr w:type="spellEnd"/>
      <w:r>
        <w:t xml:space="preserve"> je 28. 5. 2018 objavila prevzemno pogodbo za odkup delnic Gorenja. Cena teh delnic z oznako GRVG je štiri tedne pred prevzemom, tj. 26. 4. 2018, znašala 6,08 EUR. Če na to ceno dodamo prevzemno premijo v višini 24,60 %, ugotovimo, da bi po tem izračunu družba </w:t>
      </w:r>
      <w:proofErr w:type="spellStart"/>
      <w:r>
        <w:t>Hisense</w:t>
      </w:r>
      <w:proofErr w:type="spellEnd"/>
      <w:r>
        <w:t xml:space="preserve"> morala za eno delnico ponuditi le 7,57 EUR. Ker pa je prevzemnik upošteval še na novo ustvarjene sinergije, smo namesto cene na dan 26. 6. 2018 vzeli ceno 10,65 EUR, izračunano v poglavju </w:t>
      </w:r>
      <w:r w:rsidRPr="00821C33">
        <w:rPr>
          <w:i/>
          <w:iCs/>
        </w:rPr>
        <w:fldChar w:fldCharType="begin"/>
      </w:r>
      <w:r w:rsidRPr="00821C33">
        <w:rPr>
          <w:i/>
          <w:iCs/>
        </w:rPr>
        <w:instrText xml:space="preserve"> REF _Ref15037990 \r \h </w:instrText>
      </w:r>
      <w:r>
        <w:rPr>
          <w:i/>
          <w:iCs/>
        </w:rPr>
        <w:instrText xml:space="preserve"> \* MERGEFORMAT </w:instrText>
      </w:r>
      <w:r w:rsidRPr="00821C33">
        <w:rPr>
          <w:i/>
          <w:iCs/>
        </w:rPr>
      </w:r>
      <w:r w:rsidRPr="00821C33">
        <w:rPr>
          <w:i/>
          <w:iCs/>
        </w:rPr>
        <w:fldChar w:fldCharType="separate"/>
      </w:r>
      <w:r w:rsidR="00325440">
        <w:rPr>
          <w:i/>
          <w:iCs/>
        </w:rPr>
        <w:t>9.1</w:t>
      </w:r>
      <w:r w:rsidRPr="00821C33">
        <w:rPr>
          <w:i/>
          <w:iCs/>
        </w:rPr>
        <w:fldChar w:fldCharType="end"/>
      </w:r>
      <w:r>
        <w:t>. Če na to ceno dodamo povprečno kontrolno premijo za Evropo v letu 2018, dobimo ceno nove delnice GRVG, ki bi znašala 13,27 EUR.</w:t>
      </w:r>
    </w:p>
    <w:p w14:paraId="4DC1595A" w14:textId="77777777" w:rsidR="004767AA" w:rsidRDefault="00F851CC" w:rsidP="004767AA">
      <w:pPr>
        <w:pStyle w:val="Brezrazmikov"/>
        <w:rPr>
          <w:lang w:eastAsia="sl-SI"/>
        </w:rPr>
      </w:pPr>
      <w:r>
        <w:t>Da je izračunana vrednost delnice po prevzemu večja od dejanske prevzemne cene, je popolnoma razumljivo, saj sklepamo, da je prevzemnik po svojih ocenah ugotovil, da je zanj podjetje Gorenje vredno več kot 12 EUR, saj se mu sicer nakup ne bi splačal.</w:t>
      </w:r>
      <w:r>
        <w:rPr>
          <w:lang w:eastAsia="sl-SI"/>
        </w:rPr>
        <w:t xml:space="preserve"> </w:t>
      </w:r>
    </w:p>
    <w:p w14:paraId="0D8DB102" w14:textId="77777777" w:rsidR="00F851CC" w:rsidRDefault="00F851CC" w:rsidP="004767AA">
      <w:pPr>
        <w:pStyle w:val="Brezrazmikov"/>
      </w:pPr>
      <w:r>
        <w:t xml:space="preserve">Natančnih posledic prevzema z gotovostjo seveda ne moremo trditi, saj bi bilo za to potrebno temeljito poznavanje novega lastnika ter njegovih namenov, katerih ob prevzemu še ni bilo znanih. Sklepamo lahko, da bo podjetje Gorenje poslovalo boljše in bolj optimalno zaradi usmeritev s strani novega investitorja. Zaradi tega se tudi pričakuje večja rast Skupine ter posledično višja cena delnice. </w:t>
      </w:r>
      <w:r>
        <w:br w:type="page"/>
      </w:r>
    </w:p>
    <w:p w14:paraId="0FCC4F01" w14:textId="77777777" w:rsidR="00F851CC" w:rsidRDefault="00F851CC" w:rsidP="00F851CC">
      <w:pPr>
        <w:pStyle w:val="Naslov1"/>
      </w:pPr>
      <w:bookmarkStart w:id="98" w:name="_Toc18964889"/>
      <w:r>
        <w:lastRenderedPageBreak/>
        <w:t>Sklep</w:t>
      </w:r>
      <w:bookmarkEnd w:id="98"/>
    </w:p>
    <w:p w14:paraId="2BFF9276" w14:textId="77777777" w:rsidR="00F851CC" w:rsidRDefault="00F851CC" w:rsidP="00F851CC">
      <w:pPr>
        <w:pStyle w:val="Brezrazmikov"/>
        <w:rPr>
          <w:lang w:eastAsia="sl-SI"/>
        </w:rPr>
      </w:pPr>
      <w:r>
        <w:rPr>
          <w:lang w:eastAsia="sl-SI"/>
        </w:rPr>
        <w:t xml:space="preserve">V diplomskem delu smo vrednotili ceno delnice po metodi diskontiranih denarnih tokov. Kljub temu da je to ena izmed najpogosteje uporabljenih metod, smo med pisanjem ugotovili, da je precej subjektivna. Ugotovili smo, da mora biti ocenjevalec pri napovedi zelo pozoren, kako napove posamezne postavke, saj že manjša odstopanja povzročijo velike spremembe v končni vrednosti kapitala. </w:t>
      </w:r>
    </w:p>
    <w:p w14:paraId="06A27C15" w14:textId="77777777" w:rsidR="00F851CC" w:rsidRDefault="00F851CC" w:rsidP="00F851CC">
      <w:pPr>
        <w:pStyle w:val="Brezrazmikov"/>
        <w:rPr>
          <w:lang w:eastAsia="sl-SI"/>
        </w:rPr>
      </w:pPr>
    </w:p>
    <w:p w14:paraId="227EE27C" w14:textId="77777777" w:rsidR="00F851CC" w:rsidRDefault="00F851CC" w:rsidP="00F851CC">
      <w:pPr>
        <w:pStyle w:val="Brezrazmikov"/>
        <w:rPr>
          <w:lang w:eastAsia="sl-SI"/>
        </w:rPr>
      </w:pPr>
      <w:r>
        <w:rPr>
          <w:lang w:eastAsia="sl-SI"/>
        </w:rPr>
        <w:t>Ugotovili smo tudi, da je precejšna razlika v vrednosti delnice, če ocenjujemo njeno vrednost glede na manjšinskega ali večinskega lastnika. Z izračunom v prvem delu diplomske naloge smo izračunali tržno vrednost delnice oz. vrednost delnice za manjšinskega lastnika. V drugem delu smo obravnavali, kaj se dogaja s ceno delnice v kontekstu prevzema. Tu smo videli, da v primeru, da želi investitor kupiti celotno podjetje, za eno delnico odšteje veliko več, kot če bi kupil le nekaj delnic. V to vrednost so vštete sinergije oz. dodane vrednosti, ki jih lahko investitor doprinese v ocenjevano podjetje, da posluje boljše oz. jih pridobi iz podjetja s spremembo poslovanja. To pa lahko doseže, če ima zakupljen določen kontrolni delež podjetja, ki mu omogoča, da podjetje usmeri na podlagi svojih lastnih želj in prepričanj. Dodatno vrednost, ki jo plača za nadzor v podjetju, imenujemo kontrolna premija, ki se doda na tržno vrednost delnice. Tako dobimo prevzemno ceno, po kateri prevzemnik odplača ostale delničarje.</w:t>
      </w:r>
    </w:p>
    <w:p w14:paraId="78C37301" w14:textId="77777777" w:rsidR="00F851CC" w:rsidRDefault="00F851CC" w:rsidP="00F851CC">
      <w:pPr>
        <w:pStyle w:val="Brezrazmikov"/>
        <w:rPr>
          <w:lang w:eastAsia="sl-SI"/>
        </w:rPr>
      </w:pPr>
    </w:p>
    <w:p w14:paraId="7D1FE3E5" w14:textId="77777777" w:rsidR="00F851CC" w:rsidRDefault="00F851CC" w:rsidP="00F851CC">
      <w:pPr>
        <w:pStyle w:val="Brezrazmikov"/>
        <w:rPr>
          <w:lang w:eastAsia="sl-SI"/>
        </w:rPr>
      </w:pPr>
      <w:r>
        <w:rPr>
          <w:lang w:eastAsia="sl-SI"/>
        </w:rPr>
        <w:t xml:space="preserve">Vrednost delnice za manjšinskega lastnika smo v prvem delu naloge ocenili na 5,49 EUR, ki je bila za 7,6 % višja od dejanske tržne vrednosti na borzi in je na dan 31. 12. 2017 znašala 5,10 EUR. Tako smo ugotovili, da cena na trgu odraža realno situacijo, se pa v prihodnje pričakuje zvišanje cene delnice. V drugem delu smo poiskali sinergije, ki bi lastniku omogočale, da s podjetjem Gorenje ustvarja večje donose, kot so bili pričakovani pred prevzemom, torej tudi v naši oceni na dan 31. 12. 2017. Tako smo ugotovili, da bi novi lastnik lahko z optimizacijo stroškov in spremembo poslovanja lahko bistveno povečal donose Skupine ter tako ustvaril večje proste denarne tokove. Ocenili smo, da bi s sinergijami vrednost podjetja narastla na 10,65 EUR, kar je skoraj enkratno povečanje vrednosti kapitala. Dodatno smo na to vrednost upoštevali še pribitek za zahtevo po kontroli v podjetju, saj lahko investitor le tako realizira svoje načrte za dodatni ustvarjeni denarni tok. Tako smo ocenili povprečno kontrolno premijo v višini 24,90 % in jo aplicirali na ceno delnice 10,65 EUR ter tako dobili, da je končna vrednost podjetja Gorenje za kitajskega lastnika enaka 13,27 EUR. Da je izračunana vrednost višja od dejanske prevzemne cene, je pričakovano, saj se sicer prevzemniku nakup ne bi splačal, če od nakupa ne bi profitiral. Sklepamo lahko, da je tuj investitor po svojih izračunih ugotovil, da je Gorenje zanj vredno več kot 12 EUR. </w:t>
      </w:r>
    </w:p>
    <w:p w14:paraId="4B76D62E" w14:textId="77777777" w:rsidR="00F851CC" w:rsidRDefault="00F851CC" w:rsidP="00F851CC">
      <w:pPr>
        <w:pStyle w:val="Brezrazmikov"/>
      </w:pPr>
      <w:r>
        <w:br w:type="page"/>
      </w:r>
    </w:p>
    <w:p w14:paraId="290384A5" w14:textId="77777777" w:rsidR="00F851CC" w:rsidRDefault="00F851CC" w:rsidP="00F851CC">
      <w:pPr>
        <w:pStyle w:val="Naslov1"/>
        <w:rPr>
          <w:lang w:eastAsia="sl-SI"/>
        </w:rPr>
      </w:pPr>
      <w:bookmarkStart w:id="99" w:name="_Toc18964890"/>
      <w:r>
        <w:rPr>
          <w:lang w:eastAsia="sl-SI"/>
        </w:rPr>
        <w:lastRenderedPageBreak/>
        <w:t>Viri</w:t>
      </w:r>
      <w:bookmarkEnd w:id="99"/>
    </w:p>
    <w:p w14:paraId="070470EE" w14:textId="77777777" w:rsidR="00F851CC" w:rsidRPr="00254019" w:rsidRDefault="00F851CC" w:rsidP="00F851CC">
      <w:pPr>
        <w:pStyle w:val="Brezrazmikov"/>
        <w:numPr>
          <w:ilvl w:val="0"/>
          <w:numId w:val="9"/>
        </w:numPr>
        <w:spacing w:after="120"/>
        <w:ind w:left="714" w:hanging="357"/>
        <w:jc w:val="left"/>
      </w:pPr>
      <w:r w:rsidRPr="00254019">
        <w:t xml:space="preserve">Praznik, B. (2004). </w:t>
      </w:r>
      <w:r w:rsidRPr="00D86EDC">
        <w:rPr>
          <w:i/>
          <w:iCs/>
        </w:rPr>
        <w:t>Priročnik za ocenjevanje vrednosti</w:t>
      </w:r>
      <w:r w:rsidRPr="00254019">
        <w:t xml:space="preserve"> (1. izd</w:t>
      </w:r>
      <w:r>
        <w:t>.</w:t>
      </w:r>
      <w:r w:rsidRPr="00254019">
        <w:t>). Ljubljana: Slovenski inštitut za revizijo</w:t>
      </w:r>
      <w:r>
        <w:t>.</w:t>
      </w:r>
    </w:p>
    <w:p w14:paraId="506D1CC6" w14:textId="1E1A5478" w:rsidR="00F851CC" w:rsidRDefault="00F851CC" w:rsidP="00F851CC">
      <w:pPr>
        <w:pStyle w:val="Brezrazmikov"/>
        <w:numPr>
          <w:ilvl w:val="0"/>
          <w:numId w:val="9"/>
        </w:numPr>
        <w:spacing w:after="120"/>
        <w:ind w:left="714" w:hanging="357"/>
        <w:jc w:val="left"/>
      </w:pPr>
      <w:proofErr w:type="spellStart"/>
      <w:r w:rsidRPr="007D7351">
        <w:t>Damodaran</w:t>
      </w:r>
      <w:proofErr w:type="spellEnd"/>
      <w:r>
        <w:t xml:space="preserve">, A. (2001). </w:t>
      </w:r>
      <w:proofErr w:type="spellStart"/>
      <w:r w:rsidRPr="00D86EDC">
        <w:rPr>
          <w:i/>
          <w:iCs/>
        </w:rPr>
        <w:t>Corporate</w:t>
      </w:r>
      <w:proofErr w:type="spellEnd"/>
      <w:r w:rsidRPr="00D86EDC">
        <w:rPr>
          <w:i/>
          <w:iCs/>
        </w:rPr>
        <w:t xml:space="preserve"> finance: </w:t>
      </w:r>
      <w:proofErr w:type="spellStart"/>
      <w:r w:rsidR="00452C28">
        <w:rPr>
          <w:i/>
          <w:iCs/>
        </w:rPr>
        <w:t>t</w:t>
      </w:r>
      <w:r w:rsidRPr="00D86EDC">
        <w:rPr>
          <w:i/>
          <w:iCs/>
        </w:rPr>
        <w:t>heory</w:t>
      </w:r>
      <w:proofErr w:type="spellEnd"/>
      <w:r w:rsidRPr="00D86EDC">
        <w:rPr>
          <w:i/>
          <w:iCs/>
        </w:rPr>
        <w:t xml:space="preserve"> </w:t>
      </w:r>
      <w:proofErr w:type="spellStart"/>
      <w:r w:rsidRPr="00D86EDC">
        <w:rPr>
          <w:i/>
          <w:iCs/>
        </w:rPr>
        <w:t>and</w:t>
      </w:r>
      <w:proofErr w:type="spellEnd"/>
      <w:r w:rsidRPr="00D86EDC">
        <w:rPr>
          <w:i/>
          <w:iCs/>
        </w:rPr>
        <w:t xml:space="preserve"> </w:t>
      </w:r>
      <w:proofErr w:type="spellStart"/>
      <w:r w:rsidRPr="00D86EDC">
        <w:rPr>
          <w:i/>
          <w:iCs/>
        </w:rPr>
        <w:t>practice</w:t>
      </w:r>
      <w:proofErr w:type="spellEnd"/>
      <w:r>
        <w:t xml:space="preserve"> (2nd </w:t>
      </w:r>
      <w:proofErr w:type="spellStart"/>
      <w:r>
        <w:t>ed</w:t>
      </w:r>
      <w:proofErr w:type="spellEnd"/>
      <w:r>
        <w:t xml:space="preserve">.). </w:t>
      </w:r>
      <w:r w:rsidRPr="00254019">
        <w:t xml:space="preserve">New York: J. </w:t>
      </w:r>
      <w:proofErr w:type="spellStart"/>
      <w:r w:rsidRPr="00254019">
        <w:t>Wiley</w:t>
      </w:r>
      <w:proofErr w:type="spellEnd"/>
      <w:r>
        <w:t>.</w:t>
      </w:r>
    </w:p>
    <w:p w14:paraId="04F5A842" w14:textId="77777777" w:rsidR="00F851CC" w:rsidRDefault="00F851CC" w:rsidP="00F851CC">
      <w:pPr>
        <w:pStyle w:val="Brezrazmikov"/>
        <w:numPr>
          <w:ilvl w:val="0"/>
          <w:numId w:val="9"/>
        </w:numPr>
        <w:spacing w:after="120"/>
        <w:ind w:left="714" w:hanging="357"/>
        <w:jc w:val="left"/>
      </w:pPr>
      <w:proofErr w:type="spellStart"/>
      <w:r w:rsidRPr="007D7351">
        <w:t>Damodaran</w:t>
      </w:r>
      <w:proofErr w:type="spellEnd"/>
      <w:r>
        <w:t xml:space="preserve">, A. (2012). </w:t>
      </w:r>
      <w:proofErr w:type="spellStart"/>
      <w:r w:rsidRPr="00D86EDC">
        <w:rPr>
          <w:i/>
          <w:iCs/>
        </w:rPr>
        <w:t>Investment</w:t>
      </w:r>
      <w:proofErr w:type="spellEnd"/>
      <w:r w:rsidRPr="00D86EDC">
        <w:rPr>
          <w:i/>
          <w:iCs/>
        </w:rPr>
        <w:t xml:space="preserve"> </w:t>
      </w:r>
      <w:proofErr w:type="spellStart"/>
      <w:r w:rsidRPr="00D86EDC">
        <w:rPr>
          <w:i/>
          <w:iCs/>
        </w:rPr>
        <w:t>valuation</w:t>
      </w:r>
      <w:proofErr w:type="spellEnd"/>
      <w:r w:rsidRPr="00D86EDC">
        <w:rPr>
          <w:i/>
          <w:iCs/>
        </w:rPr>
        <w:t xml:space="preserve">: </w:t>
      </w:r>
      <w:proofErr w:type="spellStart"/>
      <w:r w:rsidRPr="00D86EDC">
        <w:rPr>
          <w:i/>
          <w:iCs/>
        </w:rPr>
        <w:t>tools</w:t>
      </w:r>
      <w:proofErr w:type="spellEnd"/>
      <w:r w:rsidRPr="00D86EDC">
        <w:rPr>
          <w:i/>
          <w:iCs/>
        </w:rPr>
        <w:t xml:space="preserve"> </w:t>
      </w:r>
      <w:proofErr w:type="spellStart"/>
      <w:r w:rsidRPr="00D86EDC">
        <w:rPr>
          <w:i/>
          <w:iCs/>
        </w:rPr>
        <w:t>and</w:t>
      </w:r>
      <w:proofErr w:type="spellEnd"/>
      <w:r w:rsidRPr="00D86EDC">
        <w:rPr>
          <w:i/>
          <w:iCs/>
        </w:rPr>
        <w:t xml:space="preserve"> </w:t>
      </w:r>
      <w:proofErr w:type="spellStart"/>
      <w:r w:rsidRPr="00452C28">
        <w:rPr>
          <w:i/>
          <w:iCs/>
        </w:rPr>
        <w:t>techniques</w:t>
      </w:r>
      <w:proofErr w:type="spellEnd"/>
      <w:r w:rsidRPr="00D86EDC">
        <w:rPr>
          <w:i/>
          <w:iCs/>
        </w:rPr>
        <w:t xml:space="preserve"> </w:t>
      </w:r>
      <w:proofErr w:type="spellStart"/>
      <w:r w:rsidRPr="00D86EDC">
        <w:rPr>
          <w:i/>
          <w:iCs/>
        </w:rPr>
        <w:t>for</w:t>
      </w:r>
      <w:proofErr w:type="spellEnd"/>
      <w:r w:rsidRPr="00D86EDC">
        <w:rPr>
          <w:i/>
          <w:iCs/>
        </w:rPr>
        <w:t xml:space="preserve"> </w:t>
      </w:r>
      <w:proofErr w:type="spellStart"/>
      <w:r w:rsidRPr="00D86EDC">
        <w:rPr>
          <w:i/>
          <w:iCs/>
        </w:rPr>
        <w:t>determining</w:t>
      </w:r>
      <w:proofErr w:type="spellEnd"/>
      <w:r w:rsidRPr="00D86EDC">
        <w:rPr>
          <w:i/>
          <w:iCs/>
        </w:rPr>
        <w:t xml:space="preserve"> </w:t>
      </w:r>
      <w:proofErr w:type="spellStart"/>
      <w:r w:rsidRPr="00D86EDC">
        <w:rPr>
          <w:i/>
          <w:iCs/>
        </w:rPr>
        <w:t>the</w:t>
      </w:r>
      <w:proofErr w:type="spellEnd"/>
      <w:r w:rsidRPr="00D86EDC">
        <w:rPr>
          <w:i/>
          <w:iCs/>
        </w:rPr>
        <w:t xml:space="preserve"> </w:t>
      </w:r>
      <w:proofErr w:type="spellStart"/>
      <w:r w:rsidRPr="00D86EDC">
        <w:rPr>
          <w:i/>
          <w:iCs/>
        </w:rPr>
        <w:t>value</w:t>
      </w:r>
      <w:proofErr w:type="spellEnd"/>
      <w:r w:rsidRPr="00D86EDC">
        <w:rPr>
          <w:i/>
          <w:iCs/>
        </w:rPr>
        <w:t xml:space="preserve"> </w:t>
      </w:r>
      <w:proofErr w:type="spellStart"/>
      <w:r w:rsidRPr="00D86EDC">
        <w:rPr>
          <w:i/>
          <w:iCs/>
        </w:rPr>
        <w:t>of</w:t>
      </w:r>
      <w:proofErr w:type="spellEnd"/>
      <w:r w:rsidRPr="00D86EDC">
        <w:rPr>
          <w:i/>
          <w:iCs/>
        </w:rPr>
        <w:t xml:space="preserve"> </w:t>
      </w:r>
      <w:proofErr w:type="spellStart"/>
      <w:r w:rsidRPr="00D86EDC">
        <w:rPr>
          <w:i/>
          <w:iCs/>
        </w:rPr>
        <w:t>any</w:t>
      </w:r>
      <w:proofErr w:type="spellEnd"/>
      <w:r w:rsidRPr="00D86EDC">
        <w:rPr>
          <w:i/>
          <w:iCs/>
        </w:rPr>
        <w:t xml:space="preserve"> </w:t>
      </w:r>
      <w:proofErr w:type="spellStart"/>
      <w:r w:rsidRPr="00D86EDC">
        <w:rPr>
          <w:i/>
          <w:iCs/>
        </w:rPr>
        <w:t>asset</w:t>
      </w:r>
      <w:proofErr w:type="spellEnd"/>
      <w:r>
        <w:t xml:space="preserve"> (3rd </w:t>
      </w:r>
      <w:proofErr w:type="spellStart"/>
      <w:r>
        <w:t>ed</w:t>
      </w:r>
      <w:proofErr w:type="spellEnd"/>
      <w:r>
        <w:t xml:space="preserve">.). </w:t>
      </w:r>
      <w:proofErr w:type="spellStart"/>
      <w:r w:rsidRPr="001839E3">
        <w:t>Hoboken</w:t>
      </w:r>
      <w:proofErr w:type="spellEnd"/>
      <w:r w:rsidRPr="001839E3">
        <w:t xml:space="preserve">: John </w:t>
      </w:r>
      <w:proofErr w:type="spellStart"/>
      <w:r w:rsidRPr="001839E3">
        <w:t>Wiley</w:t>
      </w:r>
      <w:proofErr w:type="spellEnd"/>
      <w:r w:rsidRPr="001839E3">
        <w:t xml:space="preserve"> &amp; </w:t>
      </w:r>
      <w:proofErr w:type="spellStart"/>
      <w:r w:rsidRPr="001839E3">
        <w:t>Sons</w:t>
      </w:r>
      <w:proofErr w:type="spellEnd"/>
      <w:r>
        <w:t>.</w:t>
      </w:r>
    </w:p>
    <w:p w14:paraId="5F4494A9" w14:textId="77777777" w:rsidR="00F851CC" w:rsidRPr="00EB267D" w:rsidRDefault="00F851CC" w:rsidP="00F851CC">
      <w:pPr>
        <w:pStyle w:val="Brezrazmikov"/>
        <w:numPr>
          <w:ilvl w:val="0"/>
          <w:numId w:val="9"/>
        </w:numPr>
        <w:spacing w:after="120"/>
        <w:ind w:left="714" w:hanging="357"/>
        <w:jc w:val="left"/>
      </w:pPr>
      <w:proofErr w:type="spellStart"/>
      <w:r>
        <w:t>Pratt</w:t>
      </w:r>
      <w:proofErr w:type="spellEnd"/>
      <w:r>
        <w:t xml:space="preserve">, P. Shannon. (2008). </w:t>
      </w:r>
      <w:proofErr w:type="spellStart"/>
      <w:r w:rsidRPr="00D86EDC">
        <w:rPr>
          <w:i/>
          <w:iCs/>
        </w:rPr>
        <w:t>Valuing</w:t>
      </w:r>
      <w:proofErr w:type="spellEnd"/>
      <w:r w:rsidRPr="00D86EDC">
        <w:rPr>
          <w:i/>
          <w:iCs/>
        </w:rPr>
        <w:t xml:space="preserve"> a business: </w:t>
      </w:r>
      <w:proofErr w:type="spellStart"/>
      <w:r w:rsidRPr="00D86EDC">
        <w:rPr>
          <w:i/>
          <w:iCs/>
        </w:rPr>
        <w:t>the</w:t>
      </w:r>
      <w:proofErr w:type="spellEnd"/>
      <w:r w:rsidRPr="00D86EDC">
        <w:rPr>
          <w:i/>
          <w:iCs/>
        </w:rPr>
        <w:t xml:space="preserve"> </w:t>
      </w:r>
      <w:proofErr w:type="spellStart"/>
      <w:r w:rsidRPr="00D86EDC">
        <w:rPr>
          <w:i/>
          <w:iCs/>
        </w:rPr>
        <w:t>analysis</w:t>
      </w:r>
      <w:proofErr w:type="spellEnd"/>
      <w:r w:rsidRPr="00D86EDC">
        <w:rPr>
          <w:i/>
          <w:iCs/>
        </w:rPr>
        <w:t xml:space="preserve"> </w:t>
      </w:r>
      <w:proofErr w:type="spellStart"/>
      <w:r w:rsidRPr="00D86EDC">
        <w:rPr>
          <w:i/>
          <w:iCs/>
        </w:rPr>
        <w:t>and</w:t>
      </w:r>
      <w:proofErr w:type="spellEnd"/>
      <w:r w:rsidRPr="00D86EDC">
        <w:rPr>
          <w:i/>
          <w:iCs/>
        </w:rPr>
        <w:t xml:space="preserve"> </w:t>
      </w:r>
      <w:proofErr w:type="spellStart"/>
      <w:r w:rsidRPr="00D86EDC">
        <w:rPr>
          <w:i/>
          <w:iCs/>
        </w:rPr>
        <w:t>appraisal</w:t>
      </w:r>
      <w:proofErr w:type="spellEnd"/>
      <w:r w:rsidRPr="00D86EDC">
        <w:rPr>
          <w:i/>
          <w:iCs/>
        </w:rPr>
        <w:t xml:space="preserve"> </w:t>
      </w:r>
      <w:proofErr w:type="spellStart"/>
      <w:r w:rsidRPr="00D86EDC">
        <w:rPr>
          <w:i/>
          <w:iCs/>
        </w:rPr>
        <w:t>of</w:t>
      </w:r>
      <w:proofErr w:type="spellEnd"/>
      <w:r w:rsidRPr="00D86EDC">
        <w:rPr>
          <w:i/>
          <w:iCs/>
        </w:rPr>
        <w:t xml:space="preserve"> </w:t>
      </w:r>
      <w:proofErr w:type="spellStart"/>
      <w:r w:rsidRPr="00D86EDC">
        <w:rPr>
          <w:i/>
          <w:iCs/>
        </w:rPr>
        <w:t>closely</w:t>
      </w:r>
      <w:proofErr w:type="spellEnd"/>
      <w:r w:rsidRPr="00D86EDC">
        <w:rPr>
          <w:i/>
          <w:iCs/>
        </w:rPr>
        <w:t xml:space="preserve"> </w:t>
      </w:r>
      <w:proofErr w:type="spellStart"/>
      <w:r w:rsidRPr="00D86EDC">
        <w:rPr>
          <w:i/>
          <w:iCs/>
        </w:rPr>
        <w:t>held</w:t>
      </w:r>
      <w:proofErr w:type="spellEnd"/>
      <w:r w:rsidRPr="00D86EDC">
        <w:rPr>
          <w:i/>
          <w:iCs/>
        </w:rPr>
        <w:t xml:space="preserve"> </w:t>
      </w:r>
      <w:proofErr w:type="spellStart"/>
      <w:r w:rsidRPr="00D86EDC">
        <w:rPr>
          <w:i/>
          <w:iCs/>
        </w:rPr>
        <w:t>companies</w:t>
      </w:r>
      <w:proofErr w:type="spellEnd"/>
      <w:r>
        <w:t xml:space="preserve"> (5th </w:t>
      </w:r>
      <w:proofErr w:type="spellStart"/>
      <w:r>
        <w:t>ed</w:t>
      </w:r>
      <w:proofErr w:type="spellEnd"/>
      <w:r>
        <w:t xml:space="preserve">.). New York: </w:t>
      </w:r>
      <w:proofErr w:type="spellStart"/>
      <w:r>
        <w:t>McGraw</w:t>
      </w:r>
      <w:proofErr w:type="spellEnd"/>
      <w:r>
        <w:t>-Hill.</w:t>
      </w:r>
    </w:p>
    <w:p w14:paraId="6508096F" w14:textId="77777777" w:rsidR="00F851CC" w:rsidRDefault="00F851CC" w:rsidP="00F851CC">
      <w:pPr>
        <w:pStyle w:val="Brezrazmikov"/>
        <w:numPr>
          <w:ilvl w:val="0"/>
          <w:numId w:val="9"/>
        </w:numPr>
        <w:spacing w:after="120"/>
        <w:ind w:left="714" w:hanging="357"/>
        <w:jc w:val="left"/>
      </w:pPr>
      <w:proofErr w:type="spellStart"/>
      <w:r w:rsidRPr="00EB267D">
        <w:t>Duff</w:t>
      </w:r>
      <w:proofErr w:type="spellEnd"/>
      <w:r w:rsidRPr="00EB267D">
        <w:t xml:space="preserve"> &amp; </w:t>
      </w:r>
      <w:proofErr w:type="spellStart"/>
      <w:r w:rsidRPr="00EB267D">
        <w:t>Phelps</w:t>
      </w:r>
      <w:proofErr w:type="spellEnd"/>
      <w:r>
        <w:t>, (2017, 30. oktober).</w:t>
      </w:r>
      <w:r w:rsidRPr="00EB267D">
        <w:t xml:space="preserve"> </w:t>
      </w:r>
      <w:r w:rsidRPr="00D86EDC">
        <w:rPr>
          <w:i/>
          <w:iCs/>
        </w:rPr>
        <w:t xml:space="preserve">U.S. </w:t>
      </w:r>
      <w:proofErr w:type="spellStart"/>
      <w:r w:rsidRPr="00D86EDC">
        <w:rPr>
          <w:i/>
          <w:iCs/>
        </w:rPr>
        <w:t>equity</w:t>
      </w:r>
      <w:proofErr w:type="spellEnd"/>
      <w:r w:rsidRPr="00D86EDC">
        <w:rPr>
          <w:i/>
          <w:iCs/>
        </w:rPr>
        <w:t xml:space="preserve"> </w:t>
      </w:r>
      <w:proofErr w:type="spellStart"/>
      <w:r w:rsidRPr="00D86EDC">
        <w:rPr>
          <w:i/>
          <w:iCs/>
        </w:rPr>
        <w:t>risk</w:t>
      </w:r>
      <w:proofErr w:type="spellEnd"/>
      <w:r w:rsidRPr="00D86EDC">
        <w:rPr>
          <w:i/>
          <w:iCs/>
        </w:rPr>
        <w:t xml:space="preserve"> </w:t>
      </w:r>
      <w:proofErr w:type="spellStart"/>
      <w:r w:rsidRPr="00D86EDC">
        <w:rPr>
          <w:i/>
          <w:iCs/>
        </w:rPr>
        <w:t>premium</w:t>
      </w:r>
      <w:proofErr w:type="spellEnd"/>
      <w:r w:rsidRPr="00D86EDC">
        <w:rPr>
          <w:i/>
          <w:iCs/>
        </w:rPr>
        <w:t xml:space="preserve"> </w:t>
      </w:r>
      <w:proofErr w:type="spellStart"/>
      <w:r w:rsidRPr="00D86EDC">
        <w:rPr>
          <w:i/>
          <w:iCs/>
        </w:rPr>
        <w:t>recommendation</w:t>
      </w:r>
      <w:proofErr w:type="spellEnd"/>
      <w:r w:rsidRPr="00D86EDC">
        <w:rPr>
          <w:i/>
          <w:iCs/>
        </w:rPr>
        <w:t xml:space="preserve"> </w:t>
      </w:r>
      <w:proofErr w:type="spellStart"/>
      <w:r w:rsidRPr="00D86EDC">
        <w:rPr>
          <w:i/>
          <w:iCs/>
        </w:rPr>
        <w:t>decreased</w:t>
      </w:r>
      <w:proofErr w:type="spellEnd"/>
      <w:r w:rsidRPr="00D86EDC">
        <w:rPr>
          <w:i/>
          <w:iCs/>
        </w:rPr>
        <w:t xml:space="preserve"> </w:t>
      </w:r>
      <w:proofErr w:type="spellStart"/>
      <w:r w:rsidRPr="00D86EDC">
        <w:rPr>
          <w:i/>
          <w:iCs/>
        </w:rPr>
        <w:t>from</w:t>
      </w:r>
      <w:proofErr w:type="spellEnd"/>
      <w:r w:rsidRPr="00D86EDC">
        <w:rPr>
          <w:i/>
          <w:iCs/>
        </w:rPr>
        <w:t xml:space="preserve"> 5.5% to 5.0%, </w:t>
      </w:r>
      <w:proofErr w:type="spellStart"/>
      <w:r w:rsidRPr="00D86EDC">
        <w:rPr>
          <w:i/>
          <w:iCs/>
        </w:rPr>
        <w:t>effective</w:t>
      </w:r>
      <w:proofErr w:type="spellEnd"/>
      <w:r w:rsidRPr="00D86EDC">
        <w:rPr>
          <w:i/>
          <w:iCs/>
        </w:rPr>
        <w:t xml:space="preserve"> September 5.</w:t>
      </w:r>
      <w:r>
        <w:t xml:space="preserve"> Dostopno prek </w:t>
      </w:r>
      <w:hyperlink r:id="rId37" w:history="1">
        <w:r w:rsidRPr="00D10C7D">
          <w:t>https://www.duffandphelps.com/insights/publications/cost-of-capital/us-equity-risk-premium-recommendation-2017</w:t>
        </w:r>
      </w:hyperlink>
      <w:r>
        <w:t xml:space="preserve"> </w:t>
      </w:r>
    </w:p>
    <w:p w14:paraId="005ED2B3" w14:textId="77777777" w:rsidR="00F851CC" w:rsidRDefault="00F851CC" w:rsidP="00F851CC">
      <w:pPr>
        <w:pStyle w:val="Brezrazmikov"/>
        <w:numPr>
          <w:ilvl w:val="0"/>
          <w:numId w:val="9"/>
        </w:numPr>
        <w:spacing w:after="120"/>
        <w:ind w:left="714" w:hanging="357"/>
        <w:jc w:val="left"/>
      </w:pPr>
      <w:proofErr w:type="spellStart"/>
      <w:r>
        <w:t>Damodaran</w:t>
      </w:r>
      <w:proofErr w:type="spellEnd"/>
      <w:r>
        <w:t xml:space="preserve"> </w:t>
      </w:r>
      <w:proofErr w:type="spellStart"/>
      <w:r>
        <w:t>online</w:t>
      </w:r>
      <w:proofErr w:type="spellEnd"/>
      <w:r>
        <w:t xml:space="preserve">, (2019). </w:t>
      </w:r>
      <w:proofErr w:type="spellStart"/>
      <w:r>
        <w:rPr>
          <w:i/>
          <w:iCs/>
        </w:rPr>
        <w:t>Equity</w:t>
      </w:r>
      <w:proofErr w:type="spellEnd"/>
      <w:r>
        <w:rPr>
          <w:i/>
          <w:iCs/>
        </w:rPr>
        <w:t xml:space="preserve"> </w:t>
      </w:r>
      <w:proofErr w:type="spellStart"/>
      <w:r>
        <w:rPr>
          <w:i/>
          <w:iCs/>
        </w:rPr>
        <w:t>risk</w:t>
      </w:r>
      <w:proofErr w:type="spellEnd"/>
      <w:r>
        <w:rPr>
          <w:i/>
          <w:iCs/>
        </w:rPr>
        <w:t xml:space="preserve"> </w:t>
      </w:r>
      <w:proofErr w:type="spellStart"/>
      <w:r>
        <w:rPr>
          <w:i/>
          <w:iCs/>
        </w:rPr>
        <w:t>premium</w:t>
      </w:r>
      <w:proofErr w:type="spellEnd"/>
      <w:r>
        <w:rPr>
          <w:i/>
          <w:iCs/>
        </w:rPr>
        <w:t xml:space="preserve">. </w:t>
      </w:r>
      <w:r>
        <w:t xml:space="preserve">Dostopno prek </w:t>
      </w:r>
      <w:hyperlink r:id="rId38" w:history="1">
        <w:r w:rsidRPr="003815A0">
          <w:t>http://people.stern.nyu.edu/adamodar/pc/implprem/</w:t>
        </w:r>
      </w:hyperlink>
    </w:p>
    <w:p w14:paraId="50C5DBAB" w14:textId="77777777" w:rsidR="00F851CC" w:rsidRDefault="00F851CC" w:rsidP="00F851CC">
      <w:pPr>
        <w:pStyle w:val="Brezrazmikov"/>
        <w:numPr>
          <w:ilvl w:val="0"/>
          <w:numId w:val="9"/>
        </w:numPr>
        <w:spacing w:after="120"/>
        <w:ind w:left="714" w:hanging="357"/>
        <w:jc w:val="left"/>
      </w:pPr>
      <w:r w:rsidRPr="00E56053">
        <w:t>Gorenje Gospodinjski aparati, d. d.</w:t>
      </w:r>
      <w:r>
        <w:t xml:space="preserve"> (2010). </w:t>
      </w:r>
      <w:r w:rsidRPr="00D86EDC">
        <w:rPr>
          <w:i/>
          <w:iCs/>
        </w:rPr>
        <w:t>Šest desetletij Gorenja</w:t>
      </w:r>
      <w:r w:rsidRPr="007D7351">
        <w:t xml:space="preserve">. Dostopno prek </w:t>
      </w:r>
      <w:hyperlink r:id="rId39" w:history="1">
        <w:r w:rsidRPr="00D10C7D">
          <w:t>http://www.gorenje.com/highlights/si/zgodovina/sest-desetletij-gorenja</w:t>
        </w:r>
      </w:hyperlink>
    </w:p>
    <w:p w14:paraId="51890344" w14:textId="77777777" w:rsidR="00F851CC" w:rsidRDefault="00F851CC" w:rsidP="00F851CC">
      <w:pPr>
        <w:pStyle w:val="Brezrazmikov"/>
        <w:numPr>
          <w:ilvl w:val="0"/>
          <w:numId w:val="9"/>
        </w:numPr>
        <w:spacing w:after="120"/>
        <w:ind w:left="714" w:hanging="357"/>
        <w:jc w:val="left"/>
      </w:pPr>
      <w:r w:rsidRPr="00E56053">
        <w:t>Gorenje Gospodinjski aparati, d. d.</w:t>
      </w:r>
      <w:r>
        <w:t xml:space="preserve"> (2014). </w:t>
      </w:r>
      <w:r w:rsidRPr="00D86EDC">
        <w:rPr>
          <w:i/>
          <w:iCs/>
        </w:rPr>
        <w:t>Letno poročilo Skupine Gorenje 2013</w:t>
      </w:r>
      <w:r>
        <w:t>.</w:t>
      </w:r>
    </w:p>
    <w:p w14:paraId="104F2F42" w14:textId="77777777" w:rsidR="00F851CC" w:rsidRPr="007D7351" w:rsidRDefault="00F851CC" w:rsidP="00F851CC">
      <w:pPr>
        <w:pStyle w:val="Brezrazmikov"/>
        <w:numPr>
          <w:ilvl w:val="0"/>
          <w:numId w:val="9"/>
        </w:numPr>
        <w:spacing w:after="120"/>
        <w:ind w:left="714" w:hanging="357"/>
        <w:jc w:val="left"/>
      </w:pPr>
      <w:r w:rsidRPr="00E56053">
        <w:t>Gorenje Gospodinjski aparati, d.</w:t>
      </w:r>
      <w:r>
        <w:t xml:space="preserve"> </w:t>
      </w:r>
      <w:r w:rsidRPr="00E56053">
        <w:t>d.</w:t>
      </w:r>
      <w:r>
        <w:t xml:space="preserve"> (2015). </w:t>
      </w:r>
      <w:r w:rsidRPr="00D86EDC">
        <w:rPr>
          <w:i/>
          <w:iCs/>
        </w:rPr>
        <w:t>Letno poročilo Skupine Gorenje 2014</w:t>
      </w:r>
      <w:r>
        <w:t xml:space="preserve">. </w:t>
      </w:r>
    </w:p>
    <w:p w14:paraId="48D4AB80" w14:textId="77777777" w:rsidR="00F851CC" w:rsidRPr="007D7351" w:rsidRDefault="00F851CC" w:rsidP="00F851CC">
      <w:pPr>
        <w:pStyle w:val="Brezrazmikov"/>
        <w:numPr>
          <w:ilvl w:val="0"/>
          <w:numId w:val="9"/>
        </w:numPr>
        <w:spacing w:after="120"/>
        <w:ind w:left="714" w:hanging="357"/>
        <w:jc w:val="left"/>
      </w:pPr>
      <w:r w:rsidRPr="00E56053">
        <w:t>Gorenje Gospodinjski aparati, d. d.</w:t>
      </w:r>
      <w:r>
        <w:t xml:space="preserve"> (2016). </w:t>
      </w:r>
      <w:r w:rsidRPr="00D86EDC">
        <w:rPr>
          <w:i/>
          <w:iCs/>
        </w:rPr>
        <w:t>Letno poročilo Skupine Gorenje 2015</w:t>
      </w:r>
      <w:r>
        <w:t>.</w:t>
      </w:r>
    </w:p>
    <w:p w14:paraId="21C43401" w14:textId="77777777" w:rsidR="00F851CC" w:rsidRPr="007D7351" w:rsidRDefault="00F851CC" w:rsidP="00F851CC">
      <w:pPr>
        <w:pStyle w:val="Brezrazmikov"/>
        <w:numPr>
          <w:ilvl w:val="0"/>
          <w:numId w:val="9"/>
        </w:numPr>
        <w:spacing w:after="120"/>
        <w:ind w:left="714" w:hanging="357"/>
        <w:jc w:val="left"/>
      </w:pPr>
      <w:r w:rsidRPr="00E56053">
        <w:t>Gorenje Gospodinjski aparati, d. d.</w:t>
      </w:r>
      <w:r>
        <w:t xml:space="preserve"> (2017). </w:t>
      </w:r>
      <w:r w:rsidRPr="00D86EDC">
        <w:rPr>
          <w:i/>
          <w:iCs/>
        </w:rPr>
        <w:t>Letno poročilo Skupine Gorenje 2016</w:t>
      </w:r>
      <w:r>
        <w:t>.</w:t>
      </w:r>
    </w:p>
    <w:p w14:paraId="7F0BD06B" w14:textId="77777777" w:rsidR="00F851CC" w:rsidRDefault="00F851CC" w:rsidP="00F851CC">
      <w:pPr>
        <w:pStyle w:val="Brezrazmikov"/>
        <w:numPr>
          <w:ilvl w:val="0"/>
          <w:numId w:val="9"/>
        </w:numPr>
        <w:spacing w:after="120"/>
        <w:ind w:left="714" w:hanging="357"/>
        <w:jc w:val="left"/>
      </w:pPr>
      <w:r w:rsidRPr="00E56053">
        <w:t>Gorenje Gospodinjski aparati, d. d.</w:t>
      </w:r>
      <w:r>
        <w:t xml:space="preserve"> (2018). </w:t>
      </w:r>
      <w:r w:rsidRPr="00D86EDC">
        <w:rPr>
          <w:i/>
          <w:iCs/>
        </w:rPr>
        <w:t>Letno poročilo Skupine Gorenje 2017</w:t>
      </w:r>
      <w:r>
        <w:t>.</w:t>
      </w:r>
    </w:p>
    <w:p w14:paraId="034792B5" w14:textId="77777777" w:rsidR="00F851CC" w:rsidRDefault="00F851CC" w:rsidP="00F851CC">
      <w:pPr>
        <w:pStyle w:val="Brezrazmikov"/>
        <w:numPr>
          <w:ilvl w:val="0"/>
          <w:numId w:val="9"/>
        </w:numPr>
        <w:spacing w:after="120"/>
        <w:ind w:left="714" w:hanging="357"/>
        <w:jc w:val="left"/>
      </w:pPr>
      <w:r>
        <w:t xml:space="preserve">Grand </w:t>
      </w:r>
      <w:proofErr w:type="spellStart"/>
      <w:r>
        <w:t>view</w:t>
      </w:r>
      <w:proofErr w:type="spellEnd"/>
      <w:r>
        <w:t xml:space="preserve"> </w:t>
      </w:r>
      <w:proofErr w:type="spellStart"/>
      <w:r>
        <w:t>research</w:t>
      </w:r>
      <w:proofErr w:type="spellEnd"/>
      <w:r>
        <w:t xml:space="preserve">. </w:t>
      </w:r>
      <w:r w:rsidRPr="00D86EDC">
        <w:rPr>
          <w:i/>
          <w:iCs/>
        </w:rPr>
        <w:t xml:space="preserve">Home </w:t>
      </w:r>
      <w:proofErr w:type="spellStart"/>
      <w:r w:rsidRPr="00D86EDC">
        <w:rPr>
          <w:i/>
          <w:iCs/>
        </w:rPr>
        <w:t>appliance</w:t>
      </w:r>
      <w:proofErr w:type="spellEnd"/>
      <w:r w:rsidRPr="00D86EDC">
        <w:rPr>
          <w:i/>
          <w:iCs/>
        </w:rPr>
        <w:t xml:space="preserve"> market </w:t>
      </w:r>
      <w:proofErr w:type="spellStart"/>
      <w:r w:rsidRPr="00D86EDC">
        <w:rPr>
          <w:i/>
          <w:iCs/>
        </w:rPr>
        <w:t>size</w:t>
      </w:r>
      <w:proofErr w:type="spellEnd"/>
      <w:r w:rsidRPr="00D86EDC">
        <w:rPr>
          <w:i/>
          <w:iCs/>
        </w:rPr>
        <w:t xml:space="preserve">, </w:t>
      </w:r>
      <w:proofErr w:type="spellStart"/>
      <w:r w:rsidRPr="00D86EDC">
        <w:rPr>
          <w:i/>
          <w:iCs/>
        </w:rPr>
        <w:t>application</w:t>
      </w:r>
      <w:proofErr w:type="spellEnd"/>
      <w:r w:rsidRPr="00D86EDC">
        <w:rPr>
          <w:i/>
          <w:iCs/>
        </w:rPr>
        <w:t xml:space="preserve"> </w:t>
      </w:r>
      <w:proofErr w:type="spellStart"/>
      <w:r w:rsidRPr="00D86EDC">
        <w:rPr>
          <w:i/>
          <w:iCs/>
        </w:rPr>
        <w:t>analysis</w:t>
      </w:r>
      <w:proofErr w:type="spellEnd"/>
      <w:r w:rsidRPr="00D86EDC">
        <w:rPr>
          <w:i/>
          <w:iCs/>
        </w:rPr>
        <w:t xml:space="preserve">, </w:t>
      </w:r>
      <w:proofErr w:type="spellStart"/>
      <w:r w:rsidRPr="00D86EDC">
        <w:rPr>
          <w:i/>
          <w:iCs/>
        </w:rPr>
        <w:t>regional</w:t>
      </w:r>
      <w:proofErr w:type="spellEnd"/>
      <w:r w:rsidRPr="00D86EDC">
        <w:rPr>
          <w:i/>
          <w:iCs/>
        </w:rPr>
        <w:t xml:space="preserve"> </w:t>
      </w:r>
      <w:proofErr w:type="spellStart"/>
      <w:r w:rsidRPr="00D86EDC">
        <w:rPr>
          <w:i/>
          <w:iCs/>
        </w:rPr>
        <w:t>outlook</w:t>
      </w:r>
      <w:proofErr w:type="spellEnd"/>
      <w:r w:rsidRPr="00D86EDC">
        <w:rPr>
          <w:i/>
          <w:iCs/>
        </w:rPr>
        <w:t xml:space="preserve">, </w:t>
      </w:r>
      <w:proofErr w:type="spellStart"/>
      <w:r w:rsidRPr="00D86EDC">
        <w:rPr>
          <w:i/>
          <w:iCs/>
        </w:rPr>
        <w:t>competitive</w:t>
      </w:r>
      <w:proofErr w:type="spellEnd"/>
      <w:r w:rsidRPr="00D86EDC">
        <w:rPr>
          <w:i/>
          <w:iCs/>
        </w:rPr>
        <w:t xml:space="preserve"> </w:t>
      </w:r>
      <w:proofErr w:type="spellStart"/>
      <w:r w:rsidRPr="00D86EDC">
        <w:rPr>
          <w:i/>
          <w:iCs/>
        </w:rPr>
        <w:t>strategies</w:t>
      </w:r>
      <w:proofErr w:type="spellEnd"/>
      <w:r w:rsidRPr="00D86EDC">
        <w:rPr>
          <w:i/>
          <w:iCs/>
        </w:rPr>
        <w:t xml:space="preserve">, </w:t>
      </w:r>
      <w:proofErr w:type="spellStart"/>
      <w:r w:rsidRPr="00D86EDC">
        <w:rPr>
          <w:i/>
          <w:iCs/>
        </w:rPr>
        <w:t>and</w:t>
      </w:r>
      <w:proofErr w:type="spellEnd"/>
      <w:r w:rsidRPr="00D86EDC">
        <w:rPr>
          <w:i/>
          <w:iCs/>
        </w:rPr>
        <w:t xml:space="preserve"> segment </w:t>
      </w:r>
      <w:proofErr w:type="spellStart"/>
      <w:r w:rsidRPr="00D86EDC">
        <w:rPr>
          <w:i/>
          <w:iCs/>
        </w:rPr>
        <w:t>forecasts</w:t>
      </w:r>
      <w:proofErr w:type="spellEnd"/>
      <w:r w:rsidRPr="00D86EDC">
        <w:rPr>
          <w:i/>
          <w:iCs/>
        </w:rPr>
        <w:t>, 2015 to 2022</w:t>
      </w:r>
      <w:r>
        <w:t xml:space="preserve">. </w:t>
      </w:r>
      <w:r w:rsidRPr="007D7351">
        <w:t xml:space="preserve">Dostopno prek </w:t>
      </w:r>
      <w:hyperlink r:id="rId40" w:history="1">
        <w:r w:rsidRPr="00D10C7D">
          <w:t>https://www.grandviewresearch.com/industry-analysis/home-appliance-market</w:t>
        </w:r>
      </w:hyperlink>
    </w:p>
    <w:p w14:paraId="6BD3EAB7" w14:textId="77777777" w:rsidR="00F851CC" w:rsidRDefault="00F851CC" w:rsidP="00F851CC">
      <w:pPr>
        <w:pStyle w:val="Brezrazmikov"/>
        <w:numPr>
          <w:ilvl w:val="0"/>
          <w:numId w:val="9"/>
        </w:numPr>
        <w:spacing w:after="120"/>
        <w:ind w:left="714" w:hanging="357"/>
        <w:jc w:val="left"/>
      </w:pPr>
      <w:proofErr w:type="spellStart"/>
      <w:r>
        <w:t>D</w:t>
      </w:r>
      <w:r w:rsidRPr="00AA2EA9">
        <w:t>uff</w:t>
      </w:r>
      <w:proofErr w:type="spellEnd"/>
      <w:r w:rsidRPr="00AA2EA9">
        <w:t xml:space="preserve"> &amp; </w:t>
      </w:r>
      <w:proofErr w:type="spellStart"/>
      <w:r w:rsidRPr="00AA2EA9">
        <w:t>Phelps</w:t>
      </w:r>
      <w:proofErr w:type="spellEnd"/>
      <w:r>
        <w:t>, (2017).</w:t>
      </w:r>
      <w:r w:rsidRPr="00AA2EA9">
        <w:t xml:space="preserve"> </w:t>
      </w:r>
      <w:proofErr w:type="spellStart"/>
      <w:r w:rsidRPr="00D86EDC">
        <w:rPr>
          <w:i/>
          <w:iCs/>
        </w:rPr>
        <w:t>Valuation</w:t>
      </w:r>
      <w:proofErr w:type="spellEnd"/>
      <w:r w:rsidRPr="00D86EDC">
        <w:rPr>
          <w:i/>
          <w:iCs/>
        </w:rPr>
        <w:t xml:space="preserve"> </w:t>
      </w:r>
      <w:proofErr w:type="spellStart"/>
      <w:r w:rsidRPr="00D86EDC">
        <w:rPr>
          <w:i/>
          <w:iCs/>
        </w:rPr>
        <w:t>handbook</w:t>
      </w:r>
      <w:proofErr w:type="spellEnd"/>
      <w:r w:rsidRPr="00D86EDC">
        <w:rPr>
          <w:i/>
          <w:iCs/>
        </w:rPr>
        <w:t xml:space="preserve"> – U. S. </w:t>
      </w:r>
      <w:proofErr w:type="spellStart"/>
      <w:r w:rsidRPr="00D86EDC">
        <w:rPr>
          <w:i/>
          <w:iCs/>
        </w:rPr>
        <w:t>guide</w:t>
      </w:r>
      <w:proofErr w:type="spellEnd"/>
      <w:r w:rsidRPr="00D86EDC">
        <w:rPr>
          <w:i/>
          <w:iCs/>
        </w:rPr>
        <w:t xml:space="preserve"> to </w:t>
      </w:r>
      <w:proofErr w:type="spellStart"/>
      <w:r w:rsidRPr="00D86EDC">
        <w:rPr>
          <w:i/>
          <w:iCs/>
        </w:rPr>
        <w:t>cost</w:t>
      </w:r>
      <w:proofErr w:type="spellEnd"/>
      <w:r w:rsidRPr="00D86EDC">
        <w:rPr>
          <w:i/>
          <w:iCs/>
        </w:rPr>
        <w:t xml:space="preserve"> </w:t>
      </w:r>
      <w:proofErr w:type="spellStart"/>
      <w:r w:rsidRPr="00D86EDC">
        <w:rPr>
          <w:i/>
          <w:iCs/>
        </w:rPr>
        <w:t>of</w:t>
      </w:r>
      <w:proofErr w:type="spellEnd"/>
      <w:r w:rsidRPr="00D86EDC">
        <w:rPr>
          <w:i/>
          <w:iCs/>
        </w:rPr>
        <w:t xml:space="preserve"> </w:t>
      </w:r>
      <w:proofErr w:type="spellStart"/>
      <w:r w:rsidRPr="00D86EDC">
        <w:rPr>
          <w:i/>
          <w:iCs/>
        </w:rPr>
        <w:t>captial</w:t>
      </w:r>
      <w:proofErr w:type="spellEnd"/>
      <w:r w:rsidRPr="00D83FDF">
        <w:t xml:space="preserve"> (preliminarna različica</w:t>
      </w:r>
      <w:r>
        <w:t>)</w:t>
      </w:r>
      <w:r w:rsidRPr="00AA2EA9">
        <w:t xml:space="preserve">. Dostopno prek </w:t>
      </w:r>
      <w:hyperlink r:id="rId41" w:history="1">
        <w:r w:rsidRPr="00D10C7D">
          <w:t>https://s3.amazonaws.com/abi-org/Events/CRC_Materials/CRC17/Exhibit+21+-+2017+Valuation+Handbook.pdf</w:t>
        </w:r>
      </w:hyperlink>
    </w:p>
    <w:p w14:paraId="3BE05AD4" w14:textId="77777777" w:rsidR="00F851CC" w:rsidRPr="003815A0" w:rsidRDefault="00F851CC" w:rsidP="00F851CC">
      <w:pPr>
        <w:pStyle w:val="Brezrazmikov"/>
        <w:numPr>
          <w:ilvl w:val="0"/>
          <w:numId w:val="9"/>
        </w:numPr>
        <w:spacing w:after="120"/>
        <w:ind w:left="714" w:hanging="357"/>
        <w:jc w:val="left"/>
      </w:pPr>
      <w:proofErr w:type="spellStart"/>
      <w:r>
        <w:t>Damodaran</w:t>
      </w:r>
      <w:proofErr w:type="spellEnd"/>
      <w:r>
        <w:t xml:space="preserve"> </w:t>
      </w:r>
      <w:proofErr w:type="spellStart"/>
      <w:r>
        <w:t>online</w:t>
      </w:r>
      <w:proofErr w:type="spellEnd"/>
      <w:r>
        <w:t xml:space="preserve">, (2019). </w:t>
      </w:r>
      <w:proofErr w:type="spellStart"/>
      <w:r w:rsidRPr="003815A0">
        <w:rPr>
          <w:i/>
          <w:iCs/>
        </w:rPr>
        <w:t>Country</w:t>
      </w:r>
      <w:proofErr w:type="spellEnd"/>
      <w:r w:rsidRPr="003815A0">
        <w:rPr>
          <w:i/>
          <w:iCs/>
        </w:rPr>
        <w:t xml:space="preserve"> </w:t>
      </w:r>
      <w:proofErr w:type="spellStart"/>
      <w:r w:rsidRPr="003815A0">
        <w:rPr>
          <w:i/>
          <w:iCs/>
        </w:rPr>
        <w:t>Default</w:t>
      </w:r>
      <w:proofErr w:type="spellEnd"/>
      <w:r w:rsidRPr="003815A0">
        <w:rPr>
          <w:i/>
          <w:iCs/>
        </w:rPr>
        <w:t xml:space="preserve"> </w:t>
      </w:r>
      <w:proofErr w:type="spellStart"/>
      <w:r w:rsidRPr="003815A0">
        <w:rPr>
          <w:i/>
          <w:iCs/>
        </w:rPr>
        <w:t>Spreads</w:t>
      </w:r>
      <w:proofErr w:type="spellEnd"/>
      <w:r w:rsidRPr="003815A0">
        <w:rPr>
          <w:i/>
          <w:iCs/>
        </w:rPr>
        <w:t xml:space="preserve"> </w:t>
      </w:r>
      <w:proofErr w:type="spellStart"/>
      <w:r w:rsidRPr="003815A0">
        <w:rPr>
          <w:i/>
          <w:iCs/>
        </w:rPr>
        <w:t>and</w:t>
      </w:r>
      <w:proofErr w:type="spellEnd"/>
      <w:r w:rsidRPr="003815A0">
        <w:rPr>
          <w:i/>
          <w:iCs/>
        </w:rPr>
        <w:t xml:space="preserve"> </w:t>
      </w:r>
      <w:proofErr w:type="spellStart"/>
      <w:r w:rsidRPr="003815A0">
        <w:rPr>
          <w:i/>
          <w:iCs/>
        </w:rPr>
        <w:t>Risk</w:t>
      </w:r>
      <w:proofErr w:type="spellEnd"/>
      <w:r w:rsidRPr="003815A0">
        <w:rPr>
          <w:i/>
          <w:iCs/>
        </w:rPr>
        <w:t xml:space="preserve"> </w:t>
      </w:r>
      <w:proofErr w:type="spellStart"/>
      <w:r w:rsidRPr="003815A0">
        <w:rPr>
          <w:i/>
          <w:iCs/>
        </w:rPr>
        <w:t>Premiums</w:t>
      </w:r>
      <w:r>
        <w:rPr>
          <w:i/>
          <w:iCs/>
        </w:rPr>
        <w:t>.</w:t>
      </w:r>
      <w:r>
        <w:t>Dostopno</w:t>
      </w:r>
      <w:proofErr w:type="spellEnd"/>
      <w:r>
        <w:t xml:space="preserve"> prek </w:t>
      </w:r>
      <w:hyperlink r:id="rId42" w:history="1">
        <w:r w:rsidRPr="003815A0">
          <w:t>http://pages.stern.nyu.edu/~adamodar/New_Home_Page/datafile/ctryprem.html</w:t>
        </w:r>
      </w:hyperlink>
    </w:p>
    <w:p w14:paraId="29095A99" w14:textId="77777777" w:rsidR="00F851CC" w:rsidRDefault="00F851CC" w:rsidP="00F851CC">
      <w:pPr>
        <w:pStyle w:val="Brezrazmikov"/>
        <w:numPr>
          <w:ilvl w:val="0"/>
          <w:numId w:val="9"/>
        </w:numPr>
        <w:spacing w:after="120"/>
        <w:ind w:left="714" w:hanging="357"/>
        <w:jc w:val="left"/>
      </w:pPr>
      <w:proofErr w:type="spellStart"/>
      <w:r w:rsidRPr="00D10C7D">
        <w:t>Duff</w:t>
      </w:r>
      <w:proofErr w:type="spellEnd"/>
      <w:r w:rsidRPr="00D10C7D">
        <w:t xml:space="preserve"> &amp; </w:t>
      </w:r>
      <w:proofErr w:type="spellStart"/>
      <w:r w:rsidRPr="00D10C7D">
        <w:t>Phelps</w:t>
      </w:r>
      <w:proofErr w:type="spellEnd"/>
      <w:r w:rsidRPr="00D10C7D">
        <w:t xml:space="preserve">. Dostopno na </w:t>
      </w:r>
      <w:hyperlink r:id="rId43" w:history="1">
        <w:r w:rsidRPr="00EB267D">
          <w:t>https://www.duffandphelps.com/</w:t>
        </w:r>
      </w:hyperlink>
    </w:p>
    <w:p w14:paraId="66E5626B" w14:textId="77777777" w:rsidR="00F851CC" w:rsidRPr="00D10C7D" w:rsidRDefault="00F851CC" w:rsidP="00F851CC">
      <w:pPr>
        <w:pStyle w:val="Brezrazmikov"/>
        <w:numPr>
          <w:ilvl w:val="0"/>
          <w:numId w:val="9"/>
        </w:numPr>
        <w:spacing w:after="120"/>
        <w:ind w:left="714" w:hanging="357"/>
        <w:jc w:val="left"/>
      </w:pPr>
      <w:r w:rsidRPr="007D7351">
        <w:t xml:space="preserve">Finančni slovar. Dostopno prek </w:t>
      </w:r>
      <w:hyperlink r:id="rId44" w:history="1">
        <w:r w:rsidRPr="00D10C7D">
          <w:t>http://www.financnislovar.com/index.html</w:t>
        </w:r>
      </w:hyperlink>
    </w:p>
    <w:p w14:paraId="08FD7D9D" w14:textId="77777777" w:rsidR="00F851CC" w:rsidRPr="007D7351" w:rsidRDefault="00F851CC" w:rsidP="00F851CC">
      <w:pPr>
        <w:pStyle w:val="Brezrazmikov"/>
        <w:numPr>
          <w:ilvl w:val="0"/>
          <w:numId w:val="9"/>
        </w:numPr>
        <w:spacing w:after="120"/>
        <w:ind w:left="714" w:hanging="357"/>
        <w:jc w:val="left"/>
      </w:pPr>
      <w:r w:rsidRPr="007D7351">
        <w:t>S&amp;P 500</w:t>
      </w:r>
      <w:r>
        <w:t xml:space="preserve"> </w:t>
      </w:r>
      <w:proofErr w:type="spellStart"/>
      <w:r>
        <w:t>index</w:t>
      </w:r>
      <w:proofErr w:type="spellEnd"/>
      <w:r w:rsidRPr="007D7351">
        <w:t xml:space="preserve">. Dostopno prek </w:t>
      </w:r>
      <w:hyperlink r:id="rId45" w:history="1">
        <w:r w:rsidRPr="00D10C7D">
          <w:t>https://en.wikipedia.org/wiki/S%26P_500_Index</w:t>
        </w:r>
      </w:hyperlink>
    </w:p>
    <w:p w14:paraId="7FC8A23C" w14:textId="77777777" w:rsidR="00F851CC" w:rsidRPr="007D7351" w:rsidRDefault="00F851CC" w:rsidP="00F851CC">
      <w:pPr>
        <w:pStyle w:val="Brezrazmikov"/>
        <w:numPr>
          <w:ilvl w:val="0"/>
          <w:numId w:val="9"/>
        </w:numPr>
        <w:spacing w:after="120"/>
        <w:ind w:left="714" w:hanging="357"/>
        <w:jc w:val="left"/>
      </w:pPr>
      <w:proofErr w:type="spellStart"/>
      <w:r w:rsidRPr="007D7351">
        <w:lastRenderedPageBreak/>
        <w:t>Hisense</w:t>
      </w:r>
      <w:proofErr w:type="spellEnd"/>
      <w:r w:rsidRPr="007D7351">
        <w:t xml:space="preserve"> </w:t>
      </w:r>
      <w:proofErr w:type="spellStart"/>
      <w:r w:rsidRPr="007D7351">
        <w:t>International</w:t>
      </w:r>
      <w:proofErr w:type="spellEnd"/>
      <w:r w:rsidRPr="007D7351">
        <w:t xml:space="preserve">, </w:t>
      </w:r>
      <w:hyperlink r:id="rId46" w:history="1">
        <w:r w:rsidRPr="00D10C7D">
          <w:t>http://global.hisense.com/</w:t>
        </w:r>
      </w:hyperlink>
    </w:p>
    <w:p w14:paraId="4F04CC76" w14:textId="77777777" w:rsidR="00F851CC" w:rsidRPr="007D7351" w:rsidRDefault="00F851CC" w:rsidP="00F851CC">
      <w:pPr>
        <w:pStyle w:val="Brezrazmikov"/>
        <w:numPr>
          <w:ilvl w:val="0"/>
          <w:numId w:val="9"/>
        </w:numPr>
        <w:spacing w:after="120"/>
        <w:ind w:left="714" w:hanging="357"/>
        <w:jc w:val="left"/>
      </w:pPr>
      <w:r w:rsidRPr="00E56053">
        <w:t>Gorenje Gospodinjski aparati, d. d.</w:t>
      </w:r>
      <w:r>
        <w:t xml:space="preserve"> (2019). </w:t>
      </w:r>
      <w:r w:rsidRPr="00D86EDC">
        <w:rPr>
          <w:i/>
          <w:iCs/>
        </w:rPr>
        <w:t>Letno poročilo Skupine Gorenje 2018</w:t>
      </w:r>
      <w:r>
        <w:t>.</w:t>
      </w:r>
    </w:p>
    <w:p w14:paraId="06249DAB" w14:textId="77777777" w:rsidR="00F851CC" w:rsidRPr="00D10C7D" w:rsidRDefault="00F851CC" w:rsidP="00F851CC">
      <w:pPr>
        <w:pStyle w:val="Brezrazmikov"/>
        <w:numPr>
          <w:ilvl w:val="0"/>
          <w:numId w:val="9"/>
        </w:numPr>
        <w:spacing w:after="120"/>
        <w:ind w:left="714" w:hanging="357"/>
        <w:jc w:val="left"/>
      </w:pPr>
      <w:r>
        <w:t xml:space="preserve">RTV SLO, </w:t>
      </w:r>
      <w:proofErr w:type="spellStart"/>
      <w:r>
        <w:t>Sa</w:t>
      </w:r>
      <w:proofErr w:type="spellEnd"/>
      <w:r>
        <w:t xml:space="preserve">. J. (2018, 16. avgust). </w:t>
      </w:r>
      <w:proofErr w:type="spellStart"/>
      <w:r w:rsidRPr="00D86EDC">
        <w:rPr>
          <w:i/>
          <w:iCs/>
        </w:rPr>
        <w:t>Hisense</w:t>
      </w:r>
      <w:proofErr w:type="spellEnd"/>
      <w:r w:rsidRPr="00D86EDC">
        <w:rPr>
          <w:i/>
          <w:iCs/>
        </w:rPr>
        <w:t xml:space="preserve"> bi Gorenje, ki ima po novem 12 članov uprave, rad umaknil z borze</w:t>
      </w:r>
      <w:r>
        <w:t xml:space="preserve">. Dostopno prek </w:t>
      </w:r>
      <w:hyperlink r:id="rId47" w:history="1">
        <w:r w:rsidRPr="00D10C7D">
          <w:t>https://www.rtvslo.si/gospodarstvo/hisense-bi-gorenje-ki-ima-po-novem-12-clanov-uprave-rad-umaknil-z-borze/463324</w:t>
        </w:r>
      </w:hyperlink>
    </w:p>
    <w:p w14:paraId="45C15195" w14:textId="77777777" w:rsidR="00F851CC" w:rsidRDefault="00F851CC" w:rsidP="00F851CC">
      <w:pPr>
        <w:pStyle w:val="Brezrazmikov"/>
        <w:numPr>
          <w:ilvl w:val="0"/>
          <w:numId w:val="9"/>
        </w:numPr>
        <w:spacing w:after="120"/>
        <w:ind w:left="714" w:hanging="357"/>
        <w:jc w:val="left"/>
      </w:pPr>
      <w:r>
        <w:t xml:space="preserve">Slovar Slovenskega knjižnega jezika. Dostopno prek </w:t>
      </w:r>
      <w:hyperlink r:id="rId48" w:history="1">
        <w:r w:rsidRPr="00D10C7D">
          <w:t>https://fran.si/</w:t>
        </w:r>
      </w:hyperlink>
    </w:p>
    <w:p w14:paraId="24639E44" w14:textId="77777777" w:rsidR="00F851CC" w:rsidRDefault="00F851CC" w:rsidP="00F851CC">
      <w:pPr>
        <w:pStyle w:val="Brezrazmikov"/>
        <w:numPr>
          <w:ilvl w:val="0"/>
          <w:numId w:val="9"/>
        </w:numPr>
        <w:spacing w:after="120"/>
        <w:ind w:left="714" w:hanging="357"/>
        <w:jc w:val="left"/>
      </w:pPr>
      <w:proofErr w:type="spellStart"/>
      <w:r w:rsidRPr="003C0395">
        <w:t>Nielsen</w:t>
      </w:r>
      <w:proofErr w:type="spellEnd"/>
      <w:r w:rsidRPr="003C0395">
        <w:t xml:space="preserve"> F. James, </w:t>
      </w:r>
      <w:proofErr w:type="spellStart"/>
      <w:r w:rsidRPr="003C0395">
        <w:t>Melicher</w:t>
      </w:r>
      <w:proofErr w:type="spellEnd"/>
      <w:r w:rsidRPr="003C0395">
        <w:t xml:space="preserve"> </w:t>
      </w:r>
      <w:proofErr w:type="spellStart"/>
      <w:r w:rsidRPr="003C0395">
        <w:t>W.Ronald</w:t>
      </w:r>
      <w:proofErr w:type="spellEnd"/>
      <w:r w:rsidRPr="003C0395">
        <w:t>,</w:t>
      </w:r>
      <w:r>
        <w:t xml:space="preserve"> (1973).</w:t>
      </w:r>
      <w:r w:rsidRPr="003C0395">
        <w:t xml:space="preserve"> </w:t>
      </w:r>
      <w:r w:rsidRPr="00D86EDC">
        <w:rPr>
          <w:i/>
          <w:iCs/>
        </w:rPr>
        <w:t xml:space="preserve">A </w:t>
      </w:r>
      <w:proofErr w:type="spellStart"/>
      <w:r w:rsidRPr="00D86EDC">
        <w:rPr>
          <w:i/>
          <w:iCs/>
        </w:rPr>
        <w:t>Financial</w:t>
      </w:r>
      <w:proofErr w:type="spellEnd"/>
      <w:r w:rsidRPr="00D86EDC">
        <w:rPr>
          <w:i/>
          <w:iCs/>
        </w:rPr>
        <w:t xml:space="preserve"> </w:t>
      </w:r>
      <w:proofErr w:type="spellStart"/>
      <w:r w:rsidRPr="00D86EDC">
        <w:rPr>
          <w:i/>
          <w:iCs/>
        </w:rPr>
        <w:t>Analysis</w:t>
      </w:r>
      <w:proofErr w:type="spellEnd"/>
      <w:r w:rsidRPr="00D86EDC">
        <w:rPr>
          <w:i/>
          <w:iCs/>
        </w:rPr>
        <w:t xml:space="preserve"> </w:t>
      </w:r>
      <w:proofErr w:type="spellStart"/>
      <w:r w:rsidRPr="00D86EDC">
        <w:rPr>
          <w:i/>
          <w:iCs/>
        </w:rPr>
        <w:t>of</w:t>
      </w:r>
      <w:proofErr w:type="spellEnd"/>
      <w:r w:rsidRPr="00D86EDC">
        <w:rPr>
          <w:i/>
          <w:iCs/>
        </w:rPr>
        <w:t xml:space="preserve"> </w:t>
      </w:r>
      <w:proofErr w:type="spellStart"/>
      <w:r w:rsidRPr="00D86EDC">
        <w:rPr>
          <w:i/>
          <w:iCs/>
        </w:rPr>
        <w:t>Acquisition</w:t>
      </w:r>
      <w:proofErr w:type="spellEnd"/>
      <w:r w:rsidRPr="00D86EDC">
        <w:rPr>
          <w:i/>
          <w:iCs/>
        </w:rPr>
        <w:t xml:space="preserve"> </w:t>
      </w:r>
      <w:proofErr w:type="spellStart"/>
      <w:r w:rsidRPr="00D86EDC">
        <w:rPr>
          <w:i/>
          <w:iCs/>
        </w:rPr>
        <w:t>and</w:t>
      </w:r>
      <w:proofErr w:type="spellEnd"/>
      <w:r w:rsidRPr="00D86EDC">
        <w:rPr>
          <w:i/>
          <w:iCs/>
        </w:rPr>
        <w:t xml:space="preserve"> </w:t>
      </w:r>
      <w:proofErr w:type="spellStart"/>
      <w:r w:rsidRPr="00D86EDC">
        <w:rPr>
          <w:i/>
          <w:iCs/>
        </w:rPr>
        <w:t>Merger</w:t>
      </w:r>
      <w:proofErr w:type="spellEnd"/>
      <w:r w:rsidRPr="00D86EDC">
        <w:rPr>
          <w:i/>
          <w:iCs/>
        </w:rPr>
        <w:t xml:space="preserve"> </w:t>
      </w:r>
      <w:proofErr w:type="spellStart"/>
      <w:r w:rsidRPr="00D86EDC">
        <w:rPr>
          <w:i/>
          <w:iCs/>
        </w:rPr>
        <w:t>Premiums</w:t>
      </w:r>
      <w:proofErr w:type="spellEnd"/>
      <w:r w:rsidRPr="00D86EDC">
        <w:t xml:space="preserve"> </w:t>
      </w:r>
      <w:r w:rsidRPr="001F50DD">
        <w:t xml:space="preserve">(8th </w:t>
      </w:r>
      <w:proofErr w:type="spellStart"/>
      <w:r w:rsidRPr="001F50DD">
        <w:t>ed</w:t>
      </w:r>
      <w:proofErr w:type="spellEnd"/>
      <w:r w:rsidRPr="001F50DD">
        <w:t>.).</w:t>
      </w:r>
    </w:p>
    <w:p w14:paraId="1CBB6814" w14:textId="77777777" w:rsidR="00F851CC" w:rsidRDefault="00F851CC" w:rsidP="00F851CC">
      <w:pPr>
        <w:pStyle w:val="Brezrazmikov"/>
        <w:numPr>
          <w:ilvl w:val="0"/>
          <w:numId w:val="9"/>
        </w:numPr>
        <w:spacing w:after="120"/>
        <w:ind w:left="714" w:hanging="357"/>
        <w:jc w:val="left"/>
      </w:pPr>
      <w:proofErr w:type="spellStart"/>
      <w:r w:rsidRPr="00D86EDC">
        <w:t>Cherowbrier</w:t>
      </w:r>
      <w:proofErr w:type="spellEnd"/>
      <w:r>
        <w:t>, J.</w:t>
      </w:r>
      <w:r w:rsidRPr="003732DE">
        <w:t xml:space="preserve"> </w:t>
      </w:r>
      <w:proofErr w:type="spellStart"/>
      <w:r w:rsidRPr="00D86EDC">
        <w:rPr>
          <w:i/>
          <w:iCs/>
        </w:rPr>
        <w:t>Average</w:t>
      </w:r>
      <w:proofErr w:type="spellEnd"/>
      <w:r w:rsidRPr="00D86EDC">
        <w:rPr>
          <w:i/>
          <w:iCs/>
        </w:rPr>
        <w:t xml:space="preserve"> </w:t>
      </w:r>
      <w:proofErr w:type="spellStart"/>
      <w:r w:rsidRPr="00D86EDC">
        <w:rPr>
          <w:i/>
          <w:iCs/>
        </w:rPr>
        <w:t>merger</w:t>
      </w:r>
      <w:proofErr w:type="spellEnd"/>
      <w:r w:rsidRPr="00D86EDC">
        <w:rPr>
          <w:i/>
          <w:iCs/>
        </w:rPr>
        <w:t xml:space="preserve"> </w:t>
      </w:r>
      <w:proofErr w:type="spellStart"/>
      <w:r w:rsidRPr="00D86EDC">
        <w:rPr>
          <w:i/>
          <w:iCs/>
        </w:rPr>
        <w:t>and</w:t>
      </w:r>
      <w:proofErr w:type="spellEnd"/>
      <w:r w:rsidRPr="00D86EDC">
        <w:rPr>
          <w:i/>
          <w:iCs/>
        </w:rPr>
        <w:t xml:space="preserve"> </w:t>
      </w:r>
      <w:proofErr w:type="spellStart"/>
      <w:r w:rsidRPr="00D86EDC">
        <w:rPr>
          <w:i/>
          <w:iCs/>
        </w:rPr>
        <w:t>acquisition</w:t>
      </w:r>
      <w:proofErr w:type="spellEnd"/>
      <w:r w:rsidRPr="00D86EDC">
        <w:rPr>
          <w:i/>
          <w:iCs/>
        </w:rPr>
        <w:t xml:space="preserve"> (M&amp;A) </w:t>
      </w:r>
      <w:proofErr w:type="spellStart"/>
      <w:r w:rsidRPr="00D86EDC">
        <w:rPr>
          <w:i/>
          <w:iCs/>
        </w:rPr>
        <w:t>premiums</w:t>
      </w:r>
      <w:proofErr w:type="spellEnd"/>
      <w:r w:rsidRPr="00D86EDC">
        <w:rPr>
          <w:i/>
          <w:iCs/>
        </w:rPr>
        <w:t xml:space="preserve"> to </w:t>
      </w:r>
      <w:proofErr w:type="spellStart"/>
      <w:r w:rsidRPr="00D86EDC">
        <w:rPr>
          <w:i/>
          <w:iCs/>
        </w:rPr>
        <w:t>four</w:t>
      </w:r>
      <w:proofErr w:type="spellEnd"/>
      <w:r w:rsidRPr="00D86EDC">
        <w:rPr>
          <w:i/>
          <w:iCs/>
        </w:rPr>
        <w:t xml:space="preserve"> </w:t>
      </w:r>
      <w:proofErr w:type="spellStart"/>
      <w:r w:rsidRPr="00D86EDC">
        <w:rPr>
          <w:i/>
          <w:iCs/>
        </w:rPr>
        <w:t>week</w:t>
      </w:r>
      <w:proofErr w:type="spellEnd"/>
      <w:r w:rsidRPr="00D86EDC">
        <w:rPr>
          <w:i/>
          <w:iCs/>
        </w:rPr>
        <w:t xml:space="preserve"> </w:t>
      </w:r>
      <w:proofErr w:type="spellStart"/>
      <w:r w:rsidRPr="00D86EDC">
        <w:rPr>
          <w:i/>
          <w:iCs/>
        </w:rPr>
        <w:t>stock</w:t>
      </w:r>
      <w:proofErr w:type="spellEnd"/>
      <w:r w:rsidRPr="00D86EDC">
        <w:rPr>
          <w:i/>
          <w:iCs/>
        </w:rPr>
        <w:t xml:space="preserve"> </w:t>
      </w:r>
      <w:proofErr w:type="spellStart"/>
      <w:r w:rsidRPr="00D86EDC">
        <w:rPr>
          <w:i/>
          <w:iCs/>
        </w:rPr>
        <w:t>price</w:t>
      </w:r>
      <w:proofErr w:type="spellEnd"/>
      <w:r w:rsidRPr="00D86EDC">
        <w:rPr>
          <w:i/>
          <w:iCs/>
        </w:rPr>
        <w:t xml:space="preserve"> in </w:t>
      </w:r>
      <w:proofErr w:type="spellStart"/>
      <w:r w:rsidRPr="00D86EDC">
        <w:rPr>
          <w:i/>
          <w:iCs/>
        </w:rPr>
        <w:t>Europe</w:t>
      </w:r>
      <w:proofErr w:type="spellEnd"/>
      <w:r w:rsidRPr="00D86EDC">
        <w:rPr>
          <w:i/>
          <w:iCs/>
        </w:rPr>
        <w:t xml:space="preserve"> in 2017 </w:t>
      </w:r>
      <w:proofErr w:type="spellStart"/>
      <w:r w:rsidRPr="00D86EDC">
        <w:rPr>
          <w:i/>
          <w:iCs/>
        </w:rPr>
        <w:t>and</w:t>
      </w:r>
      <w:proofErr w:type="spellEnd"/>
      <w:r w:rsidRPr="00D86EDC">
        <w:rPr>
          <w:i/>
          <w:iCs/>
        </w:rPr>
        <w:t xml:space="preserve"> 2018, </w:t>
      </w:r>
      <w:proofErr w:type="spellStart"/>
      <w:r w:rsidRPr="00D86EDC">
        <w:rPr>
          <w:i/>
          <w:iCs/>
        </w:rPr>
        <w:t>by</w:t>
      </w:r>
      <w:proofErr w:type="spellEnd"/>
      <w:r w:rsidRPr="00D86EDC">
        <w:rPr>
          <w:i/>
          <w:iCs/>
        </w:rPr>
        <w:t xml:space="preserve"> </w:t>
      </w:r>
      <w:proofErr w:type="spellStart"/>
      <w:r w:rsidRPr="00D86EDC">
        <w:rPr>
          <w:i/>
          <w:iCs/>
        </w:rPr>
        <w:t>industry</w:t>
      </w:r>
      <w:proofErr w:type="spellEnd"/>
      <w:r w:rsidRPr="00D86EDC">
        <w:t>.</w:t>
      </w:r>
      <w:r>
        <w:t xml:space="preserve"> Dostopno prek</w:t>
      </w:r>
      <w:r w:rsidRPr="005272FC">
        <w:t xml:space="preserve"> </w:t>
      </w:r>
      <w:hyperlink r:id="rId49" w:history="1">
        <w:r w:rsidRPr="00D83FDF">
          <w:t>https://www.statista.com/statistics/978583/average-premiums-in-europe-by-industry/</w:t>
        </w:r>
      </w:hyperlink>
    </w:p>
    <w:p w14:paraId="5C9484C8" w14:textId="77777777" w:rsidR="00F851CC" w:rsidRDefault="00F851CC" w:rsidP="00F851CC">
      <w:pPr>
        <w:pStyle w:val="Brezrazmikov"/>
        <w:numPr>
          <w:ilvl w:val="0"/>
          <w:numId w:val="9"/>
        </w:numPr>
        <w:spacing w:after="120"/>
        <w:ind w:left="714" w:hanging="357"/>
        <w:jc w:val="left"/>
      </w:pPr>
      <w:r>
        <w:t xml:space="preserve">Bešter, J. (1996). </w:t>
      </w:r>
      <w:r w:rsidRPr="00DD483C">
        <w:rPr>
          <w:i/>
          <w:iCs/>
        </w:rPr>
        <w:t>Prevzemi podjetij in njihovi učinki na delničarje, managerje, zaposlene, upnike in državo</w:t>
      </w:r>
      <w:r>
        <w:t xml:space="preserve"> (1. izd.). Ljubljana: Gospodarski vestnik.</w:t>
      </w:r>
    </w:p>
    <w:p w14:paraId="48B6CB5E" w14:textId="77777777" w:rsidR="00F851CC" w:rsidRDefault="00F851CC" w:rsidP="00F851CC">
      <w:pPr>
        <w:pStyle w:val="Brezrazmikov"/>
        <w:ind w:left="720"/>
        <w:jc w:val="left"/>
      </w:pPr>
    </w:p>
    <w:p w14:paraId="27A49F67" w14:textId="77777777" w:rsidR="00F851CC" w:rsidRDefault="00F851CC" w:rsidP="00F851CC">
      <w:pPr>
        <w:pStyle w:val="Brezrazmikov"/>
        <w:ind w:left="720"/>
        <w:jc w:val="left"/>
      </w:pPr>
    </w:p>
    <w:p w14:paraId="71840C7B" w14:textId="77777777" w:rsidR="00F851CC" w:rsidRDefault="00F851CC" w:rsidP="00F851CC">
      <w:pPr>
        <w:pStyle w:val="Brezrazmikov"/>
        <w:ind w:left="720"/>
        <w:jc w:val="left"/>
      </w:pPr>
    </w:p>
    <w:p w14:paraId="71DFB142" w14:textId="77777777" w:rsidR="00F851CC" w:rsidRDefault="00F851CC" w:rsidP="00F851CC">
      <w:pPr>
        <w:pStyle w:val="Brezrazmikov"/>
        <w:ind w:left="720"/>
        <w:jc w:val="left"/>
      </w:pPr>
    </w:p>
    <w:p w14:paraId="2DA02471" w14:textId="77777777" w:rsidR="00F851CC" w:rsidRDefault="00F851CC" w:rsidP="00F851CC">
      <w:pPr>
        <w:pStyle w:val="Brezrazmikov"/>
        <w:jc w:val="left"/>
      </w:pPr>
    </w:p>
    <w:p w14:paraId="73A2D971" w14:textId="77777777" w:rsidR="00F851CC" w:rsidRDefault="00F851CC" w:rsidP="00F851CC">
      <w:pPr>
        <w:pStyle w:val="Brezrazmikov"/>
        <w:jc w:val="left"/>
        <w:sectPr w:rsidR="00F851CC" w:rsidSect="007A6126">
          <w:footerReference w:type="first" r:id="rId50"/>
          <w:pgSz w:w="12242" w:h="15842" w:code="1"/>
          <w:pgMar w:top="1418" w:right="1418" w:bottom="1418" w:left="1418" w:header="709" w:footer="709" w:gutter="0"/>
          <w:pgNumType w:start="1"/>
          <w:cols w:space="708"/>
          <w:titlePg/>
          <w:docGrid w:linePitch="360"/>
        </w:sectPr>
      </w:pPr>
    </w:p>
    <w:p w14:paraId="497CAE73" w14:textId="77777777" w:rsidR="00F851CC" w:rsidRDefault="00F851CC" w:rsidP="00F851CC">
      <w:pPr>
        <w:pStyle w:val="Brezrazmikov"/>
        <w:rPr>
          <w:b/>
          <w:bCs/>
          <w:sz w:val="28"/>
          <w:szCs w:val="28"/>
        </w:rPr>
      </w:pPr>
      <w:r>
        <w:rPr>
          <w:b/>
          <w:bCs/>
          <w:sz w:val="28"/>
          <w:szCs w:val="28"/>
        </w:rPr>
        <w:lastRenderedPageBreak/>
        <w:t xml:space="preserve">      </w:t>
      </w:r>
      <w:r w:rsidRPr="0098634D">
        <w:rPr>
          <w:b/>
          <w:bCs/>
          <w:sz w:val="28"/>
          <w:szCs w:val="28"/>
        </w:rPr>
        <w:t xml:space="preserve">Kazalo </w:t>
      </w:r>
      <w:r>
        <w:rPr>
          <w:b/>
          <w:bCs/>
          <w:sz w:val="28"/>
          <w:szCs w:val="28"/>
        </w:rPr>
        <w:t>prilog</w:t>
      </w:r>
    </w:p>
    <w:p w14:paraId="4F3D48EB" w14:textId="77777777" w:rsidR="00F851CC" w:rsidRDefault="00F851CC" w:rsidP="00F851CC">
      <w:pPr>
        <w:pStyle w:val="Brezrazmikov"/>
        <w:jc w:val="left"/>
      </w:pPr>
    </w:p>
    <w:p w14:paraId="36821471" w14:textId="3E5D31F4" w:rsidR="00472378" w:rsidRDefault="00F851CC">
      <w:pPr>
        <w:pStyle w:val="Kazaloslik"/>
        <w:tabs>
          <w:tab w:val="right" w:leader="dot" w:pos="9396"/>
        </w:tabs>
        <w:rPr>
          <w:rFonts w:asciiTheme="minorHAnsi" w:eastAsiaTheme="minorEastAsia" w:hAnsiTheme="minorHAnsi"/>
          <w:noProof/>
          <w:sz w:val="22"/>
        </w:rPr>
      </w:pPr>
      <w:r>
        <w:fldChar w:fldCharType="begin"/>
      </w:r>
      <w:r>
        <w:instrText xml:space="preserve"> TOC \h \z \c "Priloga" </w:instrText>
      </w:r>
      <w:r>
        <w:fldChar w:fldCharType="separate"/>
      </w:r>
      <w:hyperlink w:anchor="_Toc18965041" w:history="1">
        <w:r w:rsidR="00472378" w:rsidRPr="0030345C">
          <w:rPr>
            <w:rStyle w:val="Hiperpovezava"/>
            <w:noProof/>
          </w:rPr>
          <w:t>Priloga 1: Bilanca za obdobje 2013–2017</w:t>
        </w:r>
        <w:r w:rsidR="00472378">
          <w:rPr>
            <w:noProof/>
            <w:webHidden/>
          </w:rPr>
          <w:tab/>
        </w:r>
        <w:r w:rsidR="00472378">
          <w:rPr>
            <w:noProof/>
            <w:webHidden/>
          </w:rPr>
          <w:fldChar w:fldCharType="begin"/>
        </w:r>
        <w:r w:rsidR="00472378">
          <w:rPr>
            <w:noProof/>
            <w:webHidden/>
          </w:rPr>
          <w:instrText xml:space="preserve"> PAGEREF _Toc18965041 \h </w:instrText>
        </w:r>
        <w:r w:rsidR="00472378">
          <w:rPr>
            <w:noProof/>
            <w:webHidden/>
          </w:rPr>
        </w:r>
        <w:r w:rsidR="00472378">
          <w:rPr>
            <w:noProof/>
            <w:webHidden/>
          </w:rPr>
          <w:fldChar w:fldCharType="separate"/>
        </w:r>
        <w:r w:rsidR="00472378">
          <w:rPr>
            <w:noProof/>
            <w:webHidden/>
          </w:rPr>
          <w:t>2</w:t>
        </w:r>
        <w:r w:rsidR="00472378">
          <w:rPr>
            <w:noProof/>
            <w:webHidden/>
          </w:rPr>
          <w:fldChar w:fldCharType="end"/>
        </w:r>
      </w:hyperlink>
    </w:p>
    <w:p w14:paraId="375700FA" w14:textId="25211ADC" w:rsidR="00472378" w:rsidRDefault="00BB77EE">
      <w:pPr>
        <w:pStyle w:val="Kazaloslik"/>
        <w:tabs>
          <w:tab w:val="right" w:leader="dot" w:pos="9396"/>
        </w:tabs>
        <w:rPr>
          <w:rFonts w:asciiTheme="minorHAnsi" w:eastAsiaTheme="minorEastAsia" w:hAnsiTheme="minorHAnsi"/>
          <w:noProof/>
          <w:sz w:val="22"/>
        </w:rPr>
      </w:pPr>
      <w:hyperlink w:anchor="_Toc18965042" w:history="1">
        <w:r w:rsidR="00472378" w:rsidRPr="0030345C">
          <w:rPr>
            <w:rStyle w:val="Hiperpovezava"/>
            <w:noProof/>
          </w:rPr>
          <w:t>Priloga 2: Izkaz poslovnega izida za obdobje 2013–2017</w:t>
        </w:r>
        <w:r w:rsidR="00472378">
          <w:rPr>
            <w:noProof/>
            <w:webHidden/>
          </w:rPr>
          <w:tab/>
        </w:r>
        <w:r w:rsidR="00472378">
          <w:rPr>
            <w:noProof/>
            <w:webHidden/>
          </w:rPr>
          <w:fldChar w:fldCharType="begin"/>
        </w:r>
        <w:r w:rsidR="00472378">
          <w:rPr>
            <w:noProof/>
            <w:webHidden/>
          </w:rPr>
          <w:instrText xml:space="preserve"> PAGEREF _Toc18965042 \h </w:instrText>
        </w:r>
        <w:r w:rsidR="00472378">
          <w:rPr>
            <w:noProof/>
            <w:webHidden/>
          </w:rPr>
        </w:r>
        <w:r w:rsidR="00472378">
          <w:rPr>
            <w:noProof/>
            <w:webHidden/>
          </w:rPr>
          <w:fldChar w:fldCharType="separate"/>
        </w:r>
        <w:r w:rsidR="00472378">
          <w:rPr>
            <w:noProof/>
            <w:webHidden/>
          </w:rPr>
          <w:t>3</w:t>
        </w:r>
        <w:r w:rsidR="00472378">
          <w:rPr>
            <w:noProof/>
            <w:webHidden/>
          </w:rPr>
          <w:fldChar w:fldCharType="end"/>
        </w:r>
      </w:hyperlink>
    </w:p>
    <w:p w14:paraId="1FCD4D11" w14:textId="4E69446B" w:rsidR="00472378" w:rsidRDefault="00BB77EE">
      <w:pPr>
        <w:pStyle w:val="Kazaloslik"/>
        <w:tabs>
          <w:tab w:val="right" w:leader="dot" w:pos="9396"/>
        </w:tabs>
        <w:rPr>
          <w:rFonts w:asciiTheme="minorHAnsi" w:eastAsiaTheme="minorEastAsia" w:hAnsiTheme="minorHAnsi"/>
          <w:noProof/>
          <w:sz w:val="22"/>
        </w:rPr>
      </w:pPr>
      <w:hyperlink w:anchor="_Toc18965043" w:history="1">
        <w:r w:rsidR="00472378" w:rsidRPr="0030345C">
          <w:rPr>
            <w:rStyle w:val="Hiperpovezava"/>
            <w:noProof/>
          </w:rPr>
          <w:t>Priloga 3: Napoved poslovnega izida za obdobje 2018–2022</w:t>
        </w:r>
        <w:r w:rsidR="00472378">
          <w:rPr>
            <w:noProof/>
            <w:webHidden/>
          </w:rPr>
          <w:tab/>
        </w:r>
        <w:r w:rsidR="00472378">
          <w:rPr>
            <w:noProof/>
            <w:webHidden/>
          </w:rPr>
          <w:fldChar w:fldCharType="begin"/>
        </w:r>
        <w:r w:rsidR="00472378">
          <w:rPr>
            <w:noProof/>
            <w:webHidden/>
          </w:rPr>
          <w:instrText xml:space="preserve"> PAGEREF _Toc18965043 \h </w:instrText>
        </w:r>
        <w:r w:rsidR="00472378">
          <w:rPr>
            <w:noProof/>
            <w:webHidden/>
          </w:rPr>
        </w:r>
        <w:r w:rsidR="00472378">
          <w:rPr>
            <w:noProof/>
            <w:webHidden/>
          </w:rPr>
          <w:fldChar w:fldCharType="separate"/>
        </w:r>
        <w:r w:rsidR="00472378">
          <w:rPr>
            <w:noProof/>
            <w:webHidden/>
          </w:rPr>
          <w:t>4</w:t>
        </w:r>
        <w:r w:rsidR="00472378">
          <w:rPr>
            <w:noProof/>
            <w:webHidden/>
          </w:rPr>
          <w:fldChar w:fldCharType="end"/>
        </w:r>
      </w:hyperlink>
    </w:p>
    <w:p w14:paraId="1EF03347" w14:textId="0BF0F8B6" w:rsidR="00F851CC" w:rsidRDefault="00F851CC" w:rsidP="00F851CC">
      <w:pPr>
        <w:pStyle w:val="Brezrazmikov"/>
        <w:jc w:val="left"/>
        <w:rPr>
          <w:b/>
          <w:bCs/>
          <w:sz w:val="28"/>
          <w:szCs w:val="28"/>
        </w:rPr>
      </w:pPr>
      <w:r>
        <w:fldChar w:fldCharType="end"/>
      </w:r>
    </w:p>
    <w:p w14:paraId="7FEBFF89" w14:textId="77777777" w:rsidR="00F851CC" w:rsidRDefault="00F851CC" w:rsidP="00F851CC">
      <w:pPr>
        <w:pStyle w:val="Brezrazmikov"/>
      </w:pPr>
      <w:r>
        <w:br w:type="page"/>
      </w:r>
    </w:p>
    <w:p w14:paraId="1BB71552" w14:textId="143EEA23" w:rsidR="00F851CC" w:rsidRPr="00DA59D4" w:rsidRDefault="00F851CC" w:rsidP="00F851CC">
      <w:pPr>
        <w:pStyle w:val="Napis"/>
        <w:keepNext/>
      </w:pPr>
      <w:bookmarkStart w:id="100" w:name="_Toc18965041"/>
      <w:r>
        <w:lastRenderedPageBreak/>
        <w:t xml:space="preserve">Priloga </w:t>
      </w:r>
      <w:fldSimple w:instr=" SEQ Priloga \* ARABIC ">
        <w:r w:rsidR="00325440">
          <w:rPr>
            <w:noProof/>
          </w:rPr>
          <w:t>1</w:t>
        </w:r>
      </w:fldSimple>
      <w:r>
        <w:t>: Bilanca za obdobje 2013–2017</w:t>
      </w:r>
      <w:bookmarkEnd w:id="100"/>
    </w:p>
    <w:tbl>
      <w:tblPr>
        <w:tblW w:w="5000" w:type="pct"/>
        <w:tblLook w:val="04A0" w:firstRow="1" w:lastRow="0" w:firstColumn="1" w:lastColumn="0" w:noHBand="0" w:noVBand="1"/>
      </w:tblPr>
      <w:tblGrid>
        <w:gridCol w:w="3521"/>
        <w:gridCol w:w="1497"/>
        <w:gridCol w:w="1097"/>
        <w:gridCol w:w="1097"/>
        <w:gridCol w:w="1097"/>
        <w:gridCol w:w="1097"/>
      </w:tblGrid>
      <w:tr w:rsidR="00F851CC" w:rsidRPr="00DA59D4" w14:paraId="3D30D45D" w14:textId="77777777" w:rsidTr="007A6126">
        <w:trPr>
          <w:trHeight w:val="324"/>
        </w:trPr>
        <w:tc>
          <w:tcPr>
            <w:tcW w:w="1872" w:type="pct"/>
            <w:tcBorders>
              <w:top w:val="nil"/>
              <w:left w:val="nil"/>
              <w:bottom w:val="single" w:sz="12" w:space="0" w:color="auto"/>
              <w:right w:val="nil"/>
            </w:tcBorders>
            <w:shd w:val="clear" w:color="auto" w:fill="auto"/>
            <w:noWrap/>
            <w:vAlign w:val="bottom"/>
            <w:hideMark/>
          </w:tcPr>
          <w:p w14:paraId="59B9A9A7" w14:textId="77777777" w:rsidR="00F851CC" w:rsidRPr="00DA59D4" w:rsidRDefault="00F851CC" w:rsidP="007A6126">
            <w:pPr>
              <w:pStyle w:val="Brezrazmikov"/>
              <w:rPr>
                <w:b/>
                <w:bCs/>
                <w:sz w:val="22"/>
                <w:szCs w:val="22"/>
              </w:rPr>
            </w:pPr>
            <w:r w:rsidRPr="00DA59D4">
              <w:rPr>
                <w:b/>
                <w:bCs/>
                <w:sz w:val="22"/>
                <w:szCs w:val="22"/>
              </w:rPr>
              <w:t>v 1000 EUR</w:t>
            </w:r>
          </w:p>
        </w:tc>
        <w:tc>
          <w:tcPr>
            <w:tcW w:w="796" w:type="pct"/>
            <w:tcBorders>
              <w:top w:val="nil"/>
              <w:left w:val="nil"/>
              <w:bottom w:val="single" w:sz="12" w:space="0" w:color="auto"/>
              <w:right w:val="nil"/>
            </w:tcBorders>
            <w:shd w:val="clear" w:color="auto" w:fill="auto"/>
            <w:noWrap/>
            <w:vAlign w:val="bottom"/>
            <w:hideMark/>
          </w:tcPr>
          <w:p w14:paraId="42AE54B8" w14:textId="77777777" w:rsidR="00F851CC" w:rsidRPr="00DA59D4" w:rsidRDefault="00F851CC" w:rsidP="007A6126">
            <w:pPr>
              <w:pStyle w:val="Brezrazmikov"/>
              <w:rPr>
                <w:b/>
                <w:bCs/>
                <w:sz w:val="22"/>
                <w:szCs w:val="22"/>
              </w:rPr>
            </w:pPr>
            <w:r w:rsidRPr="00DA59D4">
              <w:rPr>
                <w:b/>
                <w:bCs/>
                <w:sz w:val="22"/>
                <w:szCs w:val="22"/>
              </w:rPr>
              <w:t>2013</w:t>
            </w:r>
          </w:p>
        </w:tc>
        <w:tc>
          <w:tcPr>
            <w:tcW w:w="583" w:type="pct"/>
            <w:tcBorders>
              <w:top w:val="nil"/>
              <w:left w:val="nil"/>
              <w:bottom w:val="single" w:sz="12" w:space="0" w:color="auto"/>
              <w:right w:val="nil"/>
            </w:tcBorders>
            <w:shd w:val="clear" w:color="auto" w:fill="auto"/>
            <w:noWrap/>
            <w:vAlign w:val="bottom"/>
            <w:hideMark/>
          </w:tcPr>
          <w:p w14:paraId="34F4E3A5" w14:textId="77777777" w:rsidR="00F851CC" w:rsidRPr="00DA59D4" w:rsidRDefault="00F851CC" w:rsidP="007A6126">
            <w:pPr>
              <w:pStyle w:val="Brezrazmikov"/>
              <w:rPr>
                <w:b/>
                <w:bCs/>
                <w:sz w:val="22"/>
                <w:szCs w:val="22"/>
              </w:rPr>
            </w:pPr>
            <w:r w:rsidRPr="00DA59D4">
              <w:rPr>
                <w:b/>
                <w:bCs/>
                <w:sz w:val="22"/>
                <w:szCs w:val="22"/>
              </w:rPr>
              <w:t>2014</w:t>
            </w:r>
          </w:p>
        </w:tc>
        <w:tc>
          <w:tcPr>
            <w:tcW w:w="583" w:type="pct"/>
            <w:tcBorders>
              <w:top w:val="nil"/>
              <w:left w:val="nil"/>
              <w:bottom w:val="single" w:sz="12" w:space="0" w:color="auto"/>
              <w:right w:val="nil"/>
            </w:tcBorders>
            <w:shd w:val="clear" w:color="auto" w:fill="auto"/>
            <w:noWrap/>
            <w:vAlign w:val="bottom"/>
            <w:hideMark/>
          </w:tcPr>
          <w:p w14:paraId="31CE11C0" w14:textId="77777777" w:rsidR="00F851CC" w:rsidRPr="00DA59D4" w:rsidRDefault="00F851CC" w:rsidP="007A6126">
            <w:pPr>
              <w:pStyle w:val="Brezrazmikov"/>
              <w:rPr>
                <w:b/>
                <w:bCs/>
                <w:sz w:val="22"/>
                <w:szCs w:val="22"/>
              </w:rPr>
            </w:pPr>
            <w:r w:rsidRPr="00DA59D4">
              <w:rPr>
                <w:b/>
                <w:bCs/>
                <w:sz w:val="22"/>
                <w:szCs w:val="22"/>
              </w:rPr>
              <w:t>2015</w:t>
            </w:r>
          </w:p>
        </w:tc>
        <w:tc>
          <w:tcPr>
            <w:tcW w:w="583" w:type="pct"/>
            <w:tcBorders>
              <w:top w:val="nil"/>
              <w:left w:val="nil"/>
              <w:bottom w:val="single" w:sz="12" w:space="0" w:color="auto"/>
              <w:right w:val="nil"/>
            </w:tcBorders>
            <w:shd w:val="clear" w:color="auto" w:fill="auto"/>
            <w:noWrap/>
            <w:vAlign w:val="bottom"/>
            <w:hideMark/>
          </w:tcPr>
          <w:p w14:paraId="498BC04D" w14:textId="77777777" w:rsidR="00F851CC" w:rsidRPr="00DA59D4" w:rsidRDefault="00F851CC" w:rsidP="007A6126">
            <w:pPr>
              <w:pStyle w:val="Brezrazmikov"/>
              <w:rPr>
                <w:b/>
                <w:bCs/>
                <w:sz w:val="22"/>
                <w:szCs w:val="22"/>
              </w:rPr>
            </w:pPr>
            <w:r w:rsidRPr="00DA59D4">
              <w:rPr>
                <w:b/>
                <w:bCs/>
                <w:sz w:val="22"/>
                <w:szCs w:val="22"/>
              </w:rPr>
              <w:t>2016</w:t>
            </w:r>
          </w:p>
        </w:tc>
        <w:tc>
          <w:tcPr>
            <w:tcW w:w="583" w:type="pct"/>
            <w:tcBorders>
              <w:top w:val="nil"/>
              <w:left w:val="nil"/>
              <w:bottom w:val="single" w:sz="12" w:space="0" w:color="auto"/>
              <w:right w:val="nil"/>
            </w:tcBorders>
            <w:shd w:val="clear" w:color="auto" w:fill="auto"/>
            <w:noWrap/>
            <w:vAlign w:val="bottom"/>
            <w:hideMark/>
          </w:tcPr>
          <w:p w14:paraId="115D23BD" w14:textId="77777777" w:rsidR="00F851CC" w:rsidRPr="00DA59D4" w:rsidRDefault="00F851CC" w:rsidP="007A6126">
            <w:pPr>
              <w:pStyle w:val="Brezrazmikov"/>
              <w:rPr>
                <w:b/>
                <w:bCs/>
                <w:sz w:val="22"/>
                <w:szCs w:val="22"/>
              </w:rPr>
            </w:pPr>
            <w:r w:rsidRPr="00DA59D4">
              <w:rPr>
                <w:b/>
                <w:bCs/>
                <w:sz w:val="22"/>
                <w:szCs w:val="22"/>
              </w:rPr>
              <w:t>2017</w:t>
            </w:r>
          </w:p>
        </w:tc>
      </w:tr>
      <w:tr w:rsidR="00F851CC" w:rsidRPr="00DA59D4" w14:paraId="7AC8E483" w14:textId="77777777" w:rsidTr="007A6126">
        <w:trPr>
          <w:trHeight w:val="324"/>
        </w:trPr>
        <w:tc>
          <w:tcPr>
            <w:tcW w:w="1872" w:type="pct"/>
            <w:tcBorders>
              <w:top w:val="single" w:sz="12" w:space="0" w:color="auto"/>
              <w:left w:val="nil"/>
              <w:bottom w:val="single" w:sz="12" w:space="0" w:color="auto"/>
              <w:right w:val="nil"/>
            </w:tcBorders>
            <w:shd w:val="clear" w:color="auto" w:fill="auto"/>
            <w:noWrap/>
            <w:vAlign w:val="bottom"/>
            <w:hideMark/>
          </w:tcPr>
          <w:p w14:paraId="154FD14C" w14:textId="77777777" w:rsidR="00F851CC" w:rsidRPr="00DA59D4" w:rsidRDefault="00F851CC" w:rsidP="007A6126">
            <w:pPr>
              <w:pStyle w:val="Brezrazmikov"/>
              <w:rPr>
                <w:b/>
                <w:bCs/>
                <w:sz w:val="22"/>
                <w:szCs w:val="22"/>
              </w:rPr>
            </w:pPr>
            <w:r w:rsidRPr="00DA59D4">
              <w:rPr>
                <w:b/>
                <w:bCs/>
                <w:sz w:val="22"/>
                <w:szCs w:val="22"/>
              </w:rPr>
              <w:t xml:space="preserve">SREDSTVA    </w:t>
            </w:r>
          </w:p>
        </w:tc>
        <w:tc>
          <w:tcPr>
            <w:tcW w:w="796" w:type="pct"/>
            <w:tcBorders>
              <w:top w:val="single" w:sz="12" w:space="0" w:color="auto"/>
              <w:left w:val="nil"/>
              <w:bottom w:val="single" w:sz="12" w:space="0" w:color="auto"/>
              <w:right w:val="nil"/>
            </w:tcBorders>
            <w:shd w:val="clear" w:color="auto" w:fill="auto"/>
            <w:noWrap/>
            <w:vAlign w:val="bottom"/>
            <w:hideMark/>
          </w:tcPr>
          <w:p w14:paraId="321D1E76" w14:textId="77777777" w:rsidR="00F851CC" w:rsidRPr="00DA59D4" w:rsidRDefault="00F851CC" w:rsidP="007A6126">
            <w:pPr>
              <w:pStyle w:val="Brezrazmikov"/>
              <w:rPr>
                <w:b/>
                <w:bCs/>
                <w:sz w:val="22"/>
                <w:szCs w:val="22"/>
              </w:rPr>
            </w:pPr>
            <w:r w:rsidRPr="00DA59D4">
              <w:rPr>
                <w:b/>
                <w:bCs/>
                <w:sz w:val="22"/>
                <w:szCs w:val="22"/>
              </w:rPr>
              <w:t>1.148.065</w:t>
            </w:r>
          </w:p>
        </w:tc>
        <w:tc>
          <w:tcPr>
            <w:tcW w:w="583" w:type="pct"/>
            <w:tcBorders>
              <w:top w:val="single" w:sz="12" w:space="0" w:color="auto"/>
              <w:left w:val="nil"/>
              <w:bottom w:val="single" w:sz="12" w:space="0" w:color="auto"/>
              <w:right w:val="nil"/>
            </w:tcBorders>
            <w:shd w:val="clear" w:color="auto" w:fill="auto"/>
            <w:noWrap/>
            <w:vAlign w:val="bottom"/>
            <w:hideMark/>
          </w:tcPr>
          <w:p w14:paraId="22266425" w14:textId="77777777" w:rsidR="00F851CC" w:rsidRPr="00DA59D4" w:rsidRDefault="00F851CC" w:rsidP="007A6126">
            <w:pPr>
              <w:pStyle w:val="Brezrazmikov"/>
              <w:rPr>
                <w:b/>
                <w:bCs/>
                <w:sz w:val="22"/>
                <w:szCs w:val="22"/>
              </w:rPr>
            </w:pPr>
            <w:r w:rsidRPr="00DA59D4">
              <w:rPr>
                <w:b/>
                <w:bCs/>
                <w:sz w:val="22"/>
                <w:szCs w:val="22"/>
              </w:rPr>
              <w:t>1.102.398</w:t>
            </w:r>
          </w:p>
        </w:tc>
        <w:tc>
          <w:tcPr>
            <w:tcW w:w="583" w:type="pct"/>
            <w:tcBorders>
              <w:top w:val="single" w:sz="12" w:space="0" w:color="auto"/>
              <w:left w:val="nil"/>
              <w:bottom w:val="single" w:sz="12" w:space="0" w:color="auto"/>
              <w:right w:val="nil"/>
            </w:tcBorders>
            <w:shd w:val="clear" w:color="auto" w:fill="auto"/>
            <w:noWrap/>
            <w:vAlign w:val="bottom"/>
            <w:hideMark/>
          </w:tcPr>
          <w:p w14:paraId="35DC99A9" w14:textId="77777777" w:rsidR="00F851CC" w:rsidRPr="00DA59D4" w:rsidRDefault="00F851CC" w:rsidP="007A6126">
            <w:pPr>
              <w:pStyle w:val="Brezrazmikov"/>
              <w:rPr>
                <w:b/>
                <w:bCs/>
                <w:sz w:val="22"/>
                <w:szCs w:val="22"/>
              </w:rPr>
            </w:pPr>
            <w:r w:rsidRPr="00DA59D4">
              <w:rPr>
                <w:b/>
                <w:bCs/>
                <w:sz w:val="22"/>
                <w:szCs w:val="22"/>
              </w:rPr>
              <w:t>1.101.274</w:t>
            </w:r>
          </w:p>
        </w:tc>
        <w:tc>
          <w:tcPr>
            <w:tcW w:w="583" w:type="pct"/>
            <w:tcBorders>
              <w:top w:val="single" w:sz="12" w:space="0" w:color="auto"/>
              <w:left w:val="nil"/>
              <w:bottom w:val="single" w:sz="12" w:space="0" w:color="auto"/>
              <w:right w:val="nil"/>
            </w:tcBorders>
            <w:shd w:val="clear" w:color="auto" w:fill="auto"/>
            <w:noWrap/>
            <w:vAlign w:val="bottom"/>
            <w:hideMark/>
          </w:tcPr>
          <w:p w14:paraId="6AFFC767" w14:textId="77777777" w:rsidR="00F851CC" w:rsidRPr="00DA59D4" w:rsidRDefault="00F851CC" w:rsidP="007A6126">
            <w:pPr>
              <w:pStyle w:val="Brezrazmikov"/>
              <w:rPr>
                <w:b/>
                <w:bCs/>
                <w:sz w:val="22"/>
                <w:szCs w:val="22"/>
              </w:rPr>
            </w:pPr>
            <w:r w:rsidRPr="00DA59D4">
              <w:rPr>
                <w:b/>
                <w:bCs/>
                <w:sz w:val="22"/>
                <w:szCs w:val="22"/>
              </w:rPr>
              <w:t>1.123.914</w:t>
            </w:r>
          </w:p>
        </w:tc>
        <w:tc>
          <w:tcPr>
            <w:tcW w:w="583" w:type="pct"/>
            <w:tcBorders>
              <w:top w:val="single" w:sz="12" w:space="0" w:color="auto"/>
              <w:left w:val="nil"/>
              <w:bottom w:val="single" w:sz="12" w:space="0" w:color="auto"/>
              <w:right w:val="nil"/>
            </w:tcBorders>
            <w:shd w:val="clear" w:color="auto" w:fill="auto"/>
            <w:noWrap/>
            <w:vAlign w:val="bottom"/>
            <w:hideMark/>
          </w:tcPr>
          <w:p w14:paraId="7191A08B" w14:textId="77777777" w:rsidR="00F851CC" w:rsidRPr="00DA59D4" w:rsidRDefault="00F851CC" w:rsidP="007A6126">
            <w:pPr>
              <w:pStyle w:val="Brezrazmikov"/>
              <w:rPr>
                <w:b/>
                <w:bCs/>
                <w:sz w:val="22"/>
                <w:szCs w:val="22"/>
              </w:rPr>
            </w:pPr>
            <w:r w:rsidRPr="00DA59D4">
              <w:rPr>
                <w:b/>
                <w:bCs/>
                <w:sz w:val="22"/>
                <w:szCs w:val="22"/>
              </w:rPr>
              <w:t>1.143.116</w:t>
            </w:r>
          </w:p>
        </w:tc>
      </w:tr>
      <w:tr w:rsidR="00F851CC" w:rsidRPr="00DA59D4" w14:paraId="50F702A6" w14:textId="77777777" w:rsidTr="007A6126">
        <w:trPr>
          <w:trHeight w:val="312"/>
        </w:trPr>
        <w:tc>
          <w:tcPr>
            <w:tcW w:w="1872" w:type="pct"/>
            <w:tcBorders>
              <w:top w:val="single" w:sz="12" w:space="0" w:color="auto"/>
              <w:left w:val="nil"/>
              <w:bottom w:val="single" w:sz="4" w:space="0" w:color="auto"/>
              <w:right w:val="nil"/>
            </w:tcBorders>
            <w:shd w:val="clear" w:color="auto" w:fill="auto"/>
            <w:noWrap/>
            <w:vAlign w:val="bottom"/>
            <w:hideMark/>
          </w:tcPr>
          <w:p w14:paraId="07F364B6" w14:textId="77777777" w:rsidR="00F851CC" w:rsidRPr="00DA59D4" w:rsidRDefault="00F851CC" w:rsidP="007A6126">
            <w:pPr>
              <w:pStyle w:val="Brezrazmikov"/>
              <w:rPr>
                <w:b/>
                <w:bCs/>
                <w:sz w:val="22"/>
                <w:szCs w:val="22"/>
              </w:rPr>
            </w:pPr>
            <w:r w:rsidRPr="00DA59D4">
              <w:rPr>
                <w:b/>
                <w:bCs/>
                <w:sz w:val="22"/>
                <w:szCs w:val="22"/>
              </w:rPr>
              <w:t xml:space="preserve">Dolgoročna sredstva   </w:t>
            </w:r>
          </w:p>
        </w:tc>
        <w:tc>
          <w:tcPr>
            <w:tcW w:w="796" w:type="pct"/>
            <w:tcBorders>
              <w:top w:val="single" w:sz="12" w:space="0" w:color="auto"/>
              <w:left w:val="nil"/>
              <w:bottom w:val="single" w:sz="4" w:space="0" w:color="auto"/>
              <w:right w:val="nil"/>
            </w:tcBorders>
            <w:shd w:val="clear" w:color="auto" w:fill="auto"/>
            <w:noWrap/>
            <w:vAlign w:val="bottom"/>
            <w:hideMark/>
          </w:tcPr>
          <w:p w14:paraId="1F6B5BFB" w14:textId="77777777" w:rsidR="00F851CC" w:rsidRPr="00DA59D4" w:rsidRDefault="00F851CC" w:rsidP="007A6126">
            <w:pPr>
              <w:pStyle w:val="Brezrazmikov"/>
              <w:rPr>
                <w:b/>
                <w:bCs/>
                <w:sz w:val="22"/>
                <w:szCs w:val="22"/>
              </w:rPr>
            </w:pPr>
            <w:r w:rsidRPr="00DA59D4">
              <w:rPr>
                <w:b/>
                <w:bCs/>
                <w:sz w:val="22"/>
                <w:szCs w:val="22"/>
              </w:rPr>
              <w:t>593.890</w:t>
            </w:r>
          </w:p>
        </w:tc>
        <w:tc>
          <w:tcPr>
            <w:tcW w:w="583" w:type="pct"/>
            <w:tcBorders>
              <w:top w:val="single" w:sz="12" w:space="0" w:color="auto"/>
              <w:left w:val="nil"/>
              <w:bottom w:val="single" w:sz="4" w:space="0" w:color="auto"/>
              <w:right w:val="nil"/>
            </w:tcBorders>
            <w:shd w:val="clear" w:color="auto" w:fill="auto"/>
            <w:noWrap/>
            <w:vAlign w:val="bottom"/>
            <w:hideMark/>
          </w:tcPr>
          <w:p w14:paraId="74B4790F" w14:textId="77777777" w:rsidR="00F851CC" w:rsidRPr="00DA59D4" w:rsidRDefault="00F851CC" w:rsidP="007A6126">
            <w:pPr>
              <w:pStyle w:val="Brezrazmikov"/>
              <w:rPr>
                <w:b/>
                <w:bCs/>
                <w:sz w:val="22"/>
                <w:szCs w:val="22"/>
              </w:rPr>
            </w:pPr>
            <w:r w:rsidRPr="00DA59D4">
              <w:rPr>
                <w:b/>
                <w:bCs/>
                <w:sz w:val="22"/>
                <w:szCs w:val="22"/>
              </w:rPr>
              <w:t>594.578</w:t>
            </w:r>
          </w:p>
        </w:tc>
        <w:tc>
          <w:tcPr>
            <w:tcW w:w="583" w:type="pct"/>
            <w:tcBorders>
              <w:top w:val="single" w:sz="12" w:space="0" w:color="auto"/>
              <w:left w:val="nil"/>
              <w:bottom w:val="single" w:sz="4" w:space="0" w:color="auto"/>
              <w:right w:val="nil"/>
            </w:tcBorders>
            <w:shd w:val="clear" w:color="auto" w:fill="auto"/>
            <w:noWrap/>
            <w:vAlign w:val="bottom"/>
            <w:hideMark/>
          </w:tcPr>
          <w:p w14:paraId="4A951C39" w14:textId="77777777" w:rsidR="00F851CC" w:rsidRPr="00DA59D4" w:rsidRDefault="00F851CC" w:rsidP="007A6126">
            <w:pPr>
              <w:pStyle w:val="Brezrazmikov"/>
              <w:rPr>
                <w:b/>
                <w:bCs/>
                <w:sz w:val="22"/>
                <w:szCs w:val="22"/>
              </w:rPr>
            </w:pPr>
            <w:r w:rsidRPr="00DA59D4">
              <w:rPr>
                <w:b/>
                <w:bCs/>
                <w:sz w:val="22"/>
                <w:szCs w:val="22"/>
              </w:rPr>
              <w:t>614.125</w:t>
            </w:r>
          </w:p>
        </w:tc>
        <w:tc>
          <w:tcPr>
            <w:tcW w:w="583" w:type="pct"/>
            <w:tcBorders>
              <w:top w:val="single" w:sz="12" w:space="0" w:color="auto"/>
              <w:left w:val="nil"/>
              <w:bottom w:val="single" w:sz="4" w:space="0" w:color="auto"/>
              <w:right w:val="nil"/>
            </w:tcBorders>
            <w:shd w:val="clear" w:color="auto" w:fill="auto"/>
            <w:noWrap/>
            <w:vAlign w:val="bottom"/>
            <w:hideMark/>
          </w:tcPr>
          <w:p w14:paraId="5568A693" w14:textId="77777777" w:rsidR="00F851CC" w:rsidRPr="00DA59D4" w:rsidRDefault="00F851CC" w:rsidP="007A6126">
            <w:pPr>
              <w:pStyle w:val="Brezrazmikov"/>
              <w:rPr>
                <w:b/>
                <w:bCs/>
                <w:sz w:val="22"/>
                <w:szCs w:val="22"/>
              </w:rPr>
            </w:pPr>
            <w:r w:rsidRPr="00DA59D4">
              <w:rPr>
                <w:b/>
                <w:bCs/>
                <w:sz w:val="22"/>
                <w:szCs w:val="22"/>
              </w:rPr>
              <w:t>629.266</w:t>
            </w:r>
          </w:p>
        </w:tc>
        <w:tc>
          <w:tcPr>
            <w:tcW w:w="583" w:type="pct"/>
            <w:tcBorders>
              <w:top w:val="single" w:sz="12" w:space="0" w:color="auto"/>
              <w:left w:val="nil"/>
              <w:bottom w:val="single" w:sz="4" w:space="0" w:color="auto"/>
              <w:right w:val="nil"/>
            </w:tcBorders>
            <w:shd w:val="clear" w:color="auto" w:fill="auto"/>
            <w:noWrap/>
            <w:vAlign w:val="bottom"/>
            <w:hideMark/>
          </w:tcPr>
          <w:p w14:paraId="2ACB3683" w14:textId="77777777" w:rsidR="00F851CC" w:rsidRPr="00DA59D4" w:rsidRDefault="00F851CC" w:rsidP="007A6126">
            <w:pPr>
              <w:pStyle w:val="Brezrazmikov"/>
              <w:rPr>
                <w:b/>
                <w:bCs/>
                <w:sz w:val="22"/>
                <w:szCs w:val="22"/>
              </w:rPr>
            </w:pPr>
            <w:r w:rsidRPr="00DA59D4">
              <w:rPr>
                <w:b/>
                <w:bCs/>
                <w:sz w:val="22"/>
                <w:szCs w:val="22"/>
              </w:rPr>
              <w:t>647.977</w:t>
            </w:r>
          </w:p>
        </w:tc>
      </w:tr>
      <w:tr w:rsidR="00F851CC" w:rsidRPr="00DA59D4" w14:paraId="10AACAF6" w14:textId="77777777" w:rsidTr="007A6126">
        <w:trPr>
          <w:trHeight w:val="324"/>
        </w:trPr>
        <w:tc>
          <w:tcPr>
            <w:tcW w:w="1872" w:type="pct"/>
            <w:tcBorders>
              <w:top w:val="nil"/>
              <w:left w:val="nil"/>
              <w:bottom w:val="nil"/>
              <w:right w:val="nil"/>
            </w:tcBorders>
            <w:shd w:val="clear" w:color="auto" w:fill="auto"/>
            <w:noWrap/>
            <w:vAlign w:val="bottom"/>
            <w:hideMark/>
          </w:tcPr>
          <w:p w14:paraId="2F2D89F3" w14:textId="77777777" w:rsidR="00F851CC" w:rsidRPr="00DA59D4" w:rsidRDefault="00F851CC" w:rsidP="007A6126">
            <w:pPr>
              <w:pStyle w:val="Brezrazmikov"/>
              <w:rPr>
                <w:sz w:val="22"/>
                <w:szCs w:val="22"/>
              </w:rPr>
            </w:pPr>
            <w:r w:rsidRPr="00DA59D4">
              <w:rPr>
                <w:sz w:val="22"/>
                <w:szCs w:val="22"/>
              </w:rPr>
              <w:t xml:space="preserve">Neopredmetena sredstva   </w:t>
            </w:r>
          </w:p>
        </w:tc>
        <w:tc>
          <w:tcPr>
            <w:tcW w:w="796" w:type="pct"/>
            <w:tcBorders>
              <w:top w:val="nil"/>
              <w:left w:val="nil"/>
              <w:bottom w:val="nil"/>
              <w:right w:val="nil"/>
            </w:tcBorders>
            <w:shd w:val="clear" w:color="auto" w:fill="auto"/>
            <w:noWrap/>
            <w:vAlign w:val="bottom"/>
            <w:hideMark/>
          </w:tcPr>
          <w:p w14:paraId="0111FB7C" w14:textId="77777777" w:rsidR="00F851CC" w:rsidRPr="00DA59D4" w:rsidRDefault="00F851CC" w:rsidP="007A6126">
            <w:pPr>
              <w:pStyle w:val="Brezrazmikov"/>
              <w:rPr>
                <w:sz w:val="22"/>
                <w:szCs w:val="22"/>
              </w:rPr>
            </w:pPr>
            <w:r w:rsidRPr="00DA59D4">
              <w:rPr>
                <w:sz w:val="22"/>
                <w:szCs w:val="22"/>
              </w:rPr>
              <w:t>167.882</w:t>
            </w:r>
          </w:p>
        </w:tc>
        <w:tc>
          <w:tcPr>
            <w:tcW w:w="583" w:type="pct"/>
            <w:tcBorders>
              <w:top w:val="nil"/>
              <w:left w:val="nil"/>
              <w:bottom w:val="nil"/>
              <w:right w:val="nil"/>
            </w:tcBorders>
            <w:shd w:val="clear" w:color="auto" w:fill="auto"/>
            <w:noWrap/>
            <w:vAlign w:val="bottom"/>
            <w:hideMark/>
          </w:tcPr>
          <w:p w14:paraId="29E96D1C" w14:textId="77777777" w:rsidR="00F851CC" w:rsidRPr="00DA59D4" w:rsidRDefault="00F851CC" w:rsidP="007A6126">
            <w:pPr>
              <w:pStyle w:val="Brezrazmikov"/>
              <w:rPr>
                <w:sz w:val="22"/>
                <w:szCs w:val="22"/>
              </w:rPr>
            </w:pPr>
            <w:r w:rsidRPr="00DA59D4">
              <w:rPr>
                <w:sz w:val="22"/>
                <w:szCs w:val="22"/>
              </w:rPr>
              <w:t>181.600</w:t>
            </w:r>
          </w:p>
        </w:tc>
        <w:tc>
          <w:tcPr>
            <w:tcW w:w="583" w:type="pct"/>
            <w:tcBorders>
              <w:top w:val="nil"/>
              <w:left w:val="nil"/>
              <w:bottom w:val="nil"/>
              <w:right w:val="nil"/>
            </w:tcBorders>
            <w:shd w:val="clear" w:color="auto" w:fill="auto"/>
            <w:noWrap/>
            <w:vAlign w:val="bottom"/>
            <w:hideMark/>
          </w:tcPr>
          <w:p w14:paraId="7B0B9353" w14:textId="77777777" w:rsidR="00F851CC" w:rsidRPr="00DA59D4" w:rsidRDefault="00F851CC" w:rsidP="007A6126">
            <w:pPr>
              <w:pStyle w:val="Brezrazmikov"/>
              <w:rPr>
                <w:sz w:val="22"/>
                <w:szCs w:val="22"/>
              </w:rPr>
            </w:pPr>
            <w:r w:rsidRPr="00DA59D4">
              <w:rPr>
                <w:sz w:val="22"/>
                <w:szCs w:val="22"/>
              </w:rPr>
              <w:t>196.032</w:t>
            </w:r>
          </w:p>
        </w:tc>
        <w:tc>
          <w:tcPr>
            <w:tcW w:w="583" w:type="pct"/>
            <w:tcBorders>
              <w:top w:val="nil"/>
              <w:left w:val="nil"/>
              <w:bottom w:val="nil"/>
              <w:right w:val="nil"/>
            </w:tcBorders>
            <w:shd w:val="clear" w:color="auto" w:fill="auto"/>
            <w:noWrap/>
            <w:vAlign w:val="bottom"/>
            <w:hideMark/>
          </w:tcPr>
          <w:p w14:paraId="061FDFCA" w14:textId="77777777" w:rsidR="00F851CC" w:rsidRPr="00DA59D4" w:rsidRDefault="00F851CC" w:rsidP="007A6126">
            <w:pPr>
              <w:pStyle w:val="Brezrazmikov"/>
              <w:rPr>
                <w:sz w:val="22"/>
                <w:szCs w:val="22"/>
              </w:rPr>
            </w:pPr>
            <w:r w:rsidRPr="00DA59D4">
              <w:rPr>
                <w:sz w:val="22"/>
                <w:szCs w:val="22"/>
              </w:rPr>
              <w:t>208.872</w:t>
            </w:r>
          </w:p>
        </w:tc>
        <w:tc>
          <w:tcPr>
            <w:tcW w:w="583" w:type="pct"/>
            <w:tcBorders>
              <w:top w:val="nil"/>
              <w:left w:val="nil"/>
              <w:bottom w:val="nil"/>
              <w:right w:val="nil"/>
            </w:tcBorders>
            <w:shd w:val="clear" w:color="auto" w:fill="auto"/>
            <w:noWrap/>
            <w:vAlign w:val="bottom"/>
            <w:hideMark/>
          </w:tcPr>
          <w:p w14:paraId="0FD8F139" w14:textId="77777777" w:rsidR="00F851CC" w:rsidRPr="00DA59D4" w:rsidRDefault="00F851CC" w:rsidP="007A6126">
            <w:pPr>
              <w:pStyle w:val="Brezrazmikov"/>
              <w:rPr>
                <w:sz w:val="22"/>
                <w:szCs w:val="22"/>
              </w:rPr>
            </w:pPr>
            <w:r w:rsidRPr="00DA59D4">
              <w:rPr>
                <w:sz w:val="22"/>
                <w:szCs w:val="22"/>
              </w:rPr>
              <w:t>223.575</w:t>
            </w:r>
          </w:p>
        </w:tc>
      </w:tr>
      <w:tr w:rsidR="00F851CC" w:rsidRPr="00DA59D4" w14:paraId="1E7B80D2" w14:textId="77777777" w:rsidTr="007A6126">
        <w:trPr>
          <w:trHeight w:val="324"/>
        </w:trPr>
        <w:tc>
          <w:tcPr>
            <w:tcW w:w="1872" w:type="pct"/>
            <w:tcBorders>
              <w:top w:val="nil"/>
              <w:left w:val="nil"/>
              <w:bottom w:val="nil"/>
              <w:right w:val="nil"/>
            </w:tcBorders>
            <w:shd w:val="clear" w:color="auto" w:fill="auto"/>
            <w:noWrap/>
            <w:vAlign w:val="bottom"/>
            <w:hideMark/>
          </w:tcPr>
          <w:p w14:paraId="0338FC23" w14:textId="77777777" w:rsidR="00F851CC" w:rsidRPr="00DA59D4" w:rsidRDefault="00F851CC" w:rsidP="007A6126">
            <w:pPr>
              <w:pStyle w:val="Brezrazmikov"/>
              <w:rPr>
                <w:sz w:val="22"/>
                <w:szCs w:val="22"/>
              </w:rPr>
            </w:pPr>
            <w:r w:rsidRPr="00DA59D4">
              <w:rPr>
                <w:sz w:val="22"/>
                <w:szCs w:val="22"/>
              </w:rPr>
              <w:t xml:space="preserve">Nepremičnine, naprave in oprema </w:t>
            </w:r>
          </w:p>
        </w:tc>
        <w:tc>
          <w:tcPr>
            <w:tcW w:w="796" w:type="pct"/>
            <w:tcBorders>
              <w:top w:val="nil"/>
              <w:left w:val="nil"/>
              <w:bottom w:val="nil"/>
              <w:right w:val="nil"/>
            </w:tcBorders>
            <w:shd w:val="clear" w:color="auto" w:fill="auto"/>
            <w:noWrap/>
            <w:vAlign w:val="bottom"/>
            <w:hideMark/>
          </w:tcPr>
          <w:p w14:paraId="3C2D8A1B" w14:textId="77777777" w:rsidR="00F851CC" w:rsidRPr="00DA59D4" w:rsidRDefault="00F851CC" w:rsidP="007A6126">
            <w:pPr>
              <w:pStyle w:val="Brezrazmikov"/>
              <w:rPr>
                <w:sz w:val="22"/>
                <w:szCs w:val="22"/>
              </w:rPr>
            </w:pPr>
            <w:r w:rsidRPr="00DA59D4">
              <w:rPr>
                <w:sz w:val="22"/>
                <w:szCs w:val="22"/>
              </w:rPr>
              <w:t>356.552</w:t>
            </w:r>
          </w:p>
        </w:tc>
        <w:tc>
          <w:tcPr>
            <w:tcW w:w="583" w:type="pct"/>
            <w:tcBorders>
              <w:top w:val="nil"/>
              <w:left w:val="nil"/>
              <w:bottom w:val="nil"/>
              <w:right w:val="nil"/>
            </w:tcBorders>
            <w:shd w:val="clear" w:color="auto" w:fill="auto"/>
            <w:noWrap/>
            <w:vAlign w:val="bottom"/>
            <w:hideMark/>
          </w:tcPr>
          <w:p w14:paraId="3A17FAEA" w14:textId="77777777" w:rsidR="00F851CC" w:rsidRPr="00DA59D4" w:rsidRDefault="00F851CC" w:rsidP="007A6126">
            <w:pPr>
              <w:pStyle w:val="Brezrazmikov"/>
              <w:rPr>
                <w:sz w:val="22"/>
                <w:szCs w:val="22"/>
              </w:rPr>
            </w:pPr>
            <w:r w:rsidRPr="00DA59D4">
              <w:rPr>
                <w:sz w:val="22"/>
                <w:szCs w:val="22"/>
              </w:rPr>
              <w:t>356.089</w:t>
            </w:r>
          </w:p>
        </w:tc>
        <w:tc>
          <w:tcPr>
            <w:tcW w:w="583" w:type="pct"/>
            <w:tcBorders>
              <w:top w:val="nil"/>
              <w:left w:val="nil"/>
              <w:bottom w:val="nil"/>
              <w:right w:val="nil"/>
            </w:tcBorders>
            <w:shd w:val="clear" w:color="auto" w:fill="auto"/>
            <w:noWrap/>
            <w:vAlign w:val="bottom"/>
            <w:hideMark/>
          </w:tcPr>
          <w:p w14:paraId="4501A9F7" w14:textId="77777777" w:rsidR="00F851CC" w:rsidRPr="00DA59D4" w:rsidRDefault="00F851CC" w:rsidP="007A6126">
            <w:pPr>
              <w:pStyle w:val="Brezrazmikov"/>
              <w:rPr>
                <w:sz w:val="22"/>
                <w:szCs w:val="22"/>
              </w:rPr>
            </w:pPr>
            <w:r w:rsidRPr="00DA59D4">
              <w:rPr>
                <w:sz w:val="22"/>
                <w:szCs w:val="22"/>
              </w:rPr>
              <w:t>366.210</w:t>
            </w:r>
          </w:p>
        </w:tc>
        <w:tc>
          <w:tcPr>
            <w:tcW w:w="583" w:type="pct"/>
            <w:tcBorders>
              <w:top w:val="nil"/>
              <w:left w:val="nil"/>
              <w:bottom w:val="nil"/>
              <w:right w:val="nil"/>
            </w:tcBorders>
            <w:shd w:val="clear" w:color="auto" w:fill="auto"/>
            <w:noWrap/>
            <w:vAlign w:val="bottom"/>
            <w:hideMark/>
          </w:tcPr>
          <w:p w14:paraId="6BE24317" w14:textId="77777777" w:rsidR="00F851CC" w:rsidRPr="00DA59D4" w:rsidRDefault="00F851CC" w:rsidP="007A6126">
            <w:pPr>
              <w:pStyle w:val="Brezrazmikov"/>
              <w:rPr>
                <w:sz w:val="22"/>
                <w:szCs w:val="22"/>
              </w:rPr>
            </w:pPr>
            <w:r w:rsidRPr="00DA59D4">
              <w:rPr>
                <w:sz w:val="22"/>
                <w:szCs w:val="22"/>
              </w:rPr>
              <w:t>366.212</w:t>
            </w:r>
          </w:p>
        </w:tc>
        <w:tc>
          <w:tcPr>
            <w:tcW w:w="583" w:type="pct"/>
            <w:tcBorders>
              <w:top w:val="nil"/>
              <w:left w:val="nil"/>
              <w:bottom w:val="nil"/>
              <w:right w:val="nil"/>
            </w:tcBorders>
            <w:shd w:val="clear" w:color="auto" w:fill="auto"/>
            <w:noWrap/>
            <w:vAlign w:val="bottom"/>
            <w:hideMark/>
          </w:tcPr>
          <w:p w14:paraId="6234CBCE" w14:textId="77777777" w:rsidR="00F851CC" w:rsidRPr="00DA59D4" w:rsidRDefault="00F851CC" w:rsidP="007A6126">
            <w:pPr>
              <w:pStyle w:val="Brezrazmikov"/>
              <w:rPr>
                <w:sz w:val="22"/>
                <w:szCs w:val="22"/>
              </w:rPr>
            </w:pPr>
            <w:r w:rsidRPr="00DA59D4">
              <w:rPr>
                <w:sz w:val="22"/>
                <w:szCs w:val="22"/>
              </w:rPr>
              <w:t>371.835</w:t>
            </w:r>
          </w:p>
        </w:tc>
      </w:tr>
      <w:tr w:rsidR="00F851CC" w:rsidRPr="00DA59D4" w14:paraId="397BF877" w14:textId="77777777" w:rsidTr="007A6126">
        <w:trPr>
          <w:trHeight w:val="324"/>
        </w:trPr>
        <w:tc>
          <w:tcPr>
            <w:tcW w:w="1872" w:type="pct"/>
            <w:tcBorders>
              <w:top w:val="nil"/>
              <w:left w:val="nil"/>
              <w:bottom w:val="nil"/>
              <w:right w:val="nil"/>
            </w:tcBorders>
            <w:shd w:val="clear" w:color="auto" w:fill="auto"/>
            <w:noWrap/>
            <w:vAlign w:val="bottom"/>
            <w:hideMark/>
          </w:tcPr>
          <w:p w14:paraId="0309A9BF" w14:textId="77777777" w:rsidR="00F851CC" w:rsidRPr="00DA59D4" w:rsidRDefault="00F851CC" w:rsidP="007A6126">
            <w:pPr>
              <w:pStyle w:val="Brezrazmikov"/>
              <w:rPr>
                <w:sz w:val="22"/>
                <w:szCs w:val="22"/>
              </w:rPr>
            </w:pPr>
            <w:r w:rsidRPr="00DA59D4">
              <w:rPr>
                <w:sz w:val="22"/>
                <w:szCs w:val="22"/>
              </w:rPr>
              <w:t xml:space="preserve">Naložbene nepremičnine   </w:t>
            </w:r>
          </w:p>
        </w:tc>
        <w:tc>
          <w:tcPr>
            <w:tcW w:w="796" w:type="pct"/>
            <w:tcBorders>
              <w:top w:val="nil"/>
              <w:left w:val="nil"/>
              <w:bottom w:val="nil"/>
              <w:right w:val="nil"/>
            </w:tcBorders>
            <w:shd w:val="clear" w:color="auto" w:fill="auto"/>
            <w:noWrap/>
            <w:vAlign w:val="bottom"/>
            <w:hideMark/>
          </w:tcPr>
          <w:p w14:paraId="24C1B35E" w14:textId="77777777" w:rsidR="00F851CC" w:rsidRPr="00DA59D4" w:rsidRDefault="00F851CC" w:rsidP="007A6126">
            <w:pPr>
              <w:pStyle w:val="Brezrazmikov"/>
              <w:rPr>
                <w:sz w:val="22"/>
                <w:szCs w:val="22"/>
              </w:rPr>
            </w:pPr>
            <w:r w:rsidRPr="00DA59D4">
              <w:rPr>
                <w:sz w:val="22"/>
                <w:szCs w:val="22"/>
              </w:rPr>
              <w:t>28.129</w:t>
            </w:r>
          </w:p>
        </w:tc>
        <w:tc>
          <w:tcPr>
            <w:tcW w:w="583" w:type="pct"/>
            <w:tcBorders>
              <w:top w:val="nil"/>
              <w:left w:val="nil"/>
              <w:bottom w:val="nil"/>
              <w:right w:val="nil"/>
            </w:tcBorders>
            <w:shd w:val="clear" w:color="auto" w:fill="auto"/>
            <w:noWrap/>
            <w:vAlign w:val="bottom"/>
            <w:hideMark/>
          </w:tcPr>
          <w:p w14:paraId="360AF2B8" w14:textId="77777777" w:rsidR="00F851CC" w:rsidRPr="00DA59D4" w:rsidRDefault="00F851CC" w:rsidP="007A6126">
            <w:pPr>
              <w:pStyle w:val="Brezrazmikov"/>
              <w:rPr>
                <w:sz w:val="22"/>
                <w:szCs w:val="22"/>
              </w:rPr>
            </w:pPr>
            <w:r w:rsidRPr="00DA59D4">
              <w:rPr>
                <w:sz w:val="22"/>
                <w:szCs w:val="22"/>
              </w:rPr>
              <w:t>18.931</w:t>
            </w:r>
          </w:p>
        </w:tc>
        <w:tc>
          <w:tcPr>
            <w:tcW w:w="583" w:type="pct"/>
            <w:tcBorders>
              <w:top w:val="nil"/>
              <w:left w:val="nil"/>
              <w:bottom w:val="nil"/>
              <w:right w:val="nil"/>
            </w:tcBorders>
            <w:shd w:val="clear" w:color="auto" w:fill="auto"/>
            <w:noWrap/>
            <w:vAlign w:val="bottom"/>
            <w:hideMark/>
          </w:tcPr>
          <w:p w14:paraId="5D0E57F5" w14:textId="77777777" w:rsidR="00F851CC" w:rsidRPr="00DA59D4" w:rsidRDefault="00F851CC" w:rsidP="007A6126">
            <w:pPr>
              <w:pStyle w:val="Brezrazmikov"/>
              <w:rPr>
                <w:sz w:val="22"/>
                <w:szCs w:val="22"/>
              </w:rPr>
            </w:pPr>
            <w:r w:rsidRPr="00DA59D4">
              <w:rPr>
                <w:sz w:val="22"/>
                <w:szCs w:val="22"/>
              </w:rPr>
              <w:t>17.148</w:t>
            </w:r>
          </w:p>
        </w:tc>
        <w:tc>
          <w:tcPr>
            <w:tcW w:w="583" w:type="pct"/>
            <w:tcBorders>
              <w:top w:val="nil"/>
              <w:left w:val="nil"/>
              <w:bottom w:val="nil"/>
              <w:right w:val="nil"/>
            </w:tcBorders>
            <w:shd w:val="clear" w:color="auto" w:fill="auto"/>
            <w:noWrap/>
            <w:vAlign w:val="bottom"/>
            <w:hideMark/>
          </w:tcPr>
          <w:p w14:paraId="0A51270D" w14:textId="77777777" w:rsidR="00F851CC" w:rsidRPr="00DA59D4" w:rsidRDefault="00F851CC" w:rsidP="007A6126">
            <w:pPr>
              <w:pStyle w:val="Brezrazmikov"/>
              <w:rPr>
                <w:sz w:val="22"/>
                <w:szCs w:val="22"/>
              </w:rPr>
            </w:pPr>
            <w:r w:rsidRPr="00DA59D4">
              <w:rPr>
                <w:sz w:val="22"/>
                <w:szCs w:val="22"/>
              </w:rPr>
              <w:t>14.957</w:t>
            </w:r>
          </w:p>
        </w:tc>
        <w:tc>
          <w:tcPr>
            <w:tcW w:w="583" w:type="pct"/>
            <w:tcBorders>
              <w:top w:val="nil"/>
              <w:left w:val="nil"/>
              <w:bottom w:val="nil"/>
              <w:right w:val="nil"/>
            </w:tcBorders>
            <w:shd w:val="clear" w:color="auto" w:fill="auto"/>
            <w:noWrap/>
            <w:vAlign w:val="bottom"/>
            <w:hideMark/>
          </w:tcPr>
          <w:p w14:paraId="6653D76A" w14:textId="77777777" w:rsidR="00F851CC" w:rsidRPr="00DA59D4" w:rsidRDefault="00F851CC" w:rsidP="007A6126">
            <w:pPr>
              <w:pStyle w:val="Brezrazmikov"/>
              <w:rPr>
                <w:sz w:val="22"/>
                <w:szCs w:val="22"/>
              </w:rPr>
            </w:pPr>
            <w:r w:rsidRPr="00DA59D4">
              <w:rPr>
                <w:sz w:val="22"/>
                <w:szCs w:val="22"/>
              </w:rPr>
              <w:t>9.849</w:t>
            </w:r>
          </w:p>
        </w:tc>
      </w:tr>
      <w:tr w:rsidR="00F851CC" w:rsidRPr="00DA59D4" w14:paraId="4F1DDECB" w14:textId="77777777" w:rsidTr="007A6126">
        <w:trPr>
          <w:trHeight w:val="324"/>
        </w:trPr>
        <w:tc>
          <w:tcPr>
            <w:tcW w:w="1872" w:type="pct"/>
            <w:tcBorders>
              <w:top w:val="nil"/>
              <w:left w:val="nil"/>
              <w:bottom w:val="nil"/>
              <w:right w:val="nil"/>
            </w:tcBorders>
            <w:shd w:val="clear" w:color="auto" w:fill="auto"/>
            <w:noWrap/>
            <w:vAlign w:val="bottom"/>
            <w:hideMark/>
          </w:tcPr>
          <w:p w14:paraId="63F7C9D7" w14:textId="77777777" w:rsidR="00F851CC" w:rsidRPr="00DA59D4" w:rsidRDefault="00F851CC" w:rsidP="007A6126">
            <w:pPr>
              <w:pStyle w:val="Brezrazmikov"/>
              <w:rPr>
                <w:sz w:val="22"/>
                <w:szCs w:val="22"/>
              </w:rPr>
            </w:pPr>
            <w:r w:rsidRPr="00DA59D4">
              <w:rPr>
                <w:sz w:val="22"/>
                <w:szCs w:val="22"/>
              </w:rPr>
              <w:t xml:space="preserve">Druge dolgoročne finančne naložbe </w:t>
            </w:r>
          </w:p>
        </w:tc>
        <w:tc>
          <w:tcPr>
            <w:tcW w:w="796" w:type="pct"/>
            <w:tcBorders>
              <w:top w:val="nil"/>
              <w:left w:val="nil"/>
              <w:bottom w:val="nil"/>
              <w:right w:val="nil"/>
            </w:tcBorders>
            <w:shd w:val="clear" w:color="auto" w:fill="auto"/>
            <w:noWrap/>
            <w:vAlign w:val="bottom"/>
            <w:hideMark/>
          </w:tcPr>
          <w:p w14:paraId="34072A6D" w14:textId="77777777" w:rsidR="00F851CC" w:rsidRPr="00DA59D4" w:rsidRDefault="00F851CC" w:rsidP="007A6126">
            <w:pPr>
              <w:pStyle w:val="Brezrazmikov"/>
              <w:rPr>
                <w:sz w:val="22"/>
                <w:szCs w:val="22"/>
              </w:rPr>
            </w:pPr>
            <w:r w:rsidRPr="00DA59D4">
              <w:rPr>
                <w:sz w:val="22"/>
                <w:szCs w:val="22"/>
              </w:rPr>
              <w:t>5.527</w:t>
            </w:r>
          </w:p>
        </w:tc>
        <w:tc>
          <w:tcPr>
            <w:tcW w:w="583" w:type="pct"/>
            <w:tcBorders>
              <w:top w:val="nil"/>
              <w:left w:val="nil"/>
              <w:bottom w:val="nil"/>
              <w:right w:val="nil"/>
            </w:tcBorders>
            <w:shd w:val="clear" w:color="auto" w:fill="auto"/>
            <w:noWrap/>
            <w:vAlign w:val="bottom"/>
            <w:hideMark/>
          </w:tcPr>
          <w:p w14:paraId="11F371F7" w14:textId="77777777" w:rsidR="00F851CC" w:rsidRPr="00DA59D4" w:rsidRDefault="00F851CC" w:rsidP="007A6126">
            <w:pPr>
              <w:pStyle w:val="Brezrazmikov"/>
              <w:rPr>
                <w:sz w:val="22"/>
                <w:szCs w:val="22"/>
              </w:rPr>
            </w:pPr>
            <w:r w:rsidRPr="00DA59D4">
              <w:rPr>
                <w:sz w:val="22"/>
                <w:szCs w:val="22"/>
              </w:rPr>
              <w:t>5.125</w:t>
            </w:r>
          </w:p>
        </w:tc>
        <w:tc>
          <w:tcPr>
            <w:tcW w:w="583" w:type="pct"/>
            <w:tcBorders>
              <w:top w:val="nil"/>
              <w:left w:val="nil"/>
              <w:bottom w:val="nil"/>
              <w:right w:val="nil"/>
            </w:tcBorders>
            <w:shd w:val="clear" w:color="auto" w:fill="auto"/>
            <w:noWrap/>
            <w:vAlign w:val="bottom"/>
            <w:hideMark/>
          </w:tcPr>
          <w:p w14:paraId="4367C674" w14:textId="77777777" w:rsidR="00F851CC" w:rsidRPr="00DA59D4" w:rsidRDefault="00F851CC" w:rsidP="007A6126">
            <w:pPr>
              <w:pStyle w:val="Brezrazmikov"/>
              <w:rPr>
                <w:sz w:val="22"/>
                <w:szCs w:val="22"/>
              </w:rPr>
            </w:pPr>
            <w:r w:rsidRPr="00DA59D4">
              <w:rPr>
                <w:sz w:val="22"/>
                <w:szCs w:val="22"/>
              </w:rPr>
              <w:t>2.942</w:t>
            </w:r>
          </w:p>
        </w:tc>
        <w:tc>
          <w:tcPr>
            <w:tcW w:w="583" w:type="pct"/>
            <w:tcBorders>
              <w:top w:val="nil"/>
              <w:left w:val="nil"/>
              <w:bottom w:val="nil"/>
              <w:right w:val="nil"/>
            </w:tcBorders>
            <w:shd w:val="clear" w:color="auto" w:fill="auto"/>
            <w:noWrap/>
            <w:vAlign w:val="bottom"/>
            <w:hideMark/>
          </w:tcPr>
          <w:p w14:paraId="7F35330B" w14:textId="77777777" w:rsidR="00F851CC" w:rsidRPr="00DA59D4" w:rsidRDefault="00F851CC" w:rsidP="007A6126">
            <w:pPr>
              <w:pStyle w:val="Brezrazmikov"/>
              <w:rPr>
                <w:sz w:val="22"/>
                <w:szCs w:val="22"/>
              </w:rPr>
            </w:pPr>
            <w:r w:rsidRPr="00DA59D4">
              <w:rPr>
                <w:sz w:val="22"/>
                <w:szCs w:val="22"/>
              </w:rPr>
              <w:t>6.563</w:t>
            </w:r>
          </w:p>
        </w:tc>
        <w:tc>
          <w:tcPr>
            <w:tcW w:w="583" w:type="pct"/>
            <w:tcBorders>
              <w:top w:val="nil"/>
              <w:left w:val="nil"/>
              <w:bottom w:val="nil"/>
              <w:right w:val="nil"/>
            </w:tcBorders>
            <w:shd w:val="clear" w:color="auto" w:fill="auto"/>
            <w:noWrap/>
            <w:vAlign w:val="bottom"/>
            <w:hideMark/>
          </w:tcPr>
          <w:p w14:paraId="36F42435" w14:textId="77777777" w:rsidR="00F851CC" w:rsidRPr="00DA59D4" w:rsidRDefault="00F851CC" w:rsidP="007A6126">
            <w:pPr>
              <w:pStyle w:val="Brezrazmikov"/>
              <w:rPr>
                <w:sz w:val="22"/>
                <w:szCs w:val="22"/>
              </w:rPr>
            </w:pPr>
            <w:r w:rsidRPr="00DA59D4">
              <w:rPr>
                <w:sz w:val="22"/>
                <w:szCs w:val="22"/>
              </w:rPr>
              <w:t>3.483</w:t>
            </w:r>
          </w:p>
        </w:tc>
      </w:tr>
      <w:tr w:rsidR="00F851CC" w:rsidRPr="00DA59D4" w14:paraId="46FD2EAF" w14:textId="77777777" w:rsidTr="007A6126">
        <w:trPr>
          <w:trHeight w:val="312"/>
        </w:trPr>
        <w:tc>
          <w:tcPr>
            <w:tcW w:w="1872" w:type="pct"/>
            <w:tcBorders>
              <w:top w:val="nil"/>
              <w:left w:val="nil"/>
              <w:bottom w:val="nil"/>
              <w:right w:val="nil"/>
            </w:tcBorders>
            <w:shd w:val="clear" w:color="auto" w:fill="auto"/>
            <w:noWrap/>
            <w:vAlign w:val="bottom"/>
            <w:hideMark/>
          </w:tcPr>
          <w:p w14:paraId="47F8EDE8" w14:textId="77777777" w:rsidR="00F851CC" w:rsidRPr="00DA59D4" w:rsidRDefault="00F851CC" w:rsidP="007A6126">
            <w:pPr>
              <w:pStyle w:val="Brezrazmikov"/>
              <w:rPr>
                <w:sz w:val="22"/>
                <w:szCs w:val="22"/>
              </w:rPr>
            </w:pPr>
            <w:r w:rsidRPr="00DA59D4">
              <w:rPr>
                <w:sz w:val="22"/>
                <w:szCs w:val="22"/>
              </w:rPr>
              <w:t xml:space="preserve">Dolgoročne poslovne terjatve  </w:t>
            </w:r>
          </w:p>
        </w:tc>
        <w:tc>
          <w:tcPr>
            <w:tcW w:w="796" w:type="pct"/>
            <w:tcBorders>
              <w:top w:val="nil"/>
              <w:left w:val="nil"/>
              <w:bottom w:val="nil"/>
              <w:right w:val="nil"/>
            </w:tcBorders>
            <w:shd w:val="clear" w:color="auto" w:fill="auto"/>
            <w:noWrap/>
            <w:vAlign w:val="bottom"/>
            <w:hideMark/>
          </w:tcPr>
          <w:p w14:paraId="33CBC728" w14:textId="77777777" w:rsidR="00F851CC" w:rsidRPr="00DA59D4" w:rsidRDefault="00F851CC" w:rsidP="007A6126">
            <w:pPr>
              <w:pStyle w:val="Brezrazmikov"/>
              <w:rPr>
                <w:sz w:val="22"/>
                <w:szCs w:val="22"/>
              </w:rPr>
            </w:pPr>
            <w:r w:rsidRPr="00DA59D4">
              <w:rPr>
                <w:sz w:val="22"/>
                <w:szCs w:val="22"/>
              </w:rPr>
              <w:t>10.559</w:t>
            </w:r>
          </w:p>
        </w:tc>
        <w:tc>
          <w:tcPr>
            <w:tcW w:w="583" w:type="pct"/>
            <w:tcBorders>
              <w:top w:val="nil"/>
              <w:left w:val="nil"/>
              <w:bottom w:val="nil"/>
              <w:right w:val="nil"/>
            </w:tcBorders>
            <w:shd w:val="clear" w:color="auto" w:fill="auto"/>
            <w:noWrap/>
            <w:vAlign w:val="bottom"/>
            <w:hideMark/>
          </w:tcPr>
          <w:p w14:paraId="2BA41642" w14:textId="77777777" w:rsidR="00F851CC" w:rsidRPr="00DA59D4" w:rsidRDefault="00F851CC" w:rsidP="007A6126">
            <w:pPr>
              <w:pStyle w:val="Brezrazmikov"/>
              <w:rPr>
                <w:sz w:val="22"/>
                <w:szCs w:val="22"/>
              </w:rPr>
            </w:pPr>
            <w:r w:rsidRPr="00DA59D4">
              <w:rPr>
                <w:sz w:val="22"/>
                <w:szCs w:val="22"/>
              </w:rPr>
              <w:t>6.988</w:t>
            </w:r>
          </w:p>
        </w:tc>
        <w:tc>
          <w:tcPr>
            <w:tcW w:w="583" w:type="pct"/>
            <w:tcBorders>
              <w:top w:val="nil"/>
              <w:left w:val="nil"/>
              <w:bottom w:val="nil"/>
              <w:right w:val="nil"/>
            </w:tcBorders>
            <w:shd w:val="clear" w:color="auto" w:fill="auto"/>
            <w:noWrap/>
            <w:vAlign w:val="bottom"/>
            <w:hideMark/>
          </w:tcPr>
          <w:p w14:paraId="50F6BBD1" w14:textId="77777777" w:rsidR="00F851CC" w:rsidRPr="00DA59D4" w:rsidRDefault="00F851CC" w:rsidP="007A6126">
            <w:pPr>
              <w:pStyle w:val="Brezrazmikov"/>
              <w:rPr>
                <w:sz w:val="22"/>
                <w:szCs w:val="22"/>
              </w:rPr>
            </w:pPr>
            <w:r w:rsidRPr="00DA59D4">
              <w:rPr>
                <w:sz w:val="22"/>
                <w:szCs w:val="22"/>
              </w:rPr>
              <w:t>5.743</w:t>
            </w:r>
          </w:p>
        </w:tc>
        <w:tc>
          <w:tcPr>
            <w:tcW w:w="583" w:type="pct"/>
            <w:tcBorders>
              <w:top w:val="nil"/>
              <w:left w:val="nil"/>
              <w:bottom w:val="nil"/>
              <w:right w:val="nil"/>
            </w:tcBorders>
            <w:shd w:val="clear" w:color="auto" w:fill="auto"/>
            <w:noWrap/>
            <w:vAlign w:val="bottom"/>
            <w:hideMark/>
          </w:tcPr>
          <w:p w14:paraId="2490129A" w14:textId="77777777" w:rsidR="00F851CC" w:rsidRPr="00DA59D4" w:rsidRDefault="00F851CC" w:rsidP="007A6126">
            <w:pPr>
              <w:pStyle w:val="Brezrazmikov"/>
              <w:rPr>
                <w:sz w:val="22"/>
                <w:szCs w:val="22"/>
              </w:rPr>
            </w:pPr>
            <w:r w:rsidRPr="00DA59D4">
              <w:rPr>
                <w:sz w:val="22"/>
                <w:szCs w:val="22"/>
              </w:rPr>
              <w:t>2.481</w:t>
            </w:r>
          </w:p>
        </w:tc>
        <w:tc>
          <w:tcPr>
            <w:tcW w:w="583" w:type="pct"/>
            <w:tcBorders>
              <w:top w:val="nil"/>
              <w:left w:val="nil"/>
              <w:bottom w:val="nil"/>
              <w:right w:val="nil"/>
            </w:tcBorders>
            <w:shd w:val="clear" w:color="auto" w:fill="auto"/>
            <w:noWrap/>
            <w:vAlign w:val="bottom"/>
            <w:hideMark/>
          </w:tcPr>
          <w:p w14:paraId="462650F9" w14:textId="77777777" w:rsidR="00F851CC" w:rsidRPr="00DA59D4" w:rsidRDefault="00F851CC" w:rsidP="007A6126">
            <w:pPr>
              <w:pStyle w:val="Brezrazmikov"/>
              <w:rPr>
                <w:sz w:val="22"/>
                <w:szCs w:val="22"/>
              </w:rPr>
            </w:pPr>
            <w:r w:rsidRPr="00DA59D4">
              <w:rPr>
                <w:sz w:val="22"/>
                <w:szCs w:val="22"/>
              </w:rPr>
              <w:t>7.375</w:t>
            </w:r>
          </w:p>
        </w:tc>
      </w:tr>
      <w:tr w:rsidR="00F851CC" w:rsidRPr="00DA59D4" w14:paraId="3E77654C" w14:textId="77777777" w:rsidTr="007A6126">
        <w:trPr>
          <w:trHeight w:val="312"/>
        </w:trPr>
        <w:tc>
          <w:tcPr>
            <w:tcW w:w="1872" w:type="pct"/>
            <w:tcBorders>
              <w:top w:val="nil"/>
              <w:left w:val="nil"/>
              <w:bottom w:val="nil"/>
              <w:right w:val="nil"/>
            </w:tcBorders>
            <w:shd w:val="clear" w:color="auto" w:fill="auto"/>
            <w:noWrap/>
            <w:vAlign w:val="bottom"/>
            <w:hideMark/>
          </w:tcPr>
          <w:p w14:paraId="79F4BB53" w14:textId="77777777" w:rsidR="00F851CC" w:rsidRPr="00DA59D4" w:rsidRDefault="00F851CC" w:rsidP="007A6126">
            <w:pPr>
              <w:pStyle w:val="Brezrazmikov"/>
              <w:rPr>
                <w:sz w:val="22"/>
                <w:szCs w:val="22"/>
              </w:rPr>
            </w:pPr>
            <w:r w:rsidRPr="00DA59D4">
              <w:rPr>
                <w:sz w:val="22"/>
                <w:szCs w:val="22"/>
              </w:rPr>
              <w:t xml:space="preserve">Odložene terjatve za davke </w:t>
            </w:r>
          </w:p>
        </w:tc>
        <w:tc>
          <w:tcPr>
            <w:tcW w:w="796" w:type="pct"/>
            <w:tcBorders>
              <w:top w:val="nil"/>
              <w:left w:val="nil"/>
              <w:bottom w:val="nil"/>
              <w:right w:val="nil"/>
            </w:tcBorders>
            <w:shd w:val="clear" w:color="auto" w:fill="auto"/>
            <w:noWrap/>
            <w:vAlign w:val="bottom"/>
            <w:hideMark/>
          </w:tcPr>
          <w:p w14:paraId="3CC3517E" w14:textId="77777777" w:rsidR="00F851CC" w:rsidRPr="00DA59D4" w:rsidRDefault="00F851CC" w:rsidP="007A6126">
            <w:pPr>
              <w:pStyle w:val="Brezrazmikov"/>
              <w:rPr>
                <w:sz w:val="22"/>
                <w:szCs w:val="22"/>
              </w:rPr>
            </w:pPr>
            <w:r w:rsidRPr="00DA59D4">
              <w:rPr>
                <w:sz w:val="22"/>
                <w:szCs w:val="22"/>
              </w:rPr>
              <w:t>24.530</w:t>
            </w:r>
          </w:p>
        </w:tc>
        <w:tc>
          <w:tcPr>
            <w:tcW w:w="583" w:type="pct"/>
            <w:tcBorders>
              <w:top w:val="nil"/>
              <w:left w:val="nil"/>
              <w:bottom w:val="nil"/>
              <w:right w:val="nil"/>
            </w:tcBorders>
            <w:shd w:val="clear" w:color="auto" w:fill="auto"/>
            <w:noWrap/>
            <w:vAlign w:val="bottom"/>
            <w:hideMark/>
          </w:tcPr>
          <w:p w14:paraId="2C1A2FCF" w14:textId="77777777" w:rsidR="00F851CC" w:rsidRPr="00DA59D4" w:rsidRDefault="00F851CC" w:rsidP="007A6126">
            <w:pPr>
              <w:pStyle w:val="Brezrazmikov"/>
              <w:rPr>
                <w:sz w:val="22"/>
                <w:szCs w:val="22"/>
              </w:rPr>
            </w:pPr>
            <w:r w:rsidRPr="00DA59D4">
              <w:rPr>
                <w:sz w:val="22"/>
                <w:szCs w:val="22"/>
              </w:rPr>
              <w:t>24.723</w:t>
            </w:r>
          </w:p>
        </w:tc>
        <w:tc>
          <w:tcPr>
            <w:tcW w:w="583" w:type="pct"/>
            <w:tcBorders>
              <w:top w:val="nil"/>
              <w:left w:val="nil"/>
              <w:bottom w:val="nil"/>
              <w:right w:val="nil"/>
            </w:tcBorders>
            <w:shd w:val="clear" w:color="auto" w:fill="auto"/>
            <w:noWrap/>
            <w:vAlign w:val="bottom"/>
            <w:hideMark/>
          </w:tcPr>
          <w:p w14:paraId="03A8D44C" w14:textId="77777777" w:rsidR="00F851CC" w:rsidRPr="00DA59D4" w:rsidRDefault="00F851CC" w:rsidP="007A6126">
            <w:pPr>
              <w:pStyle w:val="Brezrazmikov"/>
              <w:rPr>
                <w:sz w:val="22"/>
                <w:szCs w:val="22"/>
              </w:rPr>
            </w:pPr>
            <w:r w:rsidRPr="00DA59D4">
              <w:rPr>
                <w:sz w:val="22"/>
                <w:szCs w:val="22"/>
              </w:rPr>
              <w:t>24.480</w:t>
            </w:r>
          </w:p>
        </w:tc>
        <w:tc>
          <w:tcPr>
            <w:tcW w:w="583" w:type="pct"/>
            <w:tcBorders>
              <w:top w:val="nil"/>
              <w:left w:val="nil"/>
              <w:bottom w:val="nil"/>
              <w:right w:val="nil"/>
            </w:tcBorders>
            <w:shd w:val="clear" w:color="auto" w:fill="auto"/>
            <w:noWrap/>
            <w:vAlign w:val="bottom"/>
            <w:hideMark/>
          </w:tcPr>
          <w:p w14:paraId="7EE50EA5" w14:textId="77777777" w:rsidR="00F851CC" w:rsidRPr="00DA59D4" w:rsidRDefault="00F851CC" w:rsidP="007A6126">
            <w:pPr>
              <w:pStyle w:val="Brezrazmikov"/>
              <w:rPr>
                <w:sz w:val="22"/>
                <w:szCs w:val="22"/>
              </w:rPr>
            </w:pPr>
            <w:r w:rsidRPr="00DA59D4">
              <w:rPr>
                <w:sz w:val="22"/>
                <w:szCs w:val="22"/>
              </w:rPr>
              <w:t>27.236</w:t>
            </w:r>
          </w:p>
        </w:tc>
        <w:tc>
          <w:tcPr>
            <w:tcW w:w="583" w:type="pct"/>
            <w:tcBorders>
              <w:top w:val="nil"/>
              <w:left w:val="nil"/>
              <w:bottom w:val="nil"/>
              <w:right w:val="nil"/>
            </w:tcBorders>
            <w:shd w:val="clear" w:color="auto" w:fill="auto"/>
            <w:noWrap/>
            <w:vAlign w:val="bottom"/>
            <w:hideMark/>
          </w:tcPr>
          <w:p w14:paraId="346FC222" w14:textId="77777777" w:rsidR="00F851CC" w:rsidRPr="00DA59D4" w:rsidRDefault="00F851CC" w:rsidP="007A6126">
            <w:pPr>
              <w:pStyle w:val="Brezrazmikov"/>
              <w:rPr>
                <w:sz w:val="22"/>
                <w:szCs w:val="22"/>
              </w:rPr>
            </w:pPr>
            <w:r w:rsidRPr="00DA59D4">
              <w:rPr>
                <w:sz w:val="22"/>
                <w:szCs w:val="22"/>
              </w:rPr>
              <w:t>27.551</w:t>
            </w:r>
          </w:p>
        </w:tc>
      </w:tr>
      <w:tr w:rsidR="00F851CC" w:rsidRPr="00DA59D4" w14:paraId="4BFD12F7" w14:textId="77777777" w:rsidTr="007A6126">
        <w:trPr>
          <w:trHeight w:val="312"/>
        </w:trPr>
        <w:tc>
          <w:tcPr>
            <w:tcW w:w="1872" w:type="pct"/>
            <w:tcBorders>
              <w:top w:val="single" w:sz="4" w:space="0" w:color="auto"/>
              <w:left w:val="nil"/>
              <w:bottom w:val="single" w:sz="4" w:space="0" w:color="auto"/>
              <w:right w:val="nil"/>
            </w:tcBorders>
            <w:shd w:val="clear" w:color="auto" w:fill="auto"/>
            <w:noWrap/>
            <w:vAlign w:val="bottom"/>
            <w:hideMark/>
          </w:tcPr>
          <w:p w14:paraId="0575F160" w14:textId="77777777" w:rsidR="00F851CC" w:rsidRPr="00DA59D4" w:rsidRDefault="00F851CC" w:rsidP="007A6126">
            <w:pPr>
              <w:pStyle w:val="Brezrazmikov"/>
              <w:rPr>
                <w:b/>
                <w:bCs/>
                <w:sz w:val="22"/>
                <w:szCs w:val="22"/>
              </w:rPr>
            </w:pPr>
            <w:r w:rsidRPr="00DA59D4">
              <w:rPr>
                <w:b/>
                <w:bCs/>
                <w:sz w:val="22"/>
                <w:szCs w:val="22"/>
              </w:rPr>
              <w:t xml:space="preserve">Kratkoročna sredstva   </w:t>
            </w:r>
          </w:p>
        </w:tc>
        <w:tc>
          <w:tcPr>
            <w:tcW w:w="796" w:type="pct"/>
            <w:tcBorders>
              <w:top w:val="single" w:sz="4" w:space="0" w:color="auto"/>
              <w:left w:val="nil"/>
              <w:bottom w:val="single" w:sz="4" w:space="0" w:color="auto"/>
              <w:right w:val="nil"/>
            </w:tcBorders>
            <w:shd w:val="clear" w:color="auto" w:fill="auto"/>
            <w:noWrap/>
            <w:vAlign w:val="bottom"/>
            <w:hideMark/>
          </w:tcPr>
          <w:p w14:paraId="18B99E68" w14:textId="77777777" w:rsidR="00F851CC" w:rsidRPr="00DA59D4" w:rsidRDefault="00F851CC" w:rsidP="007A6126">
            <w:pPr>
              <w:pStyle w:val="Brezrazmikov"/>
              <w:rPr>
                <w:b/>
                <w:bCs/>
                <w:sz w:val="22"/>
                <w:szCs w:val="22"/>
              </w:rPr>
            </w:pPr>
            <w:r w:rsidRPr="00DA59D4">
              <w:rPr>
                <w:b/>
                <w:bCs/>
                <w:sz w:val="22"/>
                <w:szCs w:val="22"/>
              </w:rPr>
              <w:t>554.175</w:t>
            </w:r>
          </w:p>
        </w:tc>
        <w:tc>
          <w:tcPr>
            <w:tcW w:w="583" w:type="pct"/>
            <w:tcBorders>
              <w:top w:val="single" w:sz="4" w:space="0" w:color="auto"/>
              <w:left w:val="nil"/>
              <w:bottom w:val="single" w:sz="4" w:space="0" w:color="auto"/>
              <w:right w:val="nil"/>
            </w:tcBorders>
            <w:shd w:val="clear" w:color="auto" w:fill="auto"/>
            <w:noWrap/>
            <w:vAlign w:val="bottom"/>
            <w:hideMark/>
          </w:tcPr>
          <w:p w14:paraId="23FECDE8" w14:textId="77777777" w:rsidR="00F851CC" w:rsidRPr="00DA59D4" w:rsidRDefault="00F851CC" w:rsidP="007A6126">
            <w:pPr>
              <w:pStyle w:val="Brezrazmikov"/>
              <w:rPr>
                <w:b/>
                <w:bCs/>
                <w:sz w:val="22"/>
                <w:szCs w:val="22"/>
              </w:rPr>
            </w:pPr>
            <w:r w:rsidRPr="00DA59D4">
              <w:rPr>
                <w:b/>
                <w:bCs/>
                <w:sz w:val="22"/>
                <w:szCs w:val="22"/>
              </w:rPr>
              <w:t>507.820</w:t>
            </w:r>
          </w:p>
        </w:tc>
        <w:tc>
          <w:tcPr>
            <w:tcW w:w="583" w:type="pct"/>
            <w:tcBorders>
              <w:top w:val="single" w:sz="4" w:space="0" w:color="auto"/>
              <w:left w:val="nil"/>
              <w:bottom w:val="single" w:sz="4" w:space="0" w:color="auto"/>
              <w:right w:val="nil"/>
            </w:tcBorders>
            <w:shd w:val="clear" w:color="auto" w:fill="auto"/>
            <w:noWrap/>
            <w:vAlign w:val="bottom"/>
            <w:hideMark/>
          </w:tcPr>
          <w:p w14:paraId="012DF3C2" w14:textId="77777777" w:rsidR="00F851CC" w:rsidRPr="00DA59D4" w:rsidRDefault="00F851CC" w:rsidP="007A6126">
            <w:pPr>
              <w:pStyle w:val="Brezrazmikov"/>
              <w:rPr>
                <w:b/>
                <w:bCs/>
                <w:sz w:val="22"/>
                <w:szCs w:val="22"/>
              </w:rPr>
            </w:pPr>
            <w:r w:rsidRPr="00DA59D4">
              <w:rPr>
                <w:b/>
                <w:bCs/>
                <w:sz w:val="22"/>
                <w:szCs w:val="22"/>
              </w:rPr>
              <w:t>487.149</w:t>
            </w:r>
          </w:p>
        </w:tc>
        <w:tc>
          <w:tcPr>
            <w:tcW w:w="583" w:type="pct"/>
            <w:tcBorders>
              <w:top w:val="single" w:sz="4" w:space="0" w:color="auto"/>
              <w:left w:val="nil"/>
              <w:bottom w:val="single" w:sz="4" w:space="0" w:color="auto"/>
              <w:right w:val="nil"/>
            </w:tcBorders>
            <w:shd w:val="clear" w:color="auto" w:fill="auto"/>
            <w:noWrap/>
            <w:vAlign w:val="bottom"/>
            <w:hideMark/>
          </w:tcPr>
          <w:p w14:paraId="5AED0EF9" w14:textId="77777777" w:rsidR="00F851CC" w:rsidRPr="00DA59D4" w:rsidRDefault="00F851CC" w:rsidP="007A6126">
            <w:pPr>
              <w:pStyle w:val="Brezrazmikov"/>
              <w:rPr>
                <w:b/>
                <w:bCs/>
                <w:sz w:val="22"/>
                <w:szCs w:val="22"/>
              </w:rPr>
            </w:pPr>
            <w:r w:rsidRPr="00DA59D4">
              <w:rPr>
                <w:b/>
                <w:bCs/>
                <w:sz w:val="22"/>
                <w:szCs w:val="22"/>
              </w:rPr>
              <w:t>494.648</w:t>
            </w:r>
          </w:p>
        </w:tc>
        <w:tc>
          <w:tcPr>
            <w:tcW w:w="583" w:type="pct"/>
            <w:tcBorders>
              <w:top w:val="single" w:sz="4" w:space="0" w:color="auto"/>
              <w:left w:val="nil"/>
              <w:bottom w:val="single" w:sz="4" w:space="0" w:color="auto"/>
              <w:right w:val="nil"/>
            </w:tcBorders>
            <w:shd w:val="clear" w:color="auto" w:fill="auto"/>
            <w:noWrap/>
            <w:vAlign w:val="bottom"/>
            <w:hideMark/>
          </w:tcPr>
          <w:p w14:paraId="53645AD2" w14:textId="77777777" w:rsidR="00F851CC" w:rsidRPr="00DA59D4" w:rsidRDefault="00F851CC" w:rsidP="007A6126">
            <w:pPr>
              <w:pStyle w:val="Brezrazmikov"/>
              <w:rPr>
                <w:b/>
                <w:bCs/>
                <w:sz w:val="22"/>
                <w:szCs w:val="22"/>
              </w:rPr>
            </w:pPr>
            <w:r w:rsidRPr="00DA59D4">
              <w:rPr>
                <w:b/>
                <w:bCs/>
                <w:sz w:val="22"/>
                <w:szCs w:val="22"/>
              </w:rPr>
              <w:t>495.139</w:t>
            </w:r>
          </w:p>
        </w:tc>
      </w:tr>
      <w:tr w:rsidR="00F851CC" w:rsidRPr="00DA59D4" w14:paraId="7FDDDBC6" w14:textId="77777777" w:rsidTr="007A6126">
        <w:trPr>
          <w:trHeight w:val="324"/>
        </w:trPr>
        <w:tc>
          <w:tcPr>
            <w:tcW w:w="1872" w:type="pct"/>
            <w:tcBorders>
              <w:top w:val="nil"/>
              <w:left w:val="nil"/>
              <w:bottom w:val="nil"/>
              <w:right w:val="nil"/>
            </w:tcBorders>
            <w:shd w:val="clear" w:color="auto" w:fill="auto"/>
            <w:noWrap/>
            <w:vAlign w:val="bottom"/>
            <w:hideMark/>
          </w:tcPr>
          <w:p w14:paraId="46CD5E0E" w14:textId="77777777" w:rsidR="00F851CC" w:rsidRPr="00DA59D4" w:rsidRDefault="00F851CC" w:rsidP="007A6126">
            <w:pPr>
              <w:pStyle w:val="Brezrazmikov"/>
              <w:rPr>
                <w:sz w:val="22"/>
                <w:szCs w:val="22"/>
              </w:rPr>
            </w:pPr>
            <w:proofErr w:type="spellStart"/>
            <w:r w:rsidRPr="00DA59D4">
              <w:rPr>
                <w:sz w:val="22"/>
                <w:szCs w:val="22"/>
              </w:rPr>
              <w:t>Nekratkoročna</w:t>
            </w:r>
            <w:proofErr w:type="spellEnd"/>
            <w:r w:rsidRPr="00DA59D4">
              <w:rPr>
                <w:sz w:val="22"/>
                <w:szCs w:val="22"/>
              </w:rPr>
              <w:t xml:space="preserve"> sredstva za prodajo </w:t>
            </w:r>
          </w:p>
        </w:tc>
        <w:tc>
          <w:tcPr>
            <w:tcW w:w="796" w:type="pct"/>
            <w:tcBorders>
              <w:top w:val="nil"/>
              <w:left w:val="nil"/>
              <w:bottom w:val="nil"/>
              <w:right w:val="nil"/>
            </w:tcBorders>
            <w:shd w:val="clear" w:color="auto" w:fill="auto"/>
            <w:noWrap/>
            <w:vAlign w:val="bottom"/>
            <w:hideMark/>
          </w:tcPr>
          <w:p w14:paraId="4F9E0E22" w14:textId="77777777" w:rsidR="00F851CC" w:rsidRPr="00DA59D4" w:rsidRDefault="00F851CC" w:rsidP="007A6126">
            <w:pPr>
              <w:pStyle w:val="Brezrazmikov"/>
              <w:rPr>
                <w:sz w:val="22"/>
                <w:szCs w:val="22"/>
              </w:rPr>
            </w:pPr>
            <w:r w:rsidRPr="00DA59D4">
              <w:rPr>
                <w:sz w:val="22"/>
                <w:szCs w:val="22"/>
              </w:rPr>
              <w:t>1.655</w:t>
            </w:r>
          </w:p>
        </w:tc>
        <w:tc>
          <w:tcPr>
            <w:tcW w:w="583" w:type="pct"/>
            <w:tcBorders>
              <w:top w:val="nil"/>
              <w:left w:val="nil"/>
              <w:bottom w:val="nil"/>
              <w:right w:val="nil"/>
            </w:tcBorders>
            <w:shd w:val="clear" w:color="auto" w:fill="auto"/>
            <w:noWrap/>
            <w:vAlign w:val="bottom"/>
            <w:hideMark/>
          </w:tcPr>
          <w:p w14:paraId="7D912064" w14:textId="77777777" w:rsidR="00F851CC" w:rsidRPr="00DA59D4" w:rsidRDefault="00F851CC" w:rsidP="007A6126">
            <w:pPr>
              <w:pStyle w:val="Brezrazmikov"/>
              <w:rPr>
                <w:sz w:val="22"/>
                <w:szCs w:val="22"/>
              </w:rPr>
            </w:pPr>
            <w:r w:rsidRPr="00DA59D4">
              <w:rPr>
                <w:sz w:val="22"/>
                <w:szCs w:val="22"/>
              </w:rPr>
              <w:t>1.648</w:t>
            </w:r>
          </w:p>
        </w:tc>
        <w:tc>
          <w:tcPr>
            <w:tcW w:w="583" w:type="pct"/>
            <w:tcBorders>
              <w:top w:val="nil"/>
              <w:left w:val="nil"/>
              <w:bottom w:val="nil"/>
              <w:right w:val="nil"/>
            </w:tcBorders>
            <w:shd w:val="clear" w:color="auto" w:fill="auto"/>
            <w:noWrap/>
            <w:vAlign w:val="bottom"/>
            <w:hideMark/>
          </w:tcPr>
          <w:p w14:paraId="439487B3" w14:textId="77777777" w:rsidR="00F851CC" w:rsidRPr="00DA59D4" w:rsidRDefault="00F851CC" w:rsidP="007A6126">
            <w:pPr>
              <w:pStyle w:val="Brezrazmikov"/>
              <w:rPr>
                <w:sz w:val="22"/>
                <w:szCs w:val="22"/>
              </w:rPr>
            </w:pPr>
            <w:r w:rsidRPr="00DA59D4">
              <w:rPr>
                <w:sz w:val="22"/>
                <w:szCs w:val="22"/>
              </w:rPr>
              <w:t>309</w:t>
            </w:r>
          </w:p>
        </w:tc>
        <w:tc>
          <w:tcPr>
            <w:tcW w:w="583" w:type="pct"/>
            <w:tcBorders>
              <w:top w:val="nil"/>
              <w:left w:val="nil"/>
              <w:bottom w:val="nil"/>
              <w:right w:val="nil"/>
            </w:tcBorders>
            <w:shd w:val="clear" w:color="auto" w:fill="auto"/>
            <w:noWrap/>
            <w:vAlign w:val="bottom"/>
            <w:hideMark/>
          </w:tcPr>
          <w:p w14:paraId="3426C31B" w14:textId="77777777" w:rsidR="00F851CC" w:rsidRPr="00DA59D4" w:rsidRDefault="00F851CC" w:rsidP="007A6126">
            <w:pPr>
              <w:pStyle w:val="Brezrazmikov"/>
              <w:rPr>
                <w:sz w:val="22"/>
                <w:szCs w:val="22"/>
              </w:rPr>
            </w:pPr>
            <w:r w:rsidRPr="00DA59D4">
              <w:rPr>
                <w:sz w:val="22"/>
                <w:szCs w:val="22"/>
              </w:rPr>
              <w:t>314</w:t>
            </w:r>
          </w:p>
        </w:tc>
        <w:tc>
          <w:tcPr>
            <w:tcW w:w="583" w:type="pct"/>
            <w:tcBorders>
              <w:top w:val="nil"/>
              <w:left w:val="nil"/>
              <w:bottom w:val="nil"/>
              <w:right w:val="nil"/>
            </w:tcBorders>
            <w:shd w:val="clear" w:color="auto" w:fill="auto"/>
            <w:noWrap/>
            <w:vAlign w:val="bottom"/>
            <w:hideMark/>
          </w:tcPr>
          <w:p w14:paraId="4E17BDEC" w14:textId="77777777" w:rsidR="00F851CC" w:rsidRPr="00DA59D4" w:rsidRDefault="00F851CC" w:rsidP="007A6126">
            <w:pPr>
              <w:pStyle w:val="Brezrazmikov"/>
              <w:rPr>
                <w:sz w:val="22"/>
                <w:szCs w:val="22"/>
              </w:rPr>
            </w:pPr>
            <w:r w:rsidRPr="00DA59D4">
              <w:rPr>
                <w:sz w:val="22"/>
                <w:szCs w:val="22"/>
              </w:rPr>
              <w:t>305</w:t>
            </w:r>
          </w:p>
        </w:tc>
      </w:tr>
      <w:tr w:rsidR="00F851CC" w:rsidRPr="00DA59D4" w14:paraId="77731891" w14:textId="77777777" w:rsidTr="007A6126">
        <w:trPr>
          <w:trHeight w:val="324"/>
        </w:trPr>
        <w:tc>
          <w:tcPr>
            <w:tcW w:w="1872" w:type="pct"/>
            <w:tcBorders>
              <w:top w:val="nil"/>
              <w:left w:val="nil"/>
              <w:bottom w:val="nil"/>
              <w:right w:val="nil"/>
            </w:tcBorders>
            <w:shd w:val="clear" w:color="auto" w:fill="auto"/>
            <w:noWrap/>
            <w:vAlign w:val="bottom"/>
            <w:hideMark/>
          </w:tcPr>
          <w:p w14:paraId="7D454159" w14:textId="77777777" w:rsidR="00F851CC" w:rsidRPr="00DA59D4" w:rsidRDefault="00F851CC" w:rsidP="007A6126">
            <w:pPr>
              <w:pStyle w:val="Brezrazmikov"/>
              <w:rPr>
                <w:sz w:val="22"/>
                <w:szCs w:val="22"/>
              </w:rPr>
            </w:pPr>
            <w:r w:rsidRPr="00DA59D4">
              <w:rPr>
                <w:sz w:val="22"/>
                <w:szCs w:val="22"/>
              </w:rPr>
              <w:t xml:space="preserve">Zaloge    </w:t>
            </w:r>
          </w:p>
        </w:tc>
        <w:tc>
          <w:tcPr>
            <w:tcW w:w="796" w:type="pct"/>
            <w:tcBorders>
              <w:top w:val="nil"/>
              <w:left w:val="nil"/>
              <w:bottom w:val="nil"/>
              <w:right w:val="nil"/>
            </w:tcBorders>
            <w:shd w:val="clear" w:color="auto" w:fill="auto"/>
            <w:noWrap/>
            <w:vAlign w:val="bottom"/>
            <w:hideMark/>
          </w:tcPr>
          <w:p w14:paraId="64E8EE70" w14:textId="77777777" w:rsidR="00F851CC" w:rsidRPr="00DA59D4" w:rsidRDefault="00F851CC" w:rsidP="007A6126">
            <w:pPr>
              <w:pStyle w:val="Brezrazmikov"/>
              <w:rPr>
                <w:sz w:val="22"/>
                <w:szCs w:val="22"/>
              </w:rPr>
            </w:pPr>
            <w:r w:rsidRPr="00DA59D4">
              <w:rPr>
                <w:sz w:val="22"/>
                <w:szCs w:val="22"/>
              </w:rPr>
              <w:t>235.767</w:t>
            </w:r>
          </w:p>
        </w:tc>
        <w:tc>
          <w:tcPr>
            <w:tcW w:w="583" w:type="pct"/>
            <w:tcBorders>
              <w:top w:val="nil"/>
              <w:left w:val="nil"/>
              <w:bottom w:val="nil"/>
              <w:right w:val="nil"/>
            </w:tcBorders>
            <w:shd w:val="clear" w:color="auto" w:fill="auto"/>
            <w:noWrap/>
            <w:vAlign w:val="bottom"/>
            <w:hideMark/>
          </w:tcPr>
          <w:p w14:paraId="5710294F" w14:textId="77777777" w:rsidR="00F851CC" w:rsidRPr="00DA59D4" w:rsidRDefault="00F851CC" w:rsidP="007A6126">
            <w:pPr>
              <w:pStyle w:val="Brezrazmikov"/>
              <w:rPr>
                <w:sz w:val="22"/>
                <w:szCs w:val="22"/>
              </w:rPr>
            </w:pPr>
            <w:r w:rsidRPr="00DA59D4">
              <w:rPr>
                <w:sz w:val="22"/>
                <w:szCs w:val="22"/>
              </w:rPr>
              <w:t>219.799</w:t>
            </w:r>
          </w:p>
        </w:tc>
        <w:tc>
          <w:tcPr>
            <w:tcW w:w="583" w:type="pct"/>
            <w:tcBorders>
              <w:top w:val="nil"/>
              <w:left w:val="nil"/>
              <w:bottom w:val="nil"/>
              <w:right w:val="nil"/>
            </w:tcBorders>
            <w:shd w:val="clear" w:color="auto" w:fill="auto"/>
            <w:noWrap/>
            <w:vAlign w:val="bottom"/>
            <w:hideMark/>
          </w:tcPr>
          <w:p w14:paraId="220DA7BF" w14:textId="77777777" w:rsidR="00F851CC" w:rsidRPr="00DA59D4" w:rsidRDefault="00F851CC" w:rsidP="007A6126">
            <w:pPr>
              <w:pStyle w:val="Brezrazmikov"/>
              <w:rPr>
                <w:sz w:val="22"/>
                <w:szCs w:val="22"/>
              </w:rPr>
            </w:pPr>
            <w:r w:rsidRPr="00DA59D4">
              <w:rPr>
                <w:sz w:val="22"/>
                <w:szCs w:val="22"/>
              </w:rPr>
              <w:t>225.906</w:t>
            </w:r>
          </w:p>
        </w:tc>
        <w:tc>
          <w:tcPr>
            <w:tcW w:w="583" w:type="pct"/>
            <w:tcBorders>
              <w:top w:val="nil"/>
              <w:left w:val="nil"/>
              <w:bottom w:val="nil"/>
              <w:right w:val="nil"/>
            </w:tcBorders>
            <w:shd w:val="clear" w:color="auto" w:fill="auto"/>
            <w:noWrap/>
            <w:vAlign w:val="bottom"/>
            <w:hideMark/>
          </w:tcPr>
          <w:p w14:paraId="00E92162" w14:textId="77777777" w:rsidR="00F851CC" w:rsidRPr="00DA59D4" w:rsidRDefault="00F851CC" w:rsidP="007A6126">
            <w:pPr>
              <w:pStyle w:val="Brezrazmikov"/>
              <w:rPr>
                <w:sz w:val="22"/>
                <w:szCs w:val="22"/>
              </w:rPr>
            </w:pPr>
            <w:r w:rsidRPr="00DA59D4">
              <w:rPr>
                <w:sz w:val="22"/>
                <w:szCs w:val="22"/>
              </w:rPr>
              <w:t>225.954</w:t>
            </w:r>
          </w:p>
        </w:tc>
        <w:tc>
          <w:tcPr>
            <w:tcW w:w="583" w:type="pct"/>
            <w:tcBorders>
              <w:top w:val="nil"/>
              <w:left w:val="nil"/>
              <w:bottom w:val="nil"/>
              <w:right w:val="nil"/>
            </w:tcBorders>
            <w:shd w:val="clear" w:color="auto" w:fill="auto"/>
            <w:noWrap/>
            <w:vAlign w:val="bottom"/>
            <w:hideMark/>
          </w:tcPr>
          <w:p w14:paraId="0AB25BA9" w14:textId="77777777" w:rsidR="00F851CC" w:rsidRPr="00DA59D4" w:rsidRDefault="00F851CC" w:rsidP="007A6126">
            <w:pPr>
              <w:pStyle w:val="Brezrazmikov"/>
              <w:rPr>
                <w:sz w:val="22"/>
                <w:szCs w:val="22"/>
              </w:rPr>
            </w:pPr>
            <w:r w:rsidRPr="00DA59D4">
              <w:rPr>
                <w:sz w:val="22"/>
                <w:szCs w:val="22"/>
              </w:rPr>
              <w:t>220.619</w:t>
            </w:r>
          </w:p>
        </w:tc>
      </w:tr>
      <w:tr w:rsidR="00F851CC" w:rsidRPr="00DA59D4" w14:paraId="4FF97418" w14:textId="77777777" w:rsidTr="007A6126">
        <w:trPr>
          <w:trHeight w:val="312"/>
        </w:trPr>
        <w:tc>
          <w:tcPr>
            <w:tcW w:w="1872" w:type="pct"/>
            <w:tcBorders>
              <w:top w:val="nil"/>
              <w:left w:val="nil"/>
              <w:bottom w:val="nil"/>
              <w:right w:val="nil"/>
            </w:tcBorders>
            <w:shd w:val="clear" w:color="auto" w:fill="auto"/>
            <w:noWrap/>
            <w:vAlign w:val="bottom"/>
            <w:hideMark/>
          </w:tcPr>
          <w:p w14:paraId="15826488" w14:textId="77777777" w:rsidR="00F851CC" w:rsidRPr="00DA59D4" w:rsidRDefault="00F851CC" w:rsidP="007A6126">
            <w:pPr>
              <w:pStyle w:val="Brezrazmikov"/>
              <w:rPr>
                <w:sz w:val="22"/>
                <w:szCs w:val="22"/>
              </w:rPr>
            </w:pPr>
            <w:r w:rsidRPr="00DA59D4">
              <w:rPr>
                <w:sz w:val="22"/>
                <w:szCs w:val="22"/>
              </w:rPr>
              <w:t xml:space="preserve">Kratkoročne finančne naložbe  </w:t>
            </w:r>
          </w:p>
        </w:tc>
        <w:tc>
          <w:tcPr>
            <w:tcW w:w="796" w:type="pct"/>
            <w:tcBorders>
              <w:top w:val="nil"/>
              <w:left w:val="nil"/>
              <w:bottom w:val="nil"/>
              <w:right w:val="nil"/>
            </w:tcBorders>
            <w:shd w:val="clear" w:color="auto" w:fill="auto"/>
            <w:noWrap/>
            <w:vAlign w:val="bottom"/>
            <w:hideMark/>
          </w:tcPr>
          <w:p w14:paraId="46577C37" w14:textId="77777777" w:rsidR="00F851CC" w:rsidRPr="00DA59D4" w:rsidRDefault="00F851CC" w:rsidP="007A6126">
            <w:pPr>
              <w:pStyle w:val="Brezrazmikov"/>
              <w:rPr>
                <w:sz w:val="22"/>
                <w:szCs w:val="22"/>
              </w:rPr>
            </w:pPr>
            <w:r w:rsidRPr="00DA59D4">
              <w:rPr>
                <w:sz w:val="22"/>
                <w:szCs w:val="22"/>
              </w:rPr>
              <w:t>17.202</w:t>
            </w:r>
          </w:p>
        </w:tc>
        <w:tc>
          <w:tcPr>
            <w:tcW w:w="583" w:type="pct"/>
            <w:tcBorders>
              <w:top w:val="nil"/>
              <w:left w:val="nil"/>
              <w:bottom w:val="nil"/>
              <w:right w:val="nil"/>
            </w:tcBorders>
            <w:shd w:val="clear" w:color="auto" w:fill="auto"/>
            <w:noWrap/>
            <w:vAlign w:val="bottom"/>
            <w:hideMark/>
          </w:tcPr>
          <w:p w14:paraId="25451669" w14:textId="77777777" w:rsidR="00F851CC" w:rsidRPr="00DA59D4" w:rsidRDefault="00F851CC" w:rsidP="007A6126">
            <w:pPr>
              <w:pStyle w:val="Brezrazmikov"/>
              <w:rPr>
                <w:sz w:val="22"/>
                <w:szCs w:val="22"/>
              </w:rPr>
            </w:pPr>
            <w:r w:rsidRPr="00DA59D4">
              <w:rPr>
                <w:sz w:val="22"/>
                <w:szCs w:val="22"/>
              </w:rPr>
              <w:t>20.481</w:t>
            </w:r>
          </w:p>
        </w:tc>
        <w:tc>
          <w:tcPr>
            <w:tcW w:w="583" w:type="pct"/>
            <w:tcBorders>
              <w:top w:val="nil"/>
              <w:left w:val="nil"/>
              <w:bottom w:val="nil"/>
              <w:right w:val="nil"/>
            </w:tcBorders>
            <w:shd w:val="clear" w:color="auto" w:fill="auto"/>
            <w:noWrap/>
            <w:vAlign w:val="bottom"/>
            <w:hideMark/>
          </w:tcPr>
          <w:p w14:paraId="6679781C" w14:textId="77777777" w:rsidR="00F851CC" w:rsidRPr="00DA59D4" w:rsidRDefault="00F851CC" w:rsidP="007A6126">
            <w:pPr>
              <w:pStyle w:val="Brezrazmikov"/>
              <w:rPr>
                <w:sz w:val="22"/>
                <w:szCs w:val="22"/>
              </w:rPr>
            </w:pPr>
            <w:r w:rsidRPr="00DA59D4">
              <w:rPr>
                <w:sz w:val="22"/>
                <w:szCs w:val="22"/>
              </w:rPr>
              <w:t>16.370</w:t>
            </w:r>
          </w:p>
        </w:tc>
        <w:tc>
          <w:tcPr>
            <w:tcW w:w="583" w:type="pct"/>
            <w:tcBorders>
              <w:top w:val="nil"/>
              <w:left w:val="nil"/>
              <w:bottom w:val="nil"/>
              <w:right w:val="nil"/>
            </w:tcBorders>
            <w:shd w:val="clear" w:color="auto" w:fill="auto"/>
            <w:noWrap/>
            <w:vAlign w:val="bottom"/>
            <w:hideMark/>
          </w:tcPr>
          <w:p w14:paraId="5D01AC54" w14:textId="77777777" w:rsidR="00F851CC" w:rsidRPr="00DA59D4" w:rsidRDefault="00F851CC" w:rsidP="007A6126">
            <w:pPr>
              <w:pStyle w:val="Brezrazmikov"/>
              <w:rPr>
                <w:sz w:val="22"/>
                <w:szCs w:val="22"/>
              </w:rPr>
            </w:pPr>
            <w:r w:rsidRPr="00DA59D4">
              <w:rPr>
                <w:sz w:val="22"/>
                <w:szCs w:val="22"/>
              </w:rPr>
              <w:t>8.821</w:t>
            </w:r>
          </w:p>
        </w:tc>
        <w:tc>
          <w:tcPr>
            <w:tcW w:w="583" w:type="pct"/>
            <w:tcBorders>
              <w:top w:val="nil"/>
              <w:left w:val="nil"/>
              <w:bottom w:val="nil"/>
              <w:right w:val="nil"/>
            </w:tcBorders>
            <w:shd w:val="clear" w:color="auto" w:fill="auto"/>
            <w:noWrap/>
            <w:vAlign w:val="bottom"/>
            <w:hideMark/>
          </w:tcPr>
          <w:p w14:paraId="243CEA69" w14:textId="77777777" w:rsidR="00F851CC" w:rsidRPr="00DA59D4" w:rsidRDefault="00F851CC" w:rsidP="007A6126">
            <w:pPr>
              <w:pStyle w:val="Brezrazmikov"/>
              <w:rPr>
                <w:sz w:val="22"/>
                <w:szCs w:val="22"/>
              </w:rPr>
            </w:pPr>
            <w:r w:rsidRPr="00DA59D4">
              <w:rPr>
                <w:sz w:val="22"/>
                <w:szCs w:val="22"/>
              </w:rPr>
              <w:t>8.059</w:t>
            </w:r>
          </w:p>
        </w:tc>
      </w:tr>
      <w:tr w:rsidR="00F851CC" w:rsidRPr="00DA59D4" w14:paraId="56FBDAE9" w14:textId="77777777" w:rsidTr="007A6126">
        <w:trPr>
          <w:trHeight w:val="312"/>
        </w:trPr>
        <w:tc>
          <w:tcPr>
            <w:tcW w:w="1872" w:type="pct"/>
            <w:tcBorders>
              <w:top w:val="nil"/>
              <w:left w:val="nil"/>
              <w:bottom w:val="nil"/>
              <w:right w:val="nil"/>
            </w:tcBorders>
            <w:shd w:val="clear" w:color="auto" w:fill="auto"/>
            <w:noWrap/>
            <w:vAlign w:val="bottom"/>
            <w:hideMark/>
          </w:tcPr>
          <w:p w14:paraId="2FE78E2B" w14:textId="77777777" w:rsidR="00F851CC" w:rsidRPr="00DA59D4" w:rsidRDefault="00F851CC" w:rsidP="007A6126">
            <w:pPr>
              <w:pStyle w:val="Brezrazmikov"/>
              <w:rPr>
                <w:sz w:val="22"/>
                <w:szCs w:val="22"/>
              </w:rPr>
            </w:pPr>
            <w:r w:rsidRPr="00DA59D4">
              <w:rPr>
                <w:sz w:val="22"/>
                <w:szCs w:val="22"/>
              </w:rPr>
              <w:t xml:space="preserve">Terjatve do kupcev  </w:t>
            </w:r>
          </w:p>
        </w:tc>
        <w:tc>
          <w:tcPr>
            <w:tcW w:w="796" w:type="pct"/>
            <w:tcBorders>
              <w:top w:val="nil"/>
              <w:left w:val="nil"/>
              <w:bottom w:val="nil"/>
              <w:right w:val="nil"/>
            </w:tcBorders>
            <w:shd w:val="clear" w:color="auto" w:fill="auto"/>
            <w:noWrap/>
            <w:vAlign w:val="bottom"/>
            <w:hideMark/>
          </w:tcPr>
          <w:p w14:paraId="6145CC1B" w14:textId="77777777" w:rsidR="00F851CC" w:rsidRPr="00DA59D4" w:rsidRDefault="00F851CC" w:rsidP="007A6126">
            <w:pPr>
              <w:pStyle w:val="Brezrazmikov"/>
              <w:rPr>
                <w:sz w:val="22"/>
                <w:szCs w:val="22"/>
              </w:rPr>
            </w:pPr>
            <w:r w:rsidRPr="00DA59D4">
              <w:rPr>
                <w:sz w:val="22"/>
                <w:szCs w:val="22"/>
              </w:rPr>
              <w:t>205.581</w:t>
            </w:r>
          </w:p>
        </w:tc>
        <w:tc>
          <w:tcPr>
            <w:tcW w:w="583" w:type="pct"/>
            <w:tcBorders>
              <w:top w:val="nil"/>
              <w:left w:val="nil"/>
              <w:bottom w:val="nil"/>
              <w:right w:val="nil"/>
            </w:tcBorders>
            <w:shd w:val="clear" w:color="auto" w:fill="auto"/>
            <w:noWrap/>
            <w:vAlign w:val="bottom"/>
            <w:hideMark/>
          </w:tcPr>
          <w:p w14:paraId="4DB40265" w14:textId="77777777" w:rsidR="00F851CC" w:rsidRPr="00DA59D4" w:rsidRDefault="00F851CC" w:rsidP="007A6126">
            <w:pPr>
              <w:pStyle w:val="Brezrazmikov"/>
              <w:rPr>
                <w:sz w:val="22"/>
                <w:szCs w:val="22"/>
              </w:rPr>
            </w:pPr>
            <w:r w:rsidRPr="00DA59D4">
              <w:rPr>
                <w:sz w:val="22"/>
                <w:szCs w:val="22"/>
              </w:rPr>
              <w:t>182.589</w:t>
            </w:r>
          </w:p>
        </w:tc>
        <w:tc>
          <w:tcPr>
            <w:tcW w:w="583" w:type="pct"/>
            <w:tcBorders>
              <w:top w:val="nil"/>
              <w:left w:val="nil"/>
              <w:bottom w:val="nil"/>
              <w:right w:val="nil"/>
            </w:tcBorders>
            <w:shd w:val="clear" w:color="auto" w:fill="auto"/>
            <w:noWrap/>
            <w:vAlign w:val="bottom"/>
            <w:hideMark/>
          </w:tcPr>
          <w:p w14:paraId="0DCCCDB0" w14:textId="77777777" w:rsidR="00F851CC" w:rsidRPr="00DA59D4" w:rsidRDefault="00F851CC" w:rsidP="007A6126">
            <w:pPr>
              <w:pStyle w:val="Brezrazmikov"/>
              <w:rPr>
                <w:sz w:val="22"/>
                <w:szCs w:val="22"/>
              </w:rPr>
            </w:pPr>
            <w:r w:rsidRPr="00DA59D4">
              <w:rPr>
                <w:sz w:val="22"/>
                <w:szCs w:val="22"/>
              </w:rPr>
              <w:t>161.020</w:t>
            </w:r>
          </w:p>
        </w:tc>
        <w:tc>
          <w:tcPr>
            <w:tcW w:w="583" w:type="pct"/>
            <w:tcBorders>
              <w:top w:val="nil"/>
              <w:left w:val="nil"/>
              <w:bottom w:val="nil"/>
              <w:right w:val="nil"/>
            </w:tcBorders>
            <w:shd w:val="clear" w:color="auto" w:fill="auto"/>
            <w:noWrap/>
            <w:vAlign w:val="bottom"/>
            <w:hideMark/>
          </w:tcPr>
          <w:p w14:paraId="04FB891F" w14:textId="77777777" w:rsidR="00F851CC" w:rsidRPr="00DA59D4" w:rsidRDefault="00F851CC" w:rsidP="007A6126">
            <w:pPr>
              <w:pStyle w:val="Brezrazmikov"/>
              <w:rPr>
                <w:sz w:val="22"/>
                <w:szCs w:val="22"/>
              </w:rPr>
            </w:pPr>
            <w:r w:rsidRPr="00DA59D4">
              <w:rPr>
                <w:sz w:val="22"/>
                <w:szCs w:val="22"/>
              </w:rPr>
              <w:t>165.786</w:t>
            </w:r>
          </w:p>
        </w:tc>
        <w:tc>
          <w:tcPr>
            <w:tcW w:w="583" w:type="pct"/>
            <w:tcBorders>
              <w:top w:val="nil"/>
              <w:left w:val="nil"/>
              <w:bottom w:val="nil"/>
              <w:right w:val="nil"/>
            </w:tcBorders>
            <w:shd w:val="clear" w:color="auto" w:fill="auto"/>
            <w:noWrap/>
            <w:vAlign w:val="bottom"/>
            <w:hideMark/>
          </w:tcPr>
          <w:p w14:paraId="40C815DF" w14:textId="77777777" w:rsidR="00F851CC" w:rsidRPr="00DA59D4" w:rsidRDefault="00F851CC" w:rsidP="007A6126">
            <w:pPr>
              <w:pStyle w:val="Brezrazmikov"/>
              <w:rPr>
                <w:sz w:val="22"/>
                <w:szCs w:val="22"/>
              </w:rPr>
            </w:pPr>
            <w:r w:rsidRPr="00DA59D4">
              <w:rPr>
                <w:sz w:val="22"/>
                <w:szCs w:val="22"/>
              </w:rPr>
              <w:t>180.517</w:t>
            </w:r>
          </w:p>
        </w:tc>
      </w:tr>
      <w:tr w:rsidR="00F851CC" w:rsidRPr="00DA59D4" w14:paraId="47304FEC" w14:textId="77777777" w:rsidTr="007A6126">
        <w:trPr>
          <w:trHeight w:val="324"/>
        </w:trPr>
        <w:tc>
          <w:tcPr>
            <w:tcW w:w="1872" w:type="pct"/>
            <w:tcBorders>
              <w:top w:val="nil"/>
              <w:left w:val="nil"/>
              <w:bottom w:val="nil"/>
              <w:right w:val="nil"/>
            </w:tcBorders>
            <w:shd w:val="clear" w:color="auto" w:fill="auto"/>
            <w:noWrap/>
            <w:vAlign w:val="bottom"/>
            <w:hideMark/>
          </w:tcPr>
          <w:p w14:paraId="170A00C0" w14:textId="77777777" w:rsidR="00F851CC" w:rsidRPr="00DA59D4" w:rsidRDefault="00F851CC" w:rsidP="007A6126">
            <w:pPr>
              <w:pStyle w:val="Brezrazmikov"/>
              <w:rPr>
                <w:sz w:val="22"/>
                <w:szCs w:val="22"/>
              </w:rPr>
            </w:pPr>
            <w:r w:rsidRPr="00DA59D4">
              <w:rPr>
                <w:sz w:val="22"/>
                <w:szCs w:val="22"/>
              </w:rPr>
              <w:t xml:space="preserve">Druga kratkoročna sredstva  </w:t>
            </w:r>
          </w:p>
        </w:tc>
        <w:tc>
          <w:tcPr>
            <w:tcW w:w="796" w:type="pct"/>
            <w:tcBorders>
              <w:top w:val="nil"/>
              <w:left w:val="nil"/>
              <w:bottom w:val="nil"/>
              <w:right w:val="nil"/>
            </w:tcBorders>
            <w:shd w:val="clear" w:color="auto" w:fill="auto"/>
            <w:noWrap/>
            <w:vAlign w:val="bottom"/>
            <w:hideMark/>
          </w:tcPr>
          <w:p w14:paraId="75CB9300" w14:textId="77777777" w:rsidR="00F851CC" w:rsidRPr="00DA59D4" w:rsidRDefault="00F851CC" w:rsidP="007A6126">
            <w:pPr>
              <w:pStyle w:val="Brezrazmikov"/>
              <w:rPr>
                <w:sz w:val="22"/>
                <w:szCs w:val="22"/>
              </w:rPr>
            </w:pPr>
            <w:r w:rsidRPr="00DA59D4">
              <w:rPr>
                <w:sz w:val="22"/>
                <w:szCs w:val="22"/>
              </w:rPr>
              <w:t>45.859</w:t>
            </w:r>
          </w:p>
        </w:tc>
        <w:tc>
          <w:tcPr>
            <w:tcW w:w="583" w:type="pct"/>
            <w:tcBorders>
              <w:top w:val="nil"/>
              <w:left w:val="nil"/>
              <w:bottom w:val="nil"/>
              <w:right w:val="nil"/>
            </w:tcBorders>
            <w:shd w:val="clear" w:color="auto" w:fill="auto"/>
            <w:noWrap/>
            <w:vAlign w:val="bottom"/>
            <w:hideMark/>
          </w:tcPr>
          <w:p w14:paraId="1DD34B42" w14:textId="77777777" w:rsidR="00F851CC" w:rsidRPr="00DA59D4" w:rsidRDefault="00F851CC" w:rsidP="007A6126">
            <w:pPr>
              <w:pStyle w:val="Brezrazmikov"/>
              <w:rPr>
                <w:sz w:val="22"/>
                <w:szCs w:val="22"/>
              </w:rPr>
            </w:pPr>
            <w:r w:rsidRPr="00DA59D4">
              <w:rPr>
                <w:sz w:val="22"/>
                <w:szCs w:val="22"/>
              </w:rPr>
              <w:t>44.207</w:t>
            </w:r>
          </w:p>
        </w:tc>
        <w:tc>
          <w:tcPr>
            <w:tcW w:w="583" w:type="pct"/>
            <w:tcBorders>
              <w:top w:val="nil"/>
              <w:left w:val="nil"/>
              <w:bottom w:val="nil"/>
              <w:right w:val="nil"/>
            </w:tcBorders>
            <w:shd w:val="clear" w:color="auto" w:fill="auto"/>
            <w:noWrap/>
            <w:vAlign w:val="bottom"/>
            <w:hideMark/>
          </w:tcPr>
          <w:p w14:paraId="4DFAD7F3" w14:textId="77777777" w:rsidR="00F851CC" w:rsidRPr="00DA59D4" w:rsidRDefault="00F851CC" w:rsidP="007A6126">
            <w:pPr>
              <w:pStyle w:val="Brezrazmikov"/>
              <w:rPr>
                <w:sz w:val="22"/>
                <w:szCs w:val="22"/>
              </w:rPr>
            </w:pPr>
            <w:r w:rsidRPr="00DA59D4">
              <w:rPr>
                <w:sz w:val="22"/>
                <w:szCs w:val="22"/>
              </w:rPr>
              <w:t>49.017</w:t>
            </w:r>
          </w:p>
        </w:tc>
        <w:tc>
          <w:tcPr>
            <w:tcW w:w="583" w:type="pct"/>
            <w:tcBorders>
              <w:top w:val="nil"/>
              <w:left w:val="nil"/>
              <w:bottom w:val="nil"/>
              <w:right w:val="nil"/>
            </w:tcBorders>
            <w:shd w:val="clear" w:color="auto" w:fill="auto"/>
            <w:noWrap/>
            <w:vAlign w:val="bottom"/>
            <w:hideMark/>
          </w:tcPr>
          <w:p w14:paraId="2B3B6F3A" w14:textId="77777777" w:rsidR="00F851CC" w:rsidRPr="00DA59D4" w:rsidRDefault="00F851CC" w:rsidP="007A6126">
            <w:pPr>
              <w:pStyle w:val="Brezrazmikov"/>
              <w:rPr>
                <w:sz w:val="22"/>
                <w:szCs w:val="22"/>
              </w:rPr>
            </w:pPr>
            <w:r w:rsidRPr="00DA59D4">
              <w:rPr>
                <w:sz w:val="22"/>
                <w:szCs w:val="22"/>
              </w:rPr>
              <w:t>55.258</w:t>
            </w:r>
          </w:p>
        </w:tc>
        <w:tc>
          <w:tcPr>
            <w:tcW w:w="583" w:type="pct"/>
            <w:tcBorders>
              <w:top w:val="nil"/>
              <w:left w:val="nil"/>
              <w:bottom w:val="nil"/>
              <w:right w:val="nil"/>
            </w:tcBorders>
            <w:shd w:val="clear" w:color="auto" w:fill="auto"/>
            <w:noWrap/>
            <w:vAlign w:val="bottom"/>
            <w:hideMark/>
          </w:tcPr>
          <w:p w14:paraId="2226D7C4" w14:textId="77777777" w:rsidR="00F851CC" w:rsidRPr="00DA59D4" w:rsidRDefault="00F851CC" w:rsidP="007A6126">
            <w:pPr>
              <w:pStyle w:val="Brezrazmikov"/>
              <w:rPr>
                <w:sz w:val="22"/>
                <w:szCs w:val="22"/>
              </w:rPr>
            </w:pPr>
            <w:r w:rsidRPr="00DA59D4">
              <w:rPr>
                <w:sz w:val="22"/>
                <w:szCs w:val="22"/>
              </w:rPr>
              <w:t>57.866</w:t>
            </w:r>
          </w:p>
        </w:tc>
      </w:tr>
      <w:tr w:rsidR="00F851CC" w:rsidRPr="00DA59D4" w14:paraId="42F8508A" w14:textId="77777777" w:rsidTr="007A6126">
        <w:trPr>
          <w:trHeight w:val="324"/>
        </w:trPr>
        <w:tc>
          <w:tcPr>
            <w:tcW w:w="1872" w:type="pct"/>
            <w:tcBorders>
              <w:top w:val="nil"/>
              <w:left w:val="nil"/>
              <w:bottom w:val="nil"/>
              <w:right w:val="nil"/>
            </w:tcBorders>
            <w:shd w:val="clear" w:color="auto" w:fill="auto"/>
            <w:noWrap/>
            <w:vAlign w:val="bottom"/>
            <w:hideMark/>
          </w:tcPr>
          <w:p w14:paraId="2376E2C8" w14:textId="77777777" w:rsidR="00F851CC" w:rsidRPr="00DA59D4" w:rsidRDefault="00F851CC" w:rsidP="007A6126">
            <w:pPr>
              <w:pStyle w:val="Brezrazmikov"/>
              <w:rPr>
                <w:sz w:val="22"/>
                <w:szCs w:val="22"/>
              </w:rPr>
            </w:pPr>
            <w:r w:rsidRPr="00DA59D4">
              <w:rPr>
                <w:sz w:val="22"/>
                <w:szCs w:val="22"/>
              </w:rPr>
              <w:t>Terjatve za davek iz dobička</w:t>
            </w:r>
          </w:p>
        </w:tc>
        <w:tc>
          <w:tcPr>
            <w:tcW w:w="796" w:type="pct"/>
            <w:tcBorders>
              <w:top w:val="nil"/>
              <w:left w:val="nil"/>
              <w:bottom w:val="nil"/>
              <w:right w:val="nil"/>
            </w:tcBorders>
            <w:shd w:val="clear" w:color="auto" w:fill="auto"/>
            <w:noWrap/>
            <w:vAlign w:val="bottom"/>
            <w:hideMark/>
          </w:tcPr>
          <w:p w14:paraId="22E6E887" w14:textId="77777777" w:rsidR="00F851CC" w:rsidRPr="00DA59D4" w:rsidRDefault="00F851CC" w:rsidP="007A6126">
            <w:pPr>
              <w:pStyle w:val="Brezrazmikov"/>
              <w:rPr>
                <w:sz w:val="22"/>
                <w:szCs w:val="22"/>
              </w:rPr>
            </w:pPr>
            <w:r w:rsidRPr="00DA59D4">
              <w:rPr>
                <w:sz w:val="22"/>
                <w:szCs w:val="22"/>
              </w:rPr>
              <w:t>2.756</w:t>
            </w:r>
          </w:p>
        </w:tc>
        <w:tc>
          <w:tcPr>
            <w:tcW w:w="583" w:type="pct"/>
            <w:tcBorders>
              <w:top w:val="nil"/>
              <w:left w:val="nil"/>
              <w:bottom w:val="nil"/>
              <w:right w:val="nil"/>
            </w:tcBorders>
            <w:shd w:val="clear" w:color="auto" w:fill="auto"/>
            <w:noWrap/>
            <w:vAlign w:val="bottom"/>
            <w:hideMark/>
          </w:tcPr>
          <w:p w14:paraId="0F733CAB" w14:textId="77777777" w:rsidR="00F851CC" w:rsidRPr="00DA59D4" w:rsidRDefault="00F851CC" w:rsidP="007A6126">
            <w:pPr>
              <w:pStyle w:val="Brezrazmikov"/>
              <w:rPr>
                <w:sz w:val="22"/>
                <w:szCs w:val="22"/>
              </w:rPr>
            </w:pPr>
            <w:r w:rsidRPr="00DA59D4">
              <w:rPr>
                <w:sz w:val="22"/>
                <w:szCs w:val="22"/>
              </w:rPr>
              <w:t>3.034</w:t>
            </w:r>
          </w:p>
        </w:tc>
        <w:tc>
          <w:tcPr>
            <w:tcW w:w="583" w:type="pct"/>
            <w:tcBorders>
              <w:top w:val="nil"/>
              <w:left w:val="nil"/>
              <w:bottom w:val="nil"/>
              <w:right w:val="nil"/>
            </w:tcBorders>
            <w:shd w:val="clear" w:color="auto" w:fill="auto"/>
            <w:noWrap/>
            <w:vAlign w:val="bottom"/>
            <w:hideMark/>
          </w:tcPr>
          <w:p w14:paraId="52EB1362" w14:textId="77777777" w:rsidR="00F851CC" w:rsidRPr="00DA59D4" w:rsidRDefault="00F851CC" w:rsidP="007A6126">
            <w:pPr>
              <w:pStyle w:val="Brezrazmikov"/>
              <w:rPr>
                <w:sz w:val="22"/>
                <w:szCs w:val="22"/>
              </w:rPr>
            </w:pPr>
            <w:r w:rsidRPr="00DA59D4">
              <w:rPr>
                <w:sz w:val="22"/>
                <w:szCs w:val="22"/>
              </w:rPr>
              <w:t>2.917</w:t>
            </w:r>
          </w:p>
        </w:tc>
        <w:tc>
          <w:tcPr>
            <w:tcW w:w="583" w:type="pct"/>
            <w:tcBorders>
              <w:top w:val="nil"/>
              <w:left w:val="nil"/>
              <w:bottom w:val="nil"/>
              <w:right w:val="nil"/>
            </w:tcBorders>
            <w:shd w:val="clear" w:color="auto" w:fill="auto"/>
            <w:noWrap/>
            <w:vAlign w:val="bottom"/>
            <w:hideMark/>
          </w:tcPr>
          <w:p w14:paraId="1F537756" w14:textId="77777777" w:rsidR="00F851CC" w:rsidRPr="00DA59D4" w:rsidRDefault="00F851CC" w:rsidP="007A6126">
            <w:pPr>
              <w:pStyle w:val="Brezrazmikov"/>
              <w:rPr>
                <w:sz w:val="22"/>
                <w:szCs w:val="22"/>
              </w:rPr>
            </w:pPr>
            <w:r w:rsidRPr="00DA59D4">
              <w:rPr>
                <w:sz w:val="22"/>
                <w:szCs w:val="22"/>
              </w:rPr>
              <w:t>3.273</w:t>
            </w:r>
          </w:p>
        </w:tc>
        <w:tc>
          <w:tcPr>
            <w:tcW w:w="583" w:type="pct"/>
            <w:tcBorders>
              <w:top w:val="nil"/>
              <w:left w:val="nil"/>
              <w:bottom w:val="nil"/>
              <w:right w:val="nil"/>
            </w:tcBorders>
            <w:shd w:val="clear" w:color="auto" w:fill="auto"/>
            <w:noWrap/>
            <w:vAlign w:val="bottom"/>
            <w:hideMark/>
          </w:tcPr>
          <w:p w14:paraId="6015E4D3" w14:textId="77777777" w:rsidR="00F851CC" w:rsidRPr="00DA59D4" w:rsidRDefault="00F851CC" w:rsidP="007A6126">
            <w:pPr>
              <w:pStyle w:val="Brezrazmikov"/>
              <w:rPr>
                <w:sz w:val="22"/>
                <w:szCs w:val="22"/>
              </w:rPr>
            </w:pPr>
            <w:r w:rsidRPr="00DA59D4">
              <w:rPr>
                <w:sz w:val="22"/>
                <w:szCs w:val="22"/>
              </w:rPr>
              <w:t>2.736</w:t>
            </w:r>
          </w:p>
        </w:tc>
      </w:tr>
      <w:tr w:rsidR="00F851CC" w:rsidRPr="00DA59D4" w14:paraId="3A37CFAA" w14:textId="77777777" w:rsidTr="007A6126">
        <w:trPr>
          <w:trHeight w:val="324"/>
        </w:trPr>
        <w:tc>
          <w:tcPr>
            <w:tcW w:w="1872" w:type="pct"/>
            <w:tcBorders>
              <w:top w:val="nil"/>
              <w:left w:val="nil"/>
              <w:bottom w:val="single" w:sz="8" w:space="0" w:color="auto"/>
              <w:right w:val="nil"/>
            </w:tcBorders>
            <w:shd w:val="clear" w:color="auto" w:fill="auto"/>
            <w:noWrap/>
            <w:vAlign w:val="bottom"/>
            <w:hideMark/>
          </w:tcPr>
          <w:p w14:paraId="4B368876" w14:textId="77777777" w:rsidR="00F851CC" w:rsidRPr="00DA59D4" w:rsidRDefault="00F851CC" w:rsidP="007A6126">
            <w:pPr>
              <w:pStyle w:val="Brezrazmikov"/>
              <w:rPr>
                <w:sz w:val="22"/>
                <w:szCs w:val="22"/>
              </w:rPr>
            </w:pPr>
            <w:r w:rsidRPr="00DA59D4">
              <w:rPr>
                <w:sz w:val="22"/>
                <w:szCs w:val="22"/>
              </w:rPr>
              <w:t xml:space="preserve">Denar in denarni ustrezniki </w:t>
            </w:r>
          </w:p>
        </w:tc>
        <w:tc>
          <w:tcPr>
            <w:tcW w:w="796" w:type="pct"/>
            <w:tcBorders>
              <w:top w:val="nil"/>
              <w:left w:val="nil"/>
              <w:bottom w:val="single" w:sz="8" w:space="0" w:color="auto"/>
              <w:right w:val="nil"/>
            </w:tcBorders>
            <w:shd w:val="clear" w:color="auto" w:fill="auto"/>
            <w:noWrap/>
            <w:vAlign w:val="bottom"/>
            <w:hideMark/>
          </w:tcPr>
          <w:p w14:paraId="061DF7E7" w14:textId="77777777" w:rsidR="00F851CC" w:rsidRPr="00DA59D4" w:rsidRDefault="00F851CC" w:rsidP="007A6126">
            <w:pPr>
              <w:pStyle w:val="Brezrazmikov"/>
              <w:rPr>
                <w:sz w:val="22"/>
                <w:szCs w:val="22"/>
              </w:rPr>
            </w:pPr>
            <w:r w:rsidRPr="00DA59D4">
              <w:rPr>
                <w:sz w:val="22"/>
                <w:szCs w:val="22"/>
              </w:rPr>
              <w:t>38.589</w:t>
            </w:r>
          </w:p>
        </w:tc>
        <w:tc>
          <w:tcPr>
            <w:tcW w:w="583" w:type="pct"/>
            <w:tcBorders>
              <w:top w:val="nil"/>
              <w:left w:val="nil"/>
              <w:bottom w:val="single" w:sz="8" w:space="0" w:color="auto"/>
              <w:right w:val="nil"/>
            </w:tcBorders>
            <w:shd w:val="clear" w:color="auto" w:fill="auto"/>
            <w:noWrap/>
            <w:vAlign w:val="bottom"/>
            <w:hideMark/>
          </w:tcPr>
          <w:p w14:paraId="46BC1503" w14:textId="77777777" w:rsidR="00F851CC" w:rsidRPr="00DA59D4" w:rsidRDefault="00F851CC" w:rsidP="007A6126">
            <w:pPr>
              <w:pStyle w:val="Brezrazmikov"/>
              <w:rPr>
                <w:sz w:val="22"/>
                <w:szCs w:val="22"/>
              </w:rPr>
            </w:pPr>
            <w:r w:rsidRPr="00DA59D4">
              <w:rPr>
                <w:sz w:val="22"/>
                <w:szCs w:val="22"/>
              </w:rPr>
              <w:t>36.062</w:t>
            </w:r>
          </w:p>
        </w:tc>
        <w:tc>
          <w:tcPr>
            <w:tcW w:w="583" w:type="pct"/>
            <w:tcBorders>
              <w:top w:val="nil"/>
              <w:left w:val="nil"/>
              <w:bottom w:val="single" w:sz="8" w:space="0" w:color="auto"/>
              <w:right w:val="nil"/>
            </w:tcBorders>
            <w:shd w:val="clear" w:color="auto" w:fill="auto"/>
            <w:noWrap/>
            <w:vAlign w:val="bottom"/>
            <w:hideMark/>
          </w:tcPr>
          <w:p w14:paraId="387EE17E" w14:textId="77777777" w:rsidR="00F851CC" w:rsidRPr="00DA59D4" w:rsidRDefault="00F851CC" w:rsidP="007A6126">
            <w:pPr>
              <w:pStyle w:val="Brezrazmikov"/>
              <w:rPr>
                <w:sz w:val="22"/>
                <w:szCs w:val="22"/>
              </w:rPr>
            </w:pPr>
            <w:r w:rsidRPr="00DA59D4">
              <w:rPr>
                <w:sz w:val="22"/>
                <w:szCs w:val="22"/>
              </w:rPr>
              <w:t>31.610</w:t>
            </w:r>
          </w:p>
        </w:tc>
        <w:tc>
          <w:tcPr>
            <w:tcW w:w="583" w:type="pct"/>
            <w:tcBorders>
              <w:top w:val="nil"/>
              <w:left w:val="nil"/>
              <w:bottom w:val="single" w:sz="8" w:space="0" w:color="auto"/>
              <w:right w:val="nil"/>
            </w:tcBorders>
            <w:shd w:val="clear" w:color="auto" w:fill="auto"/>
            <w:noWrap/>
            <w:vAlign w:val="bottom"/>
            <w:hideMark/>
          </w:tcPr>
          <w:p w14:paraId="769D6A99" w14:textId="77777777" w:rsidR="00F851CC" w:rsidRPr="00DA59D4" w:rsidRDefault="00F851CC" w:rsidP="007A6126">
            <w:pPr>
              <w:pStyle w:val="Brezrazmikov"/>
              <w:rPr>
                <w:sz w:val="22"/>
                <w:szCs w:val="22"/>
              </w:rPr>
            </w:pPr>
            <w:r w:rsidRPr="00DA59D4">
              <w:rPr>
                <w:sz w:val="22"/>
                <w:szCs w:val="22"/>
              </w:rPr>
              <w:t>35.242</w:t>
            </w:r>
          </w:p>
        </w:tc>
        <w:tc>
          <w:tcPr>
            <w:tcW w:w="583" w:type="pct"/>
            <w:tcBorders>
              <w:top w:val="nil"/>
              <w:left w:val="nil"/>
              <w:bottom w:val="single" w:sz="8" w:space="0" w:color="auto"/>
              <w:right w:val="nil"/>
            </w:tcBorders>
            <w:shd w:val="clear" w:color="auto" w:fill="auto"/>
            <w:noWrap/>
            <w:vAlign w:val="bottom"/>
            <w:hideMark/>
          </w:tcPr>
          <w:p w14:paraId="100F68E5" w14:textId="77777777" w:rsidR="00F851CC" w:rsidRPr="00DA59D4" w:rsidRDefault="00F851CC" w:rsidP="007A6126">
            <w:pPr>
              <w:pStyle w:val="Brezrazmikov"/>
              <w:rPr>
                <w:sz w:val="22"/>
                <w:szCs w:val="22"/>
              </w:rPr>
            </w:pPr>
            <w:r w:rsidRPr="00DA59D4">
              <w:rPr>
                <w:sz w:val="22"/>
                <w:szCs w:val="22"/>
              </w:rPr>
              <w:t>25.037</w:t>
            </w:r>
          </w:p>
        </w:tc>
      </w:tr>
      <w:tr w:rsidR="00F851CC" w:rsidRPr="00DA59D4" w14:paraId="0A10BDCB" w14:textId="77777777" w:rsidTr="007A6126">
        <w:trPr>
          <w:trHeight w:val="324"/>
        </w:trPr>
        <w:tc>
          <w:tcPr>
            <w:tcW w:w="1872" w:type="pct"/>
            <w:tcBorders>
              <w:top w:val="single" w:sz="8" w:space="0" w:color="auto"/>
              <w:left w:val="nil"/>
              <w:bottom w:val="single" w:sz="12" w:space="0" w:color="auto"/>
              <w:right w:val="nil"/>
            </w:tcBorders>
            <w:shd w:val="clear" w:color="auto" w:fill="auto"/>
            <w:noWrap/>
            <w:vAlign w:val="bottom"/>
            <w:hideMark/>
          </w:tcPr>
          <w:p w14:paraId="0A2688A0" w14:textId="77777777" w:rsidR="00F851CC" w:rsidRPr="00DA59D4" w:rsidRDefault="00F851CC" w:rsidP="007A6126">
            <w:pPr>
              <w:pStyle w:val="Brezrazmikov"/>
              <w:rPr>
                <w:b/>
                <w:bCs/>
                <w:sz w:val="22"/>
                <w:szCs w:val="22"/>
              </w:rPr>
            </w:pPr>
            <w:r w:rsidRPr="00DA59D4">
              <w:rPr>
                <w:b/>
                <w:bCs/>
                <w:sz w:val="22"/>
                <w:szCs w:val="22"/>
              </w:rPr>
              <w:t xml:space="preserve">KAPITAL IN OBVEZNOSTI  </w:t>
            </w:r>
          </w:p>
        </w:tc>
        <w:tc>
          <w:tcPr>
            <w:tcW w:w="796" w:type="pct"/>
            <w:tcBorders>
              <w:top w:val="single" w:sz="8" w:space="0" w:color="auto"/>
              <w:left w:val="nil"/>
              <w:bottom w:val="single" w:sz="12" w:space="0" w:color="auto"/>
              <w:right w:val="nil"/>
            </w:tcBorders>
            <w:shd w:val="clear" w:color="auto" w:fill="auto"/>
            <w:noWrap/>
            <w:vAlign w:val="bottom"/>
            <w:hideMark/>
          </w:tcPr>
          <w:p w14:paraId="035409C4" w14:textId="77777777" w:rsidR="00F851CC" w:rsidRPr="00DA59D4" w:rsidRDefault="00F851CC" w:rsidP="007A6126">
            <w:pPr>
              <w:pStyle w:val="Brezrazmikov"/>
              <w:rPr>
                <w:b/>
                <w:bCs/>
                <w:sz w:val="22"/>
                <w:szCs w:val="22"/>
              </w:rPr>
            </w:pPr>
            <w:r w:rsidRPr="00DA59D4">
              <w:rPr>
                <w:b/>
                <w:bCs/>
                <w:sz w:val="22"/>
                <w:szCs w:val="22"/>
              </w:rPr>
              <w:t>1.148.065</w:t>
            </w:r>
          </w:p>
        </w:tc>
        <w:tc>
          <w:tcPr>
            <w:tcW w:w="583" w:type="pct"/>
            <w:tcBorders>
              <w:top w:val="single" w:sz="8" w:space="0" w:color="auto"/>
              <w:left w:val="nil"/>
              <w:bottom w:val="single" w:sz="12" w:space="0" w:color="auto"/>
              <w:right w:val="nil"/>
            </w:tcBorders>
            <w:shd w:val="clear" w:color="auto" w:fill="auto"/>
            <w:noWrap/>
            <w:vAlign w:val="bottom"/>
            <w:hideMark/>
          </w:tcPr>
          <w:p w14:paraId="4A075B0D" w14:textId="77777777" w:rsidR="00F851CC" w:rsidRPr="00DA59D4" w:rsidRDefault="00F851CC" w:rsidP="007A6126">
            <w:pPr>
              <w:pStyle w:val="Brezrazmikov"/>
              <w:rPr>
                <w:b/>
                <w:bCs/>
                <w:sz w:val="22"/>
                <w:szCs w:val="22"/>
              </w:rPr>
            </w:pPr>
            <w:r w:rsidRPr="00DA59D4">
              <w:rPr>
                <w:b/>
                <w:bCs/>
                <w:sz w:val="22"/>
                <w:szCs w:val="22"/>
              </w:rPr>
              <w:t>1.102.398</w:t>
            </w:r>
          </w:p>
        </w:tc>
        <w:tc>
          <w:tcPr>
            <w:tcW w:w="583" w:type="pct"/>
            <w:tcBorders>
              <w:top w:val="single" w:sz="8" w:space="0" w:color="auto"/>
              <w:left w:val="nil"/>
              <w:bottom w:val="single" w:sz="12" w:space="0" w:color="auto"/>
              <w:right w:val="nil"/>
            </w:tcBorders>
            <w:shd w:val="clear" w:color="auto" w:fill="auto"/>
            <w:noWrap/>
            <w:vAlign w:val="bottom"/>
            <w:hideMark/>
          </w:tcPr>
          <w:p w14:paraId="173CDA11" w14:textId="77777777" w:rsidR="00F851CC" w:rsidRPr="00DA59D4" w:rsidRDefault="00F851CC" w:rsidP="007A6126">
            <w:pPr>
              <w:pStyle w:val="Brezrazmikov"/>
              <w:rPr>
                <w:b/>
                <w:bCs/>
                <w:sz w:val="22"/>
                <w:szCs w:val="22"/>
              </w:rPr>
            </w:pPr>
            <w:r w:rsidRPr="00DA59D4">
              <w:rPr>
                <w:b/>
                <w:bCs/>
                <w:sz w:val="22"/>
                <w:szCs w:val="22"/>
              </w:rPr>
              <w:t>1.101.274</w:t>
            </w:r>
          </w:p>
        </w:tc>
        <w:tc>
          <w:tcPr>
            <w:tcW w:w="583" w:type="pct"/>
            <w:tcBorders>
              <w:top w:val="single" w:sz="8" w:space="0" w:color="auto"/>
              <w:left w:val="nil"/>
              <w:bottom w:val="single" w:sz="12" w:space="0" w:color="auto"/>
              <w:right w:val="nil"/>
            </w:tcBorders>
            <w:shd w:val="clear" w:color="auto" w:fill="auto"/>
            <w:noWrap/>
            <w:vAlign w:val="bottom"/>
            <w:hideMark/>
          </w:tcPr>
          <w:p w14:paraId="14868E94" w14:textId="77777777" w:rsidR="00F851CC" w:rsidRPr="00DA59D4" w:rsidRDefault="00F851CC" w:rsidP="007A6126">
            <w:pPr>
              <w:pStyle w:val="Brezrazmikov"/>
              <w:rPr>
                <w:b/>
                <w:bCs/>
                <w:sz w:val="22"/>
                <w:szCs w:val="22"/>
              </w:rPr>
            </w:pPr>
            <w:r w:rsidRPr="00DA59D4">
              <w:rPr>
                <w:b/>
                <w:bCs/>
                <w:sz w:val="22"/>
                <w:szCs w:val="22"/>
              </w:rPr>
              <w:t>1.123.914</w:t>
            </w:r>
          </w:p>
        </w:tc>
        <w:tc>
          <w:tcPr>
            <w:tcW w:w="583" w:type="pct"/>
            <w:tcBorders>
              <w:top w:val="single" w:sz="8" w:space="0" w:color="auto"/>
              <w:left w:val="nil"/>
              <w:bottom w:val="single" w:sz="12" w:space="0" w:color="auto"/>
              <w:right w:val="nil"/>
            </w:tcBorders>
            <w:shd w:val="clear" w:color="auto" w:fill="auto"/>
            <w:noWrap/>
            <w:vAlign w:val="bottom"/>
            <w:hideMark/>
          </w:tcPr>
          <w:p w14:paraId="0918736C" w14:textId="77777777" w:rsidR="00F851CC" w:rsidRPr="00DA59D4" w:rsidRDefault="00F851CC" w:rsidP="007A6126">
            <w:pPr>
              <w:pStyle w:val="Brezrazmikov"/>
              <w:rPr>
                <w:b/>
                <w:bCs/>
                <w:sz w:val="22"/>
                <w:szCs w:val="22"/>
              </w:rPr>
            </w:pPr>
            <w:r w:rsidRPr="00DA59D4">
              <w:rPr>
                <w:b/>
                <w:bCs/>
                <w:sz w:val="22"/>
                <w:szCs w:val="22"/>
              </w:rPr>
              <w:t>1.143.116</w:t>
            </w:r>
          </w:p>
        </w:tc>
      </w:tr>
      <w:tr w:rsidR="00F851CC" w:rsidRPr="00DA59D4" w14:paraId="67164ABA" w14:textId="77777777" w:rsidTr="007A6126">
        <w:trPr>
          <w:trHeight w:val="312"/>
        </w:trPr>
        <w:tc>
          <w:tcPr>
            <w:tcW w:w="1872" w:type="pct"/>
            <w:tcBorders>
              <w:top w:val="single" w:sz="12" w:space="0" w:color="auto"/>
              <w:left w:val="nil"/>
              <w:bottom w:val="single" w:sz="4" w:space="0" w:color="auto"/>
              <w:right w:val="nil"/>
            </w:tcBorders>
            <w:shd w:val="clear" w:color="auto" w:fill="auto"/>
            <w:noWrap/>
            <w:vAlign w:val="bottom"/>
            <w:hideMark/>
          </w:tcPr>
          <w:p w14:paraId="3F4DDA21" w14:textId="77777777" w:rsidR="00F851CC" w:rsidRPr="00DA59D4" w:rsidRDefault="00F851CC" w:rsidP="007A6126">
            <w:pPr>
              <w:pStyle w:val="Brezrazmikov"/>
              <w:rPr>
                <w:b/>
                <w:bCs/>
                <w:sz w:val="22"/>
                <w:szCs w:val="22"/>
              </w:rPr>
            </w:pPr>
            <w:r w:rsidRPr="00DA59D4">
              <w:rPr>
                <w:b/>
                <w:bCs/>
                <w:sz w:val="22"/>
                <w:szCs w:val="22"/>
              </w:rPr>
              <w:t xml:space="preserve">Kapital    </w:t>
            </w:r>
          </w:p>
        </w:tc>
        <w:tc>
          <w:tcPr>
            <w:tcW w:w="796" w:type="pct"/>
            <w:tcBorders>
              <w:top w:val="single" w:sz="12" w:space="0" w:color="auto"/>
              <w:left w:val="nil"/>
              <w:bottom w:val="single" w:sz="4" w:space="0" w:color="auto"/>
              <w:right w:val="nil"/>
            </w:tcBorders>
            <w:shd w:val="clear" w:color="auto" w:fill="auto"/>
            <w:noWrap/>
            <w:vAlign w:val="bottom"/>
            <w:hideMark/>
          </w:tcPr>
          <w:p w14:paraId="28B60579" w14:textId="77777777" w:rsidR="00F851CC" w:rsidRPr="00DA59D4" w:rsidRDefault="00F851CC" w:rsidP="007A6126">
            <w:pPr>
              <w:pStyle w:val="Brezrazmikov"/>
              <w:rPr>
                <w:b/>
                <w:bCs/>
                <w:sz w:val="22"/>
                <w:szCs w:val="22"/>
              </w:rPr>
            </w:pPr>
            <w:r w:rsidRPr="00DA59D4">
              <w:rPr>
                <w:b/>
                <w:bCs/>
                <w:sz w:val="22"/>
                <w:szCs w:val="22"/>
              </w:rPr>
              <w:t>380.670</w:t>
            </w:r>
          </w:p>
        </w:tc>
        <w:tc>
          <w:tcPr>
            <w:tcW w:w="583" w:type="pct"/>
            <w:tcBorders>
              <w:top w:val="single" w:sz="12" w:space="0" w:color="auto"/>
              <w:left w:val="nil"/>
              <w:bottom w:val="single" w:sz="4" w:space="0" w:color="auto"/>
              <w:right w:val="nil"/>
            </w:tcBorders>
            <w:shd w:val="clear" w:color="auto" w:fill="auto"/>
            <w:noWrap/>
            <w:vAlign w:val="bottom"/>
            <w:hideMark/>
          </w:tcPr>
          <w:p w14:paraId="69FCB27E" w14:textId="77777777" w:rsidR="00F851CC" w:rsidRPr="00DA59D4" w:rsidRDefault="00F851CC" w:rsidP="007A6126">
            <w:pPr>
              <w:pStyle w:val="Brezrazmikov"/>
              <w:rPr>
                <w:b/>
                <w:bCs/>
                <w:sz w:val="22"/>
                <w:szCs w:val="22"/>
              </w:rPr>
            </w:pPr>
            <w:r w:rsidRPr="00DA59D4">
              <w:rPr>
                <w:b/>
                <w:bCs/>
                <w:sz w:val="22"/>
                <w:szCs w:val="22"/>
              </w:rPr>
              <w:t>380.267</w:t>
            </w:r>
          </w:p>
        </w:tc>
        <w:tc>
          <w:tcPr>
            <w:tcW w:w="583" w:type="pct"/>
            <w:tcBorders>
              <w:top w:val="single" w:sz="12" w:space="0" w:color="auto"/>
              <w:left w:val="nil"/>
              <w:bottom w:val="single" w:sz="4" w:space="0" w:color="auto"/>
              <w:right w:val="nil"/>
            </w:tcBorders>
            <w:shd w:val="clear" w:color="auto" w:fill="auto"/>
            <w:noWrap/>
            <w:vAlign w:val="bottom"/>
            <w:hideMark/>
          </w:tcPr>
          <w:p w14:paraId="1E588D2D" w14:textId="77777777" w:rsidR="00F851CC" w:rsidRPr="00DA59D4" w:rsidRDefault="00F851CC" w:rsidP="007A6126">
            <w:pPr>
              <w:pStyle w:val="Brezrazmikov"/>
              <w:rPr>
                <w:b/>
                <w:bCs/>
                <w:sz w:val="22"/>
                <w:szCs w:val="22"/>
              </w:rPr>
            </w:pPr>
            <w:r w:rsidRPr="00DA59D4">
              <w:rPr>
                <w:b/>
                <w:bCs/>
                <w:sz w:val="22"/>
                <w:szCs w:val="22"/>
              </w:rPr>
              <w:t>368.062</w:t>
            </w:r>
          </w:p>
        </w:tc>
        <w:tc>
          <w:tcPr>
            <w:tcW w:w="583" w:type="pct"/>
            <w:tcBorders>
              <w:top w:val="single" w:sz="12" w:space="0" w:color="auto"/>
              <w:left w:val="nil"/>
              <w:bottom w:val="single" w:sz="4" w:space="0" w:color="auto"/>
              <w:right w:val="nil"/>
            </w:tcBorders>
            <w:shd w:val="clear" w:color="auto" w:fill="auto"/>
            <w:noWrap/>
            <w:vAlign w:val="bottom"/>
            <w:hideMark/>
          </w:tcPr>
          <w:p w14:paraId="462CC56C" w14:textId="77777777" w:rsidR="00F851CC" w:rsidRPr="00DA59D4" w:rsidRDefault="00F851CC" w:rsidP="007A6126">
            <w:pPr>
              <w:pStyle w:val="Brezrazmikov"/>
              <w:rPr>
                <w:b/>
                <w:bCs/>
                <w:sz w:val="22"/>
                <w:szCs w:val="22"/>
              </w:rPr>
            </w:pPr>
            <w:r w:rsidRPr="00DA59D4">
              <w:rPr>
                <w:b/>
                <w:bCs/>
                <w:sz w:val="22"/>
                <w:szCs w:val="22"/>
              </w:rPr>
              <w:t>366.541</w:t>
            </w:r>
          </w:p>
        </w:tc>
        <w:tc>
          <w:tcPr>
            <w:tcW w:w="583" w:type="pct"/>
            <w:tcBorders>
              <w:top w:val="single" w:sz="12" w:space="0" w:color="auto"/>
              <w:left w:val="nil"/>
              <w:bottom w:val="single" w:sz="4" w:space="0" w:color="auto"/>
              <w:right w:val="nil"/>
            </w:tcBorders>
            <w:shd w:val="clear" w:color="auto" w:fill="auto"/>
            <w:noWrap/>
            <w:vAlign w:val="bottom"/>
            <w:hideMark/>
          </w:tcPr>
          <w:p w14:paraId="3E9EA46A" w14:textId="77777777" w:rsidR="00F851CC" w:rsidRPr="00DA59D4" w:rsidRDefault="00F851CC" w:rsidP="007A6126">
            <w:pPr>
              <w:pStyle w:val="Brezrazmikov"/>
              <w:rPr>
                <w:b/>
                <w:bCs/>
                <w:sz w:val="22"/>
                <w:szCs w:val="22"/>
              </w:rPr>
            </w:pPr>
            <w:r w:rsidRPr="00DA59D4">
              <w:rPr>
                <w:b/>
                <w:bCs/>
                <w:sz w:val="22"/>
                <w:szCs w:val="22"/>
              </w:rPr>
              <w:t>368.344</w:t>
            </w:r>
          </w:p>
        </w:tc>
      </w:tr>
      <w:tr w:rsidR="00F851CC" w:rsidRPr="00DA59D4" w14:paraId="2178927A" w14:textId="77777777" w:rsidTr="007A6126">
        <w:trPr>
          <w:trHeight w:val="312"/>
        </w:trPr>
        <w:tc>
          <w:tcPr>
            <w:tcW w:w="1872" w:type="pct"/>
            <w:tcBorders>
              <w:top w:val="nil"/>
              <w:left w:val="nil"/>
              <w:bottom w:val="nil"/>
              <w:right w:val="nil"/>
            </w:tcBorders>
            <w:shd w:val="clear" w:color="auto" w:fill="auto"/>
            <w:noWrap/>
            <w:vAlign w:val="bottom"/>
            <w:hideMark/>
          </w:tcPr>
          <w:p w14:paraId="5D3DA1B4" w14:textId="77777777" w:rsidR="00F851CC" w:rsidRPr="00DA59D4" w:rsidRDefault="00F851CC" w:rsidP="007A6126">
            <w:pPr>
              <w:pStyle w:val="Brezrazmikov"/>
              <w:rPr>
                <w:sz w:val="22"/>
                <w:szCs w:val="22"/>
              </w:rPr>
            </w:pPr>
            <w:r w:rsidRPr="00DA59D4">
              <w:rPr>
                <w:sz w:val="22"/>
                <w:szCs w:val="22"/>
              </w:rPr>
              <w:t xml:space="preserve">Osnovni kapital   </w:t>
            </w:r>
          </w:p>
        </w:tc>
        <w:tc>
          <w:tcPr>
            <w:tcW w:w="796" w:type="pct"/>
            <w:tcBorders>
              <w:top w:val="nil"/>
              <w:left w:val="nil"/>
              <w:bottom w:val="nil"/>
              <w:right w:val="nil"/>
            </w:tcBorders>
            <w:shd w:val="clear" w:color="auto" w:fill="auto"/>
            <w:noWrap/>
            <w:vAlign w:val="bottom"/>
            <w:hideMark/>
          </w:tcPr>
          <w:p w14:paraId="207151F5" w14:textId="77777777" w:rsidR="00F851CC" w:rsidRPr="00DA59D4" w:rsidRDefault="00F851CC" w:rsidP="007A6126">
            <w:pPr>
              <w:pStyle w:val="Brezrazmikov"/>
              <w:rPr>
                <w:sz w:val="22"/>
                <w:szCs w:val="22"/>
              </w:rPr>
            </w:pPr>
            <w:r w:rsidRPr="00DA59D4">
              <w:rPr>
                <w:sz w:val="22"/>
                <w:szCs w:val="22"/>
              </w:rPr>
              <w:t>92.240</w:t>
            </w:r>
          </w:p>
        </w:tc>
        <w:tc>
          <w:tcPr>
            <w:tcW w:w="583" w:type="pct"/>
            <w:tcBorders>
              <w:top w:val="nil"/>
              <w:left w:val="nil"/>
              <w:bottom w:val="nil"/>
              <w:right w:val="nil"/>
            </w:tcBorders>
            <w:shd w:val="clear" w:color="auto" w:fill="auto"/>
            <w:noWrap/>
            <w:vAlign w:val="bottom"/>
            <w:hideMark/>
          </w:tcPr>
          <w:p w14:paraId="3661D622" w14:textId="77777777" w:rsidR="00F851CC" w:rsidRPr="00DA59D4" w:rsidRDefault="00F851CC" w:rsidP="007A6126">
            <w:pPr>
              <w:pStyle w:val="Brezrazmikov"/>
              <w:rPr>
                <w:sz w:val="22"/>
                <w:szCs w:val="22"/>
              </w:rPr>
            </w:pPr>
            <w:r w:rsidRPr="00DA59D4">
              <w:rPr>
                <w:sz w:val="22"/>
                <w:szCs w:val="22"/>
              </w:rPr>
              <w:t>101.922</w:t>
            </w:r>
          </w:p>
        </w:tc>
        <w:tc>
          <w:tcPr>
            <w:tcW w:w="583" w:type="pct"/>
            <w:tcBorders>
              <w:top w:val="nil"/>
              <w:left w:val="nil"/>
              <w:bottom w:val="nil"/>
              <w:right w:val="nil"/>
            </w:tcBorders>
            <w:shd w:val="clear" w:color="auto" w:fill="auto"/>
            <w:noWrap/>
            <w:vAlign w:val="bottom"/>
            <w:hideMark/>
          </w:tcPr>
          <w:p w14:paraId="62609DAE" w14:textId="77777777" w:rsidR="00F851CC" w:rsidRPr="00DA59D4" w:rsidRDefault="00F851CC" w:rsidP="007A6126">
            <w:pPr>
              <w:pStyle w:val="Brezrazmikov"/>
              <w:rPr>
                <w:sz w:val="22"/>
                <w:szCs w:val="22"/>
              </w:rPr>
            </w:pPr>
            <w:r w:rsidRPr="00DA59D4">
              <w:rPr>
                <w:sz w:val="22"/>
                <w:szCs w:val="22"/>
              </w:rPr>
              <w:t>101.922</w:t>
            </w:r>
          </w:p>
        </w:tc>
        <w:tc>
          <w:tcPr>
            <w:tcW w:w="583" w:type="pct"/>
            <w:tcBorders>
              <w:top w:val="nil"/>
              <w:left w:val="nil"/>
              <w:bottom w:val="nil"/>
              <w:right w:val="nil"/>
            </w:tcBorders>
            <w:shd w:val="clear" w:color="auto" w:fill="auto"/>
            <w:noWrap/>
            <w:vAlign w:val="bottom"/>
            <w:hideMark/>
          </w:tcPr>
          <w:p w14:paraId="2F8E196B" w14:textId="77777777" w:rsidR="00F851CC" w:rsidRPr="00DA59D4" w:rsidRDefault="00F851CC" w:rsidP="007A6126">
            <w:pPr>
              <w:pStyle w:val="Brezrazmikov"/>
              <w:rPr>
                <w:sz w:val="22"/>
                <w:szCs w:val="22"/>
              </w:rPr>
            </w:pPr>
            <w:r w:rsidRPr="00DA59D4">
              <w:rPr>
                <w:sz w:val="22"/>
                <w:szCs w:val="22"/>
              </w:rPr>
              <w:t>101.922</w:t>
            </w:r>
          </w:p>
        </w:tc>
        <w:tc>
          <w:tcPr>
            <w:tcW w:w="583" w:type="pct"/>
            <w:tcBorders>
              <w:top w:val="nil"/>
              <w:left w:val="nil"/>
              <w:bottom w:val="nil"/>
              <w:right w:val="nil"/>
            </w:tcBorders>
            <w:shd w:val="clear" w:color="auto" w:fill="auto"/>
            <w:noWrap/>
            <w:vAlign w:val="bottom"/>
            <w:hideMark/>
          </w:tcPr>
          <w:p w14:paraId="7971E559" w14:textId="77777777" w:rsidR="00F851CC" w:rsidRPr="00DA59D4" w:rsidRDefault="00F851CC" w:rsidP="007A6126">
            <w:pPr>
              <w:pStyle w:val="Brezrazmikov"/>
              <w:rPr>
                <w:sz w:val="22"/>
                <w:szCs w:val="22"/>
              </w:rPr>
            </w:pPr>
            <w:r w:rsidRPr="00DA59D4">
              <w:rPr>
                <w:sz w:val="22"/>
                <w:szCs w:val="22"/>
              </w:rPr>
              <w:t>101.922</w:t>
            </w:r>
          </w:p>
        </w:tc>
      </w:tr>
      <w:tr w:rsidR="00F851CC" w:rsidRPr="00DA59D4" w14:paraId="4A2BF192" w14:textId="77777777" w:rsidTr="007A6126">
        <w:trPr>
          <w:trHeight w:val="312"/>
        </w:trPr>
        <w:tc>
          <w:tcPr>
            <w:tcW w:w="1872" w:type="pct"/>
            <w:tcBorders>
              <w:top w:val="nil"/>
              <w:left w:val="nil"/>
              <w:bottom w:val="nil"/>
              <w:right w:val="nil"/>
            </w:tcBorders>
            <w:shd w:val="clear" w:color="auto" w:fill="auto"/>
            <w:noWrap/>
            <w:vAlign w:val="bottom"/>
            <w:hideMark/>
          </w:tcPr>
          <w:p w14:paraId="299811A3" w14:textId="77777777" w:rsidR="00F851CC" w:rsidRPr="00DA59D4" w:rsidRDefault="00F851CC" w:rsidP="007A6126">
            <w:pPr>
              <w:pStyle w:val="Brezrazmikov"/>
              <w:rPr>
                <w:sz w:val="22"/>
                <w:szCs w:val="22"/>
              </w:rPr>
            </w:pPr>
            <w:r w:rsidRPr="00DA59D4">
              <w:rPr>
                <w:sz w:val="22"/>
                <w:szCs w:val="22"/>
              </w:rPr>
              <w:t xml:space="preserve">Kapitalske rezerve   </w:t>
            </w:r>
          </w:p>
        </w:tc>
        <w:tc>
          <w:tcPr>
            <w:tcW w:w="796" w:type="pct"/>
            <w:tcBorders>
              <w:top w:val="nil"/>
              <w:left w:val="nil"/>
              <w:bottom w:val="nil"/>
              <w:right w:val="nil"/>
            </w:tcBorders>
            <w:shd w:val="clear" w:color="auto" w:fill="auto"/>
            <w:noWrap/>
            <w:vAlign w:val="bottom"/>
            <w:hideMark/>
          </w:tcPr>
          <w:p w14:paraId="49E96059" w14:textId="77777777" w:rsidR="00F851CC" w:rsidRPr="00DA59D4" w:rsidRDefault="00F851CC" w:rsidP="007A6126">
            <w:pPr>
              <w:pStyle w:val="Brezrazmikov"/>
              <w:rPr>
                <w:sz w:val="22"/>
                <w:szCs w:val="22"/>
              </w:rPr>
            </w:pPr>
            <w:r w:rsidRPr="00DA59D4">
              <w:rPr>
                <w:sz w:val="22"/>
                <w:szCs w:val="22"/>
              </w:rPr>
              <w:t>175.568</w:t>
            </w:r>
          </w:p>
        </w:tc>
        <w:tc>
          <w:tcPr>
            <w:tcW w:w="583" w:type="pct"/>
            <w:tcBorders>
              <w:top w:val="nil"/>
              <w:left w:val="nil"/>
              <w:bottom w:val="nil"/>
              <w:right w:val="nil"/>
            </w:tcBorders>
            <w:shd w:val="clear" w:color="auto" w:fill="auto"/>
            <w:noWrap/>
            <w:vAlign w:val="bottom"/>
            <w:hideMark/>
          </w:tcPr>
          <w:p w14:paraId="192210C6" w14:textId="77777777" w:rsidR="00F851CC" w:rsidRPr="00DA59D4" w:rsidRDefault="00F851CC" w:rsidP="007A6126">
            <w:pPr>
              <w:pStyle w:val="Brezrazmikov"/>
              <w:rPr>
                <w:sz w:val="22"/>
                <w:szCs w:val="22"/>
              </w:rPr>
            </w:pPr>
            <w:r w:rsidRPr="00DA59D4">
              <w:rPr>
                <w:sz w:val="22"/>
                <w:szCs w:val="22"/>
              </w:rPr>
              <w:t>175.698</w:t>
            </w:r>
          </w:p>
        </w:tc>
        <w:tc>
          <w:tcPr>
            <w:tcW w:w="583" w:type="pct"/>
            <w:tcBorders>
              <w:top w:val="nil"/>
              <w:left w:val="nil"/>
              <w:bottom w:val="nil"/>
              <w:right w:val="nil"/>
            </w:tcBorders>
            <w:shd w:val="clear" w:color="auto" w:fill="auto"/>
            <w:noWrap/>
            <w:vAlign w:val="bottom"/>
            <w:hideMark/>
          </w:tcPr>
          <w:p w14:paraId="4AEA389F" w14:textId="77777777" w:rsidR="00F851CC" w:rsidRPr="00DA59D4" w:rsidRDefault="00F851CC" w:rsidP="007A6126">
            <w:pPr>
              <w:pStyle w:val="Brezrazmikov"/>
              <w:rPr>
                <w:sz w:val="22"/>
                <w:szCs w:val="22"/>
              </w:rPr>
            </w:pPr>
            <w:r w:rsidRPr="00DA59D4">
              <w:rPr>
                <w:sz w:val="22"/>
                <w:szCs w:val="22"/>
              </w:rPr>
              <w:t>174.502</w:t>
            </w:r>
          </w:p>
        </w:tc>
        <w:tc>
          <w:tcPr>
            <w:tcW w:w="583" w:type="pct"/>
            <w:tcBorders>
              <w:top w:val="nil"/>
              <w:left w:val="nil"/>
              <w:bottom w:val="nil"/>
              <w:right w:val="nil"/>
            </w:tcBorders>
            <w:shd w:val="clear" w:color="auto" w:fill="auto"/>
            <w:noWrap/>
            <w:vAlign w:val="bottom"/>
            <w:hideMark/>
          </w:tcPr>
          <w:p w14:paraId="168B0A8D" w14:textId="77777777" w:rsidR="00F851CC" w:rsidRPr="00DA59D4" w:rsidRDefault="00F851CC" w:rsidP="007A6126">
            <w:pPr>
              <w:pStyle w:val="Brezrazmikov"/>
              <w:rPr>
                <w:sz w:val="22"/>
                <w:szCs w:val="22"/>
              </w:rPr>
            </w:pPr>
            <w:r w:rsidRPr="00DA59D4">
              <w:rPr>
                <w:sz w:val="22"/>
                <w:szCs w:val="22"/>
              </w:rPr>
              <w:t>174.502</w:t>
            </w:r>
          </w:p>
        </w:tc>
        <w:tc>
          <w:tcPr>
            <w:tcW w:w="583" w:type="pct"/>
            <w:tcBorders>
              <w:top w:val="nil"/>
              <w:left w:val="nil"/>
              <w:bottom w:val="nil"/>
              <w:right w:val="nil"/>
            </w:tcBorders>
            <w:shd w:val="clear" w:color="auto" w:fill="auto"/>
            <w:noWrap/>
            <w:vAlign w:val="bottom"/>
            <w:hideMark/>
          </w:tcPr>
          <w:p w14:paraId="6F206E14" w14:textId="77777777" w:rsidR="00F851CC" w:rsidRPr="00DA59D4" w:rsidRDefault="00F851CC" w:rsidP="007A6126">
            <w:pPr>
              <w:pStyle w:val="Brezrazmikov"/>
              <w:rPr>
                <w:sz w:val="22"/>
                <w:szCs w:val="22"/>
              </w:rPr>
            </w:pPr>
            <w:r w:rsidRPr="00DA59D4">
              <w:rPr>
                <w:sz w:val="22"/>
                <w:szCs w:val="22"/>
              </w:rPr>
              <w:t>174.502</w:t>
            </w:r>
          </w:p>
        </w:tc>
      </w:tr>
      <w:tr w:rsidR="00F851CC" w:rsidRPr="00DA59D4" w14:paraId="3030F88E" w14:textId="77777777" w:rsidTr="007A6126">
        <w:trPr>
          <w:trHeight w:val="324"/>
        </w:trPr>
        <w:tc>
          <w:tcPr>
            <w:tcW w:w="1872" w:type="pct"/>
            <w:tcBorders>
              <w:top w:val="nil"/>
              <w:left w:val="nil"/>
              <w:bottom w:val="nil"/>
              <w:right w:val="nil"/>
            </w:tcBorders>
            <w:shd w:val="clear" w:color="auto" w:fill="auto"/>
            <w:noWrap/>
            <w:vAlign w:val="bottom"/>
            <w:hideMark/>
          </w:tcPr>
          <w:p w14:paraId="12DF5512" w14:textId="77777777" w:rsidR="00F851CC" w:rsidRPr="00DA59D4" w:rsidRDefault="00F851CC" w:rsidP="007A6126">
            <w:pPr>
              <w:pStyle w:val="Brezrazmikov"/>
              <w:rPr>
                <w:sz w:val="22"/>
                <w:szCs w:val="22"/>
              </w:rPr>
            </w:pPr>
            <w:r w:rsidRPr="00DA59D4">
              <w:rPr>
                <w:sz w:val="22"/>
                <w:szCs w:val="22"/>
              </w:rPr>
              <w:t xml:space="preserve">Rezerve iz dobička  </w:t>
            </w:r>
          </w:p>
        </w:tc>
        <w:tc>
          <w:tcPr>
            <w:tcW w:w="796" w:type="pct"/>
            <w:tcBorders>
              <w:top w:val="nil"/>
              <w:left w:val="nil"/>
              <w:bottom w:val="nil"/>
              <w:right w:val="nil"/>
            </w:tcBorders>
            <w:shd w:val="clear" w:color="auto" w:fill="auto"/>
            <w:noWrap/>
            <w:vAlign w:val="bottom"/>
            <w:hideMark/>
          </w:tcPr>
          <w:p w14:paraId="1CCF3DA7" w14:textId="77777777" w:rsidR="00F851CC" w:rsidRPr="00DA59D4" w:rsidRDefault="00F851CC" w:rsidP="007A6126">
            <w:pPr>
              <w:pStyle w:val="Brezrazmikov"/>
              <w:rPr>
                <w:sz w:val="22"/>
                <w:szCs w:val="22"/>
              </w:rPr>
            </w:pPr>
            <w:r w:rsidRPr="00DA59D4">
              <w:rPr>
                <w:sz w:val="22"/>
                <w:szCs w:val="22"/>
              </w:rPr>
              <w:t>95.818</w:t>
            </w:r>
          </w:p>
        </w:tc>
        <w:tc>
          <w:tcPr>
            <w:tcW w:w="583" w:type="pct"/>
            <w:tcBorders>
              <w:top w:val="nil"/>
              <w:left w:val="nil"/>
              <w:bottom w:val="nil"/>
              <w:right w:val="nil"/>
            </w:tcBorders>
            <w:shd w:val="clear" w:color="auto" w:fill="auto"/>
            <w:noWrap/>
            <w:vAlign w:val="bottom"/>
            <w:hideMark/>
          </w:tcPr>
          <w:p w14:paraId="557CE64A" w14:textId="77777777" w:rsidR="00F851CC" w:rsidRPr="00DA59D4" w:rsidRDefault="00F851CC" w:rsidP="007A6126">
            <w:pPr>
              <w:pStyle w:val="Brezrazmikov"/>
              <w:rPr>
                <w:sz w:val="22"/>
                <w:szCs w:val="22"/>
              </w:rPr>
            </w:pPr>
            <w:r w:rsidRPr="00DA59D4">
              <w:rPr>
                <w:sz w:val="22"/>
                <w:szCs w:val="22"/>
              </w:rPr>
              <w:t>99.301</w:t>
            </w:r>
          </w:p>
        </w:tc>
        <w:tc>
          <w:tcPr>
            <w:tcW w:w="583" w:type="pct"/>
            <w:tcBorders>
              <w:top w:val="nil"/>
              <w:left w:val="nil"/>
              <w:bottom w:val="nil"/>
              <w:right w:val="nil"/>
            </w:tcBorders>
            <w:shd w:val="clear" w:color="auto" w:fill="auto"/>
            <w:noWrap/>
            <w:vAlign w:val="bottom"/>
            <w:hideMark/>
          </w:tcPr>
          <w:p w14:paraId="339B8EAF" w14:textId="77777777" w:rsidR="00F851CC" w:rsidRPr="00DA59D4" w:rsidRDefault="00F851CC" w:rsidP="007A6126">
            <w:pPr>
              <w:pStyle w:val="Brezrazmikov"/>
              <w:rPr>
                <w:sz w:val="22"/>
                <w:szCs w:val="22"/>
              </w:rPr>
            </w:pPr>
            <w:r w:rsidRPr="00DA59D4">
              <w:rPr>
                <w:sz w:val="22"/>
                <w:szCs w:val="22"/>
              </w:rPr>
              <w:t>99.301</w:t>
            </w:r>
          </w:p>
        </w:tc>
        <w:tc>
          <w:tcPr>
            <w:tcW w:w="583" w:type="pct"/>
            <w:tcBorders>
              <w:top w:val="nil"/>
              <w:left w:val="nil"/>
              <w:bottom w:val="nil"/>
              <w:right w:val="nil"/>
            </w:tcBorders>
            <w:shd w:val="clear" w:color="auto" w:fill="auto"/>
            <w:noWrap/>
            <w:vAlign w:val="bottom"/>
            <w:hideMark/>
          </w:tcPr>
          <w:p w14:paraId="71BD9554" w14:textId="77777777" w:rsidR="00F851CC" w:rsidRPr="00DA59D4" w:rsidRDefault="00F851CC" w:rsidP="007A6126">
            <w:pPr>
              <w:pStyle w:val="Brezrazmikov"/>
              <w:rPr>
                <w:sz w:val="22"/>
                <w:szCs w:val="22"/>
              </w:rPr>
            </w:pPr>
            <w:r w:rsidRPr="00DA59D4">
              <w:rPr>
                <w:sz w:val="22"/>
                <w:szCs w:val="22"/>
              </w:rPr>
              <w:t>46.015</w:t>
            </w:r>
          </w:p>
        </w:tc>
        <w:tc>
          <w:tcPr>
            <w:tcW w:w="583" w:type="pct"/>
            <w:tcBorders>
              <w:top w:val="nil"/>
              <w:left w:val="nil"/>
              <w:bottom w:val="nil"/>
              <w:right w:val="nil"/>
            </w:tcBorders>
            <w:shd w:val="clear" w:color="auto" w:fill="auto"/>
            <w:noWrap/>
            <w:vAlign w:val="bottom"/>
            <w:hideMark/>
          </w:tcPr>
          <w:p w14:paraId="1116BBD8" w14:textId="77777777" w:rsidR="00F851CC" w:rsidRPr="00DA59D4" w:rsidRDefault="00F851CC" w:rsidP="007A6126">
            <w:pPr>
              <w:pStyle w:val="Brezrazmikov"/>
              <w:rPr>
                <w:sz w:val="22"/>
                <w:szCs w:val="22"/>
              </w:rPr>
            </w:pPr>
            <w:r w:rsidRPr="00DA59D4">
              <w:rPr>
                <w:sz w:val="22"/>
                <w:szCs w:val="22"/>
              </w:rPr>
              <w:t>33.131</w:t>
            </w:r>
          </w:p>
        </w:tc>
      </w:tr>
      <w:tr w:rsidR="00F851CC" w:rsidRPr="00DA59D4" w14:paraId="516447DE" w14:textId="77777777" w:rsidTr="007A6126">
        <w:trPr>
          <w:trHeight w:val="312"/>
        </w:trPr>
        <w:tc>
          <w:tcPr>
            <w:tcW w:w="1872" w:type="pct"/>
            <w:tcBorders>
              <w:top w:val="nil"/>
              <w:left w:val="nil"/>
              <w:bottom w:val="nil"/>
              <w:right w:val="nil"/>
            </w:tcBorders>
            <w:shd w:val="clear" w:color="auto" w:fill="auto"/>
            <w:noWrap/>
            <w:vAlign w:val="bottom"/>
            <w:hideMark/>
          </w:tcPr>
          <w:p w14:paraId="61BC2412" w14:textId="77777777" w:rsidR="00F851CC" w:rsidRPr="00DA59D4" w:rsidRDefault="00F851CC" w:rsidP="007A6126">
            <w:pPr>
              <w:pStyle w:val="Brezrazmikov"/>
              <w:rPr>
                <w:sz w:val="22"/>
                <w:szCs w:val="22"/>
              </w:rPr>
            </w:pPr>
            <w:r w:rsidRPr="00DA59D4">
              <w:rPr>
                <w:sz w:val="22"/>
                <w:szCs w:val="22"/>
              </w:rPr>
              <w:t xml:space="preserve">Poslovni izid poslovnega leta </w:t>
            </w:r>
          </w:p>
        </w:tc>
        <w:tc>
          <w:tcPr>
            <w:tcW w:w="796" w:type="pct"/>
            <w:tcBorders>
              <w:top w:val="nil"/>
              <w:left w:val="nil"/>
              <w:bottom w:val="nil"/>
              <w:right w:val="nil"/>
            </w:tcBorders>
            <w:shd w:val="clear" w:color="auto" w:fill="auto"/>
            <w:noWrap/>
            <w:vAlign w:val="bottom"/>
            <w:hideMark/>
          </w:tcPr>
          <w:p w14:paraId="09C0A122" w14:textId="77777777" w:rsidR="00F851CC" w:rsidRPr="00DA59D4" w:rsidRDefault="00F851CC" w:rsidP="007A6126">
            <w:pPr>
              <w:pStyle w:val="Brezrazmikov"/>
              <w:rPr>
                <w:sz w:val="22"/>
                <w:szCs w:val="22"/>
              </w:rPr>
            </w:pPr>
            <w:r w:rsidRPr="00DA59D4">
              <w:rPr>
                <w:sz w:val="22"/>
                <w:szCs w:val="22"/>
              </w:rPr>
              <w:t>-26.711</w:t>
            </w:r>
          </w:p>
        </w:tc>
        <w:tc>
          <w:tcPr>
            <w:tcW w:w="583" w:type="pct"/>
            <w:tcBorders>
              <w:top w:val="nil"/>
              <w:left w:val="nil"/>
              <w:bottom w:val="nil"/>
              <w:right w:val="nil"/>
            </w:tcBorders>
            <w:shd w:val="clear" w:color="auto" w:fill="auto"/>
            <w:noWrap/>
            <w:vAlign w:val="bottom"/>
            <w:hideMark/>
          </w:tcPr>
          <w:p w14:paraId="3DF2399E" w14:textId="77777777" w:rsidR="00F851CC" w:rsidRPr="00DA59D4" w:rsidRDefault="00F851CC" w:rsidP="007A6126">
            <w:pPr>
              <w:pStyle w:val="Brezrazmikov"/>
              <w:rPr>
                <w:sz w:val="22"/>
                <w:szCs w:val="22"/>
              </w:rPr>
            </w:pPr>
            <w:r w:rsidRPr="00DA59D4">
              <w:rPr>
                <w:sz w:val="22"/>
                <w:szCs w:val="22"/>
              </w:rPr>
              <w:t>-2.464</w:t>
            </w:r>
          </w:p>
        </w:tc>
        <w:tc>
          <w:tcPr>
            <w:tcW w:w="583" w:type="pct"/>
            <w:tcBorders>
              <w:top w:val="nil"/>
              <w:left w:val="nil"/>
              <w:bottom w:val="nil"/>
              <w:right w:val="nil"/>
            </w:tcBorders>
            <w:shd w:val="clear" w:color="auto" w:fill="auto"/>
            <w:noWrap/>
            <w:vAlign w:val="bottom"/>
            <w:hideMark/>
          </w:tcPr>
          <w:p w14:paraId="109938F2" w14:textId="77777777" w:rsidR="00F851CC" w:rsidRPr="00DA59D4" w:rsidRDefault="00F851CC" w:rsidP="007A6126">
            <w:pPr>
              <w:pStyle w:val="Brezrazmikov"/>
              <w:rPr>
                <w:sz w:val="22"/>
                <w:szCs w:val="22"/>
              </w:rPr>
            </w:pPr>
            <w:r w:rsidRPr="00DA59D4">
              <w:rPr>
                <w:sz w:val="22"/>
                <w:szCs w:val="22"/>
              </w:rPr>
              <w:t>-4.202</w:t>
            </w:r>
          </w:p>
        </w:tc>
        <w:tc>
          <w:tcPr>
            <w:tcW w:w="583" w:type="pct"/>
            <w:tcBorders>
              <w:top w:val="nil"/>
              <w:left w:val="nil"/>
              <w:bottom w:val="nil"/>
              <w:right w:val="nil"/>
            </w:tcBorders>
            <w:shd w:val="clear" w:color="auto" w:fill="auto"/>
            <w:noWrap/>
            <w:vAlign w:val="bottom"/>
            <w:hideMark/>
          </w:tcPr>
          <w:p w14:paraId="612A4785" w14:textId="77777777" w:rsidR="00F851CC" w:rsidRPr="00DA59D4" w:rsidRDefault="00F851CC" w:rsidP="007A6126">
            <w:pPr>
              <w:pStyle w:val="Brezrazmikov"/>
              <w:rPr>
                <w:sz w:val="22"/>
                <w:szCs w:val="22"/>
              </w:rPr>
            </w:pPr>
            <w:r w:rsidRPr="00DA59D4">
              <w:rPr>
                <w:sz w:val="22"/>
                <w:szCs w:val="22"/>
              </w:rPr>
              <w:t>7.560</w:t>
            </w:r>
          </w:p>
        </w:tc>
        <w:tc>
          <w:tcPr>
            <w:tcW w:w="583" w:type="pct"/>
            <w:tcBorders>
              <w:top w:val="nil"/>
              <w:left w:val="nil"/>
              <w:bottom w:val="nil"/>
              <w:right w:val="nil"/>
            </w:tcBorders>
            <w:shd w:val="clear" w:color="auto" w:fill="auto"/>
            <w:noWrap/>
            <w:vAlign w:val="bottom"/>
            <w:hideMark/>
          </w:tcPr>
          <w:p w14:paraId="2E06AE95" w14:textId="77777777" w:rsidR="00F851CC" w:rsidRPr="00DA59D4" w:rsidRDefault="00F851CC" w:rsidP="007A6126">
            <w:pPr>
              <w:pStyle w:val="Brezrazmikov"/>
              <w:rPr>
                <w:sz w:val="22"/>
                <w:szCs w:val="22"/>
              </w:rPr>
            </w:pPr>
            <w:r w:rsidRPr="00DA59D4">
              <w:rPr>
                <w:sz w:val="22"/>
                <w:szCs w:val="22"/>
              </w:rPr>
              <w:t>922</w:t>
            </w:r>
          </w:p>
        </w:tc>
      </w:tr>
      <w:tr w:rsidR="00F851CC" w:rsidRPr="00DA59D4" w14:paraId="42127A75" w14:textId="77777777" w:rsidTr="007A6126">
        <w:trPr>
          <w:trHeight w:val="312"/>
        </w:trPr>
        <w:tc>
          <w:tcPr>
            <w:tcW w:w="1872" w:type="pct"/>
            <w:tcBorders>
              <w:top w:val="nil"/>
              <w:left w:val="nil"/>
              <w:bottom w:val="nil"/>
              <w:right w:val="nil"/>
            </w:tcBorders>
            <w:shd w:val="clear" w:color="auto" w:fill="auto"/>
            <w:noWrap/>
            <w:vAlign w:val="bottom"/>
            <w:hideMark/>
          </w:tcPr>
          <w:p w14:paraId="0F260344" w14:textId="77777777" w:rsidR="00F851CC" w:rsidRPr="00DA59D4" w:rsidRDefault="00F851CC" w:rsidP="007A6126">
            <w:pPr>
              <w:pStyle w:val="Brezrazmikov"/>
              <w:rPr>
                <w:sz w:val="22"/>
                <w:szCs w:val="22"/>
              </w:rPr>
            </w:pPr>
            <w:r w:rsidRPr="00DA59D4">
              <w:rPr>
                <w:sz w:val="22"/>
                <w:szCs w:val="22"/>
              </w:rPr>
              <w:t>Poslovni izid iz preteklih let</w:t>
            </w:r>
          </w:p>
        </w:tc>
        <w:tc>
          <w:tcPr>
            <w:tcW w:w="796" w:type="pct"/>
            <w:tcBorders>
              <w:top w:val="nil"/>
              <w:left w:val="nil"/>
              <w:bottom w:val="nil"/>
              <w:right w:val="nil"/>
            </w:tcBorders>
            <w:shd w:val="clear" w:color="auto" w:fill="auto"/>
            <w:noWrap/>
            <w:vAlign w:val="bottom"/>
            <w:hideMark/>
          </w:tcPr>
          <w:p w14:paraId="40580598" w14:textId="77777777" w:rsidR="00F851CC" w:rsidRPr="00DA59D4" w:rsidRDefault="00F851CC" w:rsidP="007A6126">
            <w:pPr>
              <w:pStyle w:val="Brezrazmikov"/>
              <w:rPr>
                <w:sz w:val="22"/>
                <w:szCs w:val="22"/>
              </w:rPr>
            </w:pPr>
            <w:r w:rsidRPr="00DA59D4">
              <w:rPr>
                <w:sz w:val="22"/>
                <w:szCs w:val="22"/>
              </w:rPr>
              <w:t>39.540</w:t>
            </w:r>
          </w:p>
        </w:tc>
        <w:tc>
          <w:tcPr>
            <w:tcW w:w="583" w:type="pct"/>
            <w:tcBorders>
              <w:top w:val="nil"/>
              <w:left w:val="nil"/>
              <w:bottom w:val="nil"/>
              <w:right w:val="nil"/>
            </w:tcBorders>
            <w:shd w:val="clear" w:color="auto" w:fill="auto"/>
            <w:noWrap/>
            <w:vAlign w:val="bottom"/>
            <w:hideMark/>
          </w:tcPr>
          <w:p w14:paraId="0BDB7369" w14:textId="77777777" w:rsidR="00F851CC" w:rsidRPr="00DA59D4" w:rsidRDefault="00F851CC" w:rsidP="007A6126">
            <w:pPr>
              <w:pStyle w:val="Brezrazmikov"/>
              <w:rPr>
                <w:sz w:val="22"/>
                <w:szCs w:val="22"/>
              </w:rPr>
            </w:pPr>
            <w:r w:rsidRPr="00DA59D4">
              <w:rPr>
                <w:sz w:val="22"/>
                <w:szCs w:val="22"/>
              </w:rPr>
              <w:t>12.829</w:t>
            </w:r>
          </w:p>
        </w:tc>
        <w:tc>
          <w:tcPr>
            <w:tcW w:w="583" w:type="pct"/>
            <w:tcBorders>
              <w:top w:val="nil"/>
              <w:left w:val="nil"/>
              <w:bottom w:val="nil"/>
              <w:right w:val="nil"/>
            </w:tcBorders>
            <w:shd w:val="clear" w:color="auto" w:fill="auto"/>
            <w:noWrap/>
            <w:vAlign w:val="bottom"/>
            <w:hideMark/>
          </w:tcPr>
          <w:p w14:paraId="7CE738CA" w14:textId="77777777" w:rsidR="00F851CC" w:rsidRPr="00DA59D4" w:rsidRDefault="00F851CC" w:rsidP="007A6126">
            <w:pPr>
              <w:pStyle w:val="Brezrazmikov"/>
              <w:rPr>
                <w:sz w:val="22"/>
                <w:szCs w:val="22"/>
              </w:rPr>
            </w:pPr>
            <w:r w:rsidRPr="00DA59D4">
              <w:rPr>
                <w:sz w:val="22"/>
                <w:szCs w:val="22"/>
              </w:rPr>
              <w:t>6.145</w:t>
            </w:r>
          </w:p>
        </w:tc>
        <w:tc>
          <w:tcPr>
            <w:tcW w:w="583" w:type="pct"/>
            <w:tcBorders>
              <w:top w:val="nil"/>
              <w:left w:val="nil"/>
              <w:bottom w:val="nil"/>
              <w:right w:val="nil"/>
            </w:tcBorders>
            <w:shd w:val="clear" w:color="auto" w:fill="auto"/>
            <w:noWrap/>
            <w:vAlign w:val="bottom"/>
            <w:hideMark/>
          </w:tcPr>
          <w:p w14:paraId="4D7A9FAF" w14:textId="77777777" w:rsidR="00F851CC" w:rsidRPr="00DA59D4" w:rsidRDefault="00F851CC" w:rsidP="007A6126">
            <w:pPr>
              <w:pStyle w:val="Brezrazmikov"/>
              <w:rPr>
                <w:sz w:val="22"/>
                <w:szCs w:val="22"/>
              </w:rPr>
            </w:pPr>
            <w:r w:rsidRPr="00DA59D4">
              <w:rPr>
                <w:sz w:val="22"/>
                <w:szCs w:val="22"/>
              </w:rPr>
              <w:t>55.592</w:t>
            </w:r>
          </w:p>
        </w:tc>
        <w:tc>
          <w:tcPr>
            <w:tcW w:w="583" w:type="pct"/>
            <w:tcBorders>
              <w:top w:val="nil"/>
              <w:left w:val="nil"/>
              <w:bottom w:val="nil"/>
              <w:right w:val="nil"/>
            </w:tcBorders>
            <w:shd w:val="clear" w:color="auto" w:fill="auto"/>
            <w:noWrap/>
            <w:vAlign w:val="bottom"/>
            <w:hideMark/>
          </w:tcPr>
          <w:p w14:paraId="744CD19D" w14:textId="77777777" w:rsidR="00F851CC" w:rsidRPr="00DA59D4" w:rsidRDefault="00F851CC" w:rsidP="007A6126">
            <w:pPr>
              <w:pStyle w:val="Brezrazmikov"/>
              <w:rPr>
                <w:sz w:val="22"/>
                <w:szCs w:val="22"/>
              </w:rPr>
            </w:pPr>
            <w:r w:rsidRPr="00DA59D4">
              <w:rPr>
                <w:sz w:val="22"/>
                <w:szCs w:val="22"/>
              </w:rPr>
              <w:t>73.597</w:t>
            </w:r>
          </w:p>
        </w:tc>
      </w:tr>
      <w:tr w:rsidR="00F851CC" w:rsidRPr="00DA59D4" w14:paraId="4649988E" w14:textId="77777777" w:rsidTr="007A6126">
        <w:trPr>
          <w:trHeight w:val="324"/>
        </w:trPr>
        <w:tc>
          <w:tcPr>
            <w:tcW w:w="1872" w:type="pct"/>
            <w:tcBorders>
              <w:top w:val="nil"/>
              <w:left w:val="nil"/>
              <w:bottom w:val="nil"/>
              <w:right w:val="nil"/>
            </w:tcBorders>
            <w:shd w:val="clear" w:color="auto" w:fill="auto"/>
            <w:noWrap/>
            <w:vAlign w:val="bottom"/>
            <w:hideMark/>
          </w:tcPr>
          <w:p w14:paraId="59F0AF3F" w14:textId="77777777" w:rsidR="00F851CC" w:rsidRPr="00DA59D4" w:rsidRDefault="00F851CC" w:rsidP="007A6126">
            <w:pPr>
              <w:pStyle w:val="Brezrazmikov"/>
              <w:rPr>
                <w:sz w:val="22"/>
                <w:szCs w:val="22"/>
              </w:rPr>
            </w:pPr>
            <w:proofErr w:type="spellStart"/>
            <w:r w:rsidRPr="00DA59D4">
              <w:rPr>
                <w:sz w:val="22"/>
                <w:szCs w:val="22"/>
              </w:rPr>
              <w:t>Prevedbena</w:t>
            </w:r>
            <w:proofErr w:type="spellEnd"/>
            <w:r w:rsidRPr="00DA59D4">
              <w:rPr>
                <w:sz w:val="22"/>
                <w:szCs w:val="22"/>
              </w:rPr>
              <w:t xml:space="preserve"> rezerva   </w:t>
            </w:r>
          </w:p>
        </w:tc>
        <w:tc>
          <w:tcPr>
            <w:tcW w:w="796" w:type="pct"/>
            <w:tcBorders>
              <w:top w:val="nil"/>
              <w:left w:val="nil"/>
              <w:bottom w:val="nil"/>
              <w:right w:val="nil"/>
            </w:tcBorders>
            <w:shd w:val="clear" w:color="auto" w:fill="auto"/>
            <w:noWrap/>
            <w:vAlign w:val="bottom"/>
            <w:hideMark/>
          </w:tcPr>
          <w:p w14:paraId="017FEE70" w14:textId="77777777" w:rsidR="00F851CC" w:rsidRPr="00DA59D4" w:rsidRDefault="00F851CC" w:rsidP="007A6126">
            <w:pPr>
              <w:pStyle w:val="Brezrazmikov"/>
              <w:rPr>
                <w:sz w:val="22"/>
                <w:szCs w:val="22"/>
              </w:rPr>
            </w:pPr>
            <w:r w:rsidRPr="00DA59D4">
              <w:rPr>
                <w:sz w:val="22"/>
                <w:szCs w:val="22"/>
              </w:rPr>
              <w:t>-4.435</w:t>
            </w:r>
          </w:p>
        </w:tc>
        <w:tc>
          <w:tcPr>
            <w:tcW w:w="583" w:type="pct"/>
            <w:tcBorders>
              <w:top w:val="nil"/>
              <w:left w:val="nil"/>
              <w:bottom w:val="nil"/>
              <w:right w:val="nil"/>
            </w:tcBorders>
            <w:shd w:val="clear" w:color="auto" w:fill="auto"/>
            <w:noWrap/>
            <w:vAlign w:val="bottom"/>
            <w:hideMark/>
          </w:tcPr>
          <w:p w14:paraId="23EAFD68" w14:textId="77777777" w:rsidR="00F851CC" w:rsidRPr="00DA59D4" w:rsidRDefault="00F851CC" w:rsidP="007A6126">
            <w:pPr>
              <w:pStyle w:val="Brezrazmikov"/>
              <w:rPr>
                <w:sz w:val="22"/>
                <w:szCs w:val="22"/>
              </w:rPr>
            </w:pPr>
            <w:r w:rsidRPr="00DA59D4">
              <w:rPr>
                <w:sz w:val="22"/>
                <w:szCs w:val="22"/>
              </w:rPr>
              <w:t>-17.600</w:t>
            </w:r>
          </w:p>
        </w:tc>
        <w:tc>
          <w:tcPr>
            <w:tcW w:w="583" w:type="pct"/>
            <w:tcBorders>
              <w:top w:val="nil"/>
              <w:left w:val="nil"/>
              <w:bottom w:val="nil"/>
              <w:right w:val="nil"/>
            </w:tcBorders>
            <w:shd w:val="clear" w:color="auto" w:fill="auto"/>
            <w:noWrap/>
            <w:vAlign w:val="bottom"/>
            <w:hideMark/>
          </w:tcPr>
          <w:p w14:paraId="09083389" w14:textId="77777777" w:rsidR="00F851CC" w:rsidRPr="00DA59D4" w:rsidRDefault="00F851CC" w:rsidP="007A6126">
            <w:pPr>
              <w:pStyle w:val="Brezrazmikov"/>
              <w:rPr>
                <w:sz w:val="22"/>
                <w:szCs w:val="22"/>
              </w:rPr>
            </w:pPr>
            <w:r w:rsidRPr="00DA59D4">
              <w:rPr>
                <w:sz w:val="22"/>
                <w:szCs w:val="22"/>
              </w:rPr>
              <w:t>-19.049</w:t>
            </w:r>
          </w:p>
        </w:tc>
        <w:tc>
          <w:tcPr>
            <w:tcW w:w="583" w:type="pct"/>
            <w:tcBorders>
              <w:top w:val="nil"/>
              <w:left w:val="nil"/>
              <w:bottom w:val="nil"/>
              <w:right w:val="nil"/>
            </w:tcBorders>
            <w:shd w:val="clear" w:color="auto" w:fill="auto"/>
            <w:noWrap/>
            <w:vAlign w:val="bottom"/>
            <w:hideMark/>
          </w:tcPr>
          <w:p w14:paraId="1AADC8F4" w14:textId="77777777" w:rsidR="00F851CC" w:rsidRPr="00DA59D4" w:rsidRDefault="00F851CC" w:rsidP="007A6126">
            <w:pPr>
              <w:pStyle w:val="Brezrazmikov"/>
              <w:rPr>
                <w:sz w:val="22"/>
                <w:szCs w:val="22"/>
              </w:rPr>
            </w:pPr>
            <w:r w:rsidRPr="00DA59D4">
              <w:rPr>
                <w:sz w:val="22"/>
                <w:szCs w:val="22"/>
              </w:rPr>
              <w:t>-17.311</w:t>
            </w:r>
          </w:p>
        </w:tc>
        <w:tc>
          <w:tcPr>
            <w:tcW w:w="583" w:type="pct"/>
            <w:tcBorders>
              <w:top w:val="nil"/>
              <w:left w:val="nil"/>
              <w:bottom w:val="nil"/>
              <w:right w:val="nil"/>
            </w:tcBorders>
            <w:shd w:val="clear" w:color="auto" w:fill="auto"/>
            <w:noWrap/>
            <w:vAlign w:val="bottom"/>
            <w:hideMark/>
          </w:tcPr>
          <w:p w14:paraId="180300FD" w14:textId="77777777" w:rsidR="00F851CC" w:rsidRPr="00DA59D4" w:rsidRDefault="00F851CC" w:rsidP="007A6126">
            <w:pPr>
              <w:pStyle w:val="Brezrazmikov"/>
              <w:rPr>
                <w:sz w:val="22"/>
                <w:szCs w:val="22"/>
              </w:rPr>
            </w:pPr>
            <w:r w:rsidRPr="00DA59D4">
              <w:rPr>
                <w:sz w:val="22"/>
                <w:szCs w:val="22"/>
              </w:rPr>
              <w:t>-13.723</w:t>
            </w:r>
          </w:p>
        </w:tc>
      </w:tr>
      <w:tr w:rsidR="00F851CC" w:rsidRPr="00DA59D4" w14:paraId="19698CF4" w14:textId="77777777" w:rsidTr="007A6126">
        <w:trPr>
          <w:trHeight w:val="312"/>
        </w:trPr>
        <w:tc>
          <w:tcPr>
            <w:tcW w:w="1872" w:type="pct"/>
            <w:tcBorders>
              <w:top w:val="nil"/>
              <w:left w:val="nil"/>
              <w:bottom w:val="nil"/>
              <w:right w:val="nil"/>
            </w:tcBorders>
            <w:shd w:val="clear" w:color="auto" w:fill="auto"/>
            <w:noWrap/>
            <w:vAlign w:val="bottom"/>
            <w:hideMark/>
          </w:tcPr>
          <w:p w14:paraId="106E48FB" w14:textId="77777777" w:rsidR="00F851CC" w:rsidRPr="00DA59D4" w:rsidRDefault="00F851CC" w:rsidP="007A6126">
            <w:pPr>
              <w:pStyle w:val="Brezrazmikov"/>
              <w:rPr>
                <w:sz w:val="22"/>
                <w:szCs w:val="22"/>
              </w:rPr>
            </w:pPr>
            <w:r w:rsidRPr="00DA59D4">
              <w:rPr>
                <w:sz w:val="22"/>
                <w:szCs w:val="22"/>
              </w:rPr>
              <w:t xml:space="preserve">Rezerva za pošteno vrednost </w:t>
            </w:r>
          </w:p>
        </w:tc>
        <w:tc>
          <w:tcPr>
            <w:tcW w:w="796" w:type="pct"/>
            <w:tcBorders>
              <w:top w:val="nil"/>
              <w:left w:val="nil"/>
              <w:bottom w:val="nil"/>
              <w:right w:val="nil"/>
            </w:tcBorders>
            <w:shd w:val="clear" w:color="auto" w:fill="auto"/>
            <w:noWrap/>
            <w:vAlign w:val="bottom"/>
            <w:hideMark/>
          </w:tcPr>
          <w:p w14:paraId="71F2889E" w14:textId="77777777" w:rsidR="00F851CC" w:rsidRPr="00DA59D4" w:rsidRDefault="00F851CC" w:rsidP="007A6126">
            <w:pPr>
              <w:pStyle w:val="Brezrazmikov"/>
              <w:rPr>
                <w:sz w:val="22"/>
                <w:szCs w:val="22"/>
              </w:rPr>
            </w:pPr>
            <w:r w:rsidRPr="00DA59D4">
              <w:rPr>
                <w:sz w:val="22"/>
                <w:szCs w:val="22"/>
              </w:rPr>
              <w:t>9.007</w:t>
            </w:r>
          </w:p>
        </w:tc>
        <w:tc>
          <w:tcPr>
            <w:tcW w:w="583" w:type="pct"/>
            <w:tcBorders>
              <w:top w:val="nil"/>
              <w:left w:val="nil"/>
              <w:bottom w:val="nil"/>
              <w:right w:val="nil"/>
            </w:tcBorders>
            <w:shd w:val="clear" w:color="auto" w:fill="auto"/>
            <w:noWrap/>
            <w:vAlign w:val="bottom"/>
            <w:hideMark/>
          </w:tcPr>
          <w:p w14:paraId="00700186" w14:textId="77777777" w:rsidR="00F851CC" w:rsidRPr="00DA59D4" w:rsidRDefault="00F851CC" w:rsidP="007A6126">
            <w:pPr>
              <w:pStyle w:val="Brezrazmikov"/>
              <w:rPr>
                <w:sz w:val="22"/>
                <w:szCs w:val="22"/>
              </w:rPr>
            </w:pPr>
            <w:r w:rsidRPr="00DA59D4">
              <w:rPr>
                <w:sz w:val="22"/>
                <w:szCs w:val="22"/>
              </w:rPr>
              <w:t>10.912</w:t>
            </w:r>
          </w:p>
        </w:tc>
        <w:tc>
          <w:tcPr>
            <w:tcW w:w="583" w:type="pct"/>
            <w:tcBorders>
              <w:top w:val="nil"/>
              <w:left w:val="nil"/>
              <w:bottom w:val="nil"/>
              <w:right w:val="nil"/>
            </w:tcBorders>
            <w:shd w:val="clear" w:color="auto" w:fill="auto"/>
            <w:noWrap/>
            <w:vAlign w:val="bottom"/>
            <w:hideMark/>
          </w:tcPr>
          <w:p w14:paraId="63F72959" w14:textId="77777777" w:rsidR="00F851CC" w:rsidRPr="00DA59D4" w:rsidRDefault="00F851CC" w:rsidP="007A6126">
            <w:pPr>
              <w:pStyle w:val="Brezrazmikov"/>
              <w:rPr>
                <w:sz w:val="22"/>
                <w:szCs w:val="22"/>
              </w:rPr>
            </w:pPr>
            <w:r w:rsidRPr="00DA59D4">
              <w:rPr>
                <w:sz w:val="22"/>
                <w:szCs w:val="22"/>
              </w:rPr>
              <w:t>9.485</w:t>
            </w:r>
          </w:p>
        </w:tc>
        <w:tc>
          <w:tcPr>
            <w:tcW w:w="583" w:type="pct"/>
            <w:tcBorders>
              <w:top w:val="nil"/>
              <w:left w:val="nil"/>
              <w:bottom w:val="nil"/>
              <w:right w:val="nil"/>
            </w:tcBorders>
            <w:shd w:val="clear" w:color="auto" w:fill="auto"/>
            <w:noWrap/>
            <w:vAlign w:val="bottom"/>
            <w:hideMark/>
          </w:tcPr>
          <w:p w14:paraId="1BFA39F7" w14:textId="77777777" w:rsidR="00F851CC" w:rsidRPr="00DA59D4" w:rsidRDefault="00F851CC" w:rsidP="007A6126">
            <w:pPr>
              <w:pStyle w:val="Brezrazmikov"/>
              <w:rPr>
                <w:sz w:val="22"/>
                <w:szCs w:val="22"/>
              </w:rPr>
            </w:pPr>
            <w:r w:rsidRPr="00DA59D4">
              <w:rPr>
                <w:sz w:val="22"/>
                <w:szCs w:val="22"/>
              </w:rPr>
              <w:t>-733</w:t>
            </w:r>
          </w:p>
        </w:tc>
        <w:tc>
          <w:tcPr>
            <w:tcW w:w="583" w:type="pct"/>
            <w:tcBorders>
              <w:top w:val="nil"/>
              <w:left w:val="nil"/>
              <w:bottom w:val="nil"/>
              <w:right w:val="nil"/>
            </w:tcBorders>
            <w:shd w:val="clear" w:color="auto" w:fill="auto"/>
            <w:noWrap/>
            <w:vAlign w:val="bottom"/>
            <w:hideMark/>
          </w:tcPr>
          <w:p w14:paraId="698E769E" w14:textId="77777777" w:rsidR="00F851CC" w:rsidRPr="00DA59D4" w:rsidRDefault="00F851CC" w:rsidP="007A6126">
            <w:pPr>
              <w:pStyle w:val="Brezrazmikov"/>
              <w:rPr>
                <w:sz w:val="22"/>
                <w:szCs w:val="22"/>
              </w:rPr>
            </w:pPr>
            <w:r w:rsidRPr="00DA59D4">
              <w:rPr>
                <w:sz w:val="22"/>
                <w:szCs w:val="22"/>
              </w:rPr>
              <w:t>-454</w:t>
            </w:r>
          </w:p>
        </w:tc>
      </w:tr>
      <w:tr w:rsidR="00F851CC" w:rsidRPr="00DA59D4" w14:paraId="312C9BCD" w14:textId="77777777" w:rsidTr="007A6126">
        <w:trPr>
          <w:trHeight w:val="312"/>
        </w:trPr>
        <w:tc>
          <w:tcPr>
            <w:tcW w:w="1872" w:type="pct"/>
            <w:tcBorders>
              <w:top w:val="nil"/>
              <w:left w:val="nil"/>
              <w:bottom w:val="single" w:sz="4" w:space="0" w:color="auto"/>
              <w:right w:val="nil"/>
            </w:tcBorders>
            <w:shd w:val="clear" w:color="auto" w:fill="auto"/>
            <w:noWrap/>
            <w:vAlign w:val="bottom"/>
            <w:hideMark/>
          </w:tcPr>
          <w:p w14:paraId="0151224B" w14:textId="77777777" w:rsidR="00F851CC" w:rsidRPr="00DA59D4" w:rsidRDefault="00F851CC" w:rsidP="007A6126">
            <w:pPr>
              <w:pStyle w:val="Brezrazmikov"/>
              <w:rPr>
                <w:sz w:val="22"/>
                <w:szCs w:val="22"/>
              </w:rPr>
            </w:pPr>
            <w:r w:rsidRPr="00DA59D4">
              <w:rPr>
                <w:sz w:val="22"/>
                <w:szCs w:val="22"/>
              </w:rPr>
              <w:t xml:space="preserve">Kapital </w:t>
            </w:r>
            <w:proofErr w:type="spellStart"/>
            <w:r w:rsidRPr="00DA59D4">
              <w:rPr>
                <w:sz w:val="22"/>
                <w:szCs w:val="22"/>
              </w:rPr>
              <w:t>neobvladujočih</w:t>
            </w:r>
            <w:proofErr w:type="spellEnd"/>
            <w:r w:rsidRPr="00DA59D4">
              <w:rPr>
                <w:sz w:val="22"/>
                <w:szCs w:val="22"/>
              </w:rPr>
              <w:t xml:space="preserve"> deležev  </w:t>
            </w:r>
          </w:p>
        </w:tc>
        <w:tc>
          <w:tcPr>
            <w:tcW w:w="796" w:type="pct"/>
            <w:tcBorders>
              <w:top w:val="nil"/>
              <w:left w:val="nil"/>
              <w:bottom w:val="single" w:sz="4" w:space="0" w:color="auto"/>
              <w:right w:val="nil"/>
            </w:tcBorders>
            <w:shd w:val="clear" w:color="auto" w:fill="auto"/>
            <w:noWrap/>
            <w:vAlign w:val="bottom"/>
            <w:hideMark/>
          </w:tcPr>
          <w:p w14:paraId="209D4CD2" w14:textId="77777777" w:rsidR="00F851CC" w:rsidRPr="00DA59D4" w:rsidRDefault="00F851CC" w:rsidP="007A6126">
            <w:pPr>
              <w:pStyle w:val="Brezrazmikov"/>
              <w:rPr>
                <w:sz w:val="22"/>
                <w:szCs w:val="22"/>
              </w:rPr>
            </w:pPr>
            <w:r w:rsidRPr="00DA59D4">
              <w:rPr>
                <w:sz w:val="22"/>
                <w:szCs w:val="22"/>
              </w:rPr>
              <w:t>2.813</w:t>
            </w:r>
          </w:p>
        </w:tc>
        <w:tc>
          <w:tcPr>
            <w:tcW w:w="583" w:type="pct"/>
            <w:tcBorders>
              <w:top w:val="nil"/>
              <w:left w:val="nil"/>
              <w:bottom w:val="single" w:sz="4" w:space="0" w:color="auto"/>
              <w:right w:val="nil"/>
            </w:tcBorders>
            <w:shd w:val="clear" w:color="auto" w:fill="auto"/>
            <w:noWrap/>
            <w:vAlign w:val="bottom"/>
            <w:hideMark/>
          </w:tcPr>
          <w:p w14:paraId="4D98E942" w14:textId="77777777" w:rsidR="00F851CC" w:rsidRPr="00DA59D4" w:rsidRDefault="00F851CC" w:rsidP="007A6126">
            <w:pPr>
              <w:pStyle w:val="Brezrazmikov"/>
              <w:rPr>
                <w:sz w:val="22"/>
                <w:szCs w:val="22"/>
              </w:rPr>
            </w:pPr>
            <w:r w:rsidRPr="00DA59D4">
              <w:rPr>
                <w:sz w:val="22"/>
                <w:szCs w:val="22"/>
              </w:rPr>
              <w:t>2.839</w:t>
            </w:r>
          </w:p>
        </w:tc>
        <w:tc>
          <w:tcPr>
            <w:tcW w:w="583" w:type="pct"/>
            <w:tcBorders>
              <w:top w:val="nil"/>
              <w:left w:val="nil"/>
              <w:bottom w:val="single" w:sz="4" w:space="0" w:color="auto"/>
              <w:right w:val="nil"/>
            </w:tcBorders>
            <w:shd w:val="clear" w:color="auto" w:fill="auto"/>
            <w:noWrap/>
            <w:vAlign w:val="bottom"/>
            <w:hideMark/>
          </w:tcPr>
          <w:p w14:paraId="7E396D90" w14:textId="77777777" w:rsidR="00F851CC" w:rsidRPr="00DA59D4" w:rsidRDefault="00F851CC" w:rsidP="007A6126">
            <w:pPr>
              <w:pStyle w:val="Brezrazmikov"/>
              <w:rPr>
                <w:sz w:val="22"/>
                <w:szCs w:val="22"/>
              </w:rPr>
            </w:pPr>
            <w:r w:rsidRPr="00DA59D4">
              <w:rPr>
                <w:sz w:val="22"/>
                <w:szCs w:val="22"/>
              </w:rPr>
              <w:t>3.128</w:t>
            </w:r>
          </w:p>
        </w:tc>
        <w:tc>
          <w:tcPr>
            <w:tcW w:w="583" w:type="pct"/>
            <w:tcBorders>
              <w:top w:val="nil"/>
              <w:left w:val="nil"/>
              <w:bottom w:val="single" w:sz="4" w:space="0" w:color="auto"/>
              <w:right w:val="nil"/>
            </w:tcBorders>
            <w:shd w:val="clear" w:color="auto" w:fill="auto"/>
            <w:noWrap/>
            <w:vAlign w:val="bottom"/>
            <w:hideMark/>
          </w:tcPr>
          <w:p w14:paraId="7C2D3B13" w14:textId="77777777" w:rsidR="00F851CC" w:rsidRPr="00DA59D4" w:rsidRDefault="00F851CC" w:rsidP="007A6126">
            <w:pPr>
              <w:pStyle w:val="Brezrazmikov"/>
              <w:rPr>
                <w:sz w:val="22"/>
                <w:szCs w:val="22"/>
              </w:rPr>
            </w:pPr>
            <w:r w:rsidRPr="00DA59D4">
              <w:rPr>
                <w:sz w:val="22"/>
                <w:szCs w:val="22"/>
              </w:rPr>
              <w:t>2.164</w:t>
            </w:r>
          </w:p>
        </w:tc>
        <w:tc>
          <w:tcPr>
            <w:tcW w:w="583" w:type="pct"/>
            <w:tcBorders>
              <w:top w:val="nil"/>
              <w:left w:val="nil"/>
              <w:bottom w:val="single" w:sz="4" w:space="0" w:color="auto"/>
              <w:right w:val="nil"/>
            </w:tcBorders>
            <w:shd w:val="clear" w:color="auto" w:fill="auto"/>
            <w:noWrap/>
            <w:vAlign w:val="bottom"/>
            <w:hideMark/>
          </w:tcPr>
          <w:p w14:paraId="6E403B37" w14:textId="77777777" w:rsidR="00F851CC" w:rsidRPr="00DA59D4" w:rsidRDefault="00F851CC" w:rsidP="007A6126">
            <w:pPr>
              <w:pStyle w:val="Brezrazmikov"/>
              <w:rPr>
                <w:sz w:val="22"/>
                <w:szCs w:val="22"/>
              </w:rPr>
            </w:pPr>
            <w:r w:rsidRPr="00DA59D4">
              <w:rPr>
                <w:sz w:val="22"/>
                <w:szCs w:val="22"/>
              </w:rPr>
              <w:t>1.617</w:t>
            </w:r>
          </w:p>
        </w:tc>
      </w:tr>
      <w:tr w:rsidR="00F851CC" w:rsidRPr="00DA59D4" w14:paraId="3F6BED42" w14:textId="77777777" w:rsidTr="007A6126">
        <w:trPr>
          <w:trHeight w:val="312"/>
        </w:trPr>
        <w:tc>
          <w:tcPr>
            <w:tcW w:w="1872" w:type="pct"/>
            <w:tcBorders>
              <w:top w:val="nil"/>
              <w:left w:val="nil"/>
              <w:bottom w:val="single" w:sz="4" w:space="0" w:color="auto"/>
              <w:right w:val="nil"/>
            </w:tcBorders>
            <w:shd w:val="clear" w:color="auto" w:fill="auto"/>
            <w:noWrap/>
            <w:vAlign w:val="bottom"/>
            <w:hideMark/>
          </w:tcPr>
          <w:p w14:paraId="1761D3D4" w14:textId="77777777" w:rsidR="00F851CC" w:rsidRPr="00DA59D4" w:rsidRDefault="00F851CC" w:rsidP="007A6126">
            <w:pPr>
              <w:pStyle w:val="Brezrazmikov"/>
              <w:rPr>
                <w:b/>
                <w:bCs/>
                <w:sz w:val="22"/>
                <w:szCs w:val="22"/>
              </w:rPr>
            </w:pPr>
            <w:r w:rsidRPr="00DA59D4">
              <w:rPr>
                <w:b/>
                <w:bCs/>
                <w:sz w:val="22"/>
                <w:szCs w:val="22"/>
              </w:rPr>
              <w:t xml:space="preserve">Dolgoročne obveznosti   </w:t>
            </w:r>
          </w:p>
        </w:tc>
        <w:tc>
          <w:tcPr>
            <w:tcW w:w="796" w:type="pct"/>
            <w:tcBorders>
              <w:top w:val="nil"/>
              <w:left w:val="nil"/>
              <w:bottom w:val="single" w:sz="4" w:space="0" w:color="auto"/>
              <w:right w:val="nil"/>
            </w:tcBorders>
            <w:shd w:val="clear" w:color="auto" w:fill="auto"/>
            <w:noWrap/>
            <w:vAlign w:val="bottom"/>
            <w:hideMark/>
          </w:tcPr>
          <w:p w14:paraId="1F082304" w14:textId="77777777" w:rsidR="00F851CC" w:rsidRPr="00DA59D4" w:rsidRDefault="00F851CC" w:rsidP="007A6126">
            <w:pPr>
              <w:pStyle w:val="Brezrazmikov"/>
              <w:rPr>
                <w:b/>
                <w:bCs/>
                <w:sz w:val="22"/>
                <w:szCs w:val="22"/>
              </w:rPr>
            </w:pPr>
            <w:r w:rsidRPr="00DA59D4">
              <w:rPr>
                <w:b/>
                <w:bCs/>
                <w:sz w:val="22"/>
                <w:szCs w:val="22"/>
              </w:rPr>
              <w:t>278.973</w:t>
            </w:r>
          </w:p>
        </w:tc>
        <w:tc>
          <w:tcPr>
            <w:tcW w:w="583" w:type="pct"/>
            <w:tcBorders>
              <w:top w:val="nil"/>
              <w:left w:val="nil"/>
              <w:bottom w:val="single" w:sz="4" w:space="0" w:color="auto"/>
              <w:right w:val="nil"/>
            </w:tcBorders>
            <w:shd w:val="clear" w:color="auto" w:fill="auto"/>
            <w:noWrap/>
            <w:vAlign w:val="bottom"/>
            <w:hideMark/>
          </w:tcPr>
          <w:p w14:paraId="1634105F" w14:textId="77777777" w:rsidR="00F851CC" w:rsidRPr="00DA59D4" w:rsidRDefault="00F851CC" w:rsidP="007A6126">
            <w:pPr>
              <w:pStyle w:val="Brezrazmikov"/>
              <w:rPr>
                <w:b/>
                <w:bCs/>
                <w:sz w:val="22"/>
                <w:szCs w:val="22"/>
              </w:rPr>
            </w:pPr>
            <w:r w:rsidRPr="00DA59D4">
              <w:rPr>
                <w:b/>
                <w:bCs/>
                <w:sz w:val="22"/>
                <w:szCs w:val="22"/>
              </w:rPr>
              <w:t>348.390</w:t>
            </w:r>
          </w:p>
        </w:tc>
        <w:tc>
          <w:tcPr>
            <w:tcW w:w="583" w:type="pct"/>
            <w:tcBorders>
              <w:top w:val="nil"/>
              <w:left w:val="nil"/>
              <w:bottom w:val="single" w:sz="4" w:space="0" w:color="auto"/>
              <w:right w:val="nil"/>
            </w:tcBorders>
            <w:shd w:val="clear" w:color="auto" w:fill="auto"/>
            <w:noWrap/>
            <w:vAlign w:val="bottom"/>
            <w:hideMark/>
          </w:tcPr>
          <w:p w14:paraId="6664BDAA" w14:textId="77777777" w:rsidR="00F851CC" w:rsidRPr="00DA59D4" w:rsidRDefault="00F851CC" w:rsidP="007A6126">
            <w:pPr>
              <w:pStyle w:val="Brezrazmikov"/>
              <w:rPr>
                <w:b/>
                <w:bCs/>
                <w:sz w:val="22"/>
                <w:szCs w:val="22"/>
              </w:rPr>
            </w:pPr>
            <w:r w:rsidRPr="00DA59D4">
              <w:rPr>
                <w:b/>
                <w:bCs/>
                <w:sz w:val="22"/>
                <w:szCs w:val="22"/>
              </w:rPr>
              <w:t>345.298</w:t>
            </w:r>
          </w:p>
        </w:tc>
        <w:tc>
          <w:tcPr>
            <w:tcW w:w="583" w:type="pct"/>
            <w:tcBorders>
              <w:top w:val="nil"/>
              <w:left w:val="nil"/>
              <w:bottom w:val="single" w:sz="4" w:space="0" w:color="auto"/>
              <w:right w:val="nil"/>
            </w:tcBorders>
            <w:shd w:val="clear" w:color="auto" w:fill="auto"/>
            <w:noWrap/>
            <w:vAlign w:val="bottom"/>
            <w:hideMark/>
          </w:tcPr>
          <w:p w14:paraId="41CD0297" w14:textId="77777777" w:rsidR="00F851CC" w:rsidRPr="00DA59D4" w:rsidRDefault="00F851CC" w:rsidP="007A6126">
            <w:pPr>
              <w:pStyle w:val="Brezrazmikov"/>
              <w:rPr>
                <w:b/>
                <w:bCs/>
                <w:sz w:val="22"/>
                <w:szCs w:val="22"/>
              </w:rPr>
            </w:pPr>
            <w:r w:rsidRPr="00DA59D4">
              <w:rPr>
                <w:b/>
                <w:bCs/>
                <w:sz w:val="22"/>
                <w:szCs w:val="22"/>
              </w:rPr>
              <w:t>350.469</w:t>
            </w:r>
          </w:p>
        </w:tc>
        <w:tc>
          <w:tcPr>
            <w:tcW w:w="583" w:type="pct"/>
            <w:tcBorders>
              <w:top w:val="nil"/>
              <w:left w:val="nil"/>
              <w:bottom w:val="single" w:sz="4" w:space="0" w:color="auto"/>
              <w:right w:val="nil"/>
            </w:tcBorders>
            <w:shd w:val="clear" w:color="auto" w:fill="auto"/>
            <w:noWrap/>
            <w:vAlign w:val="bottom"/>
            <w:hideMark/>
          </w:tcPr>
          <w:p w14:paraId="70E940E8" w14:textId="77777777" w:rsidR="00F851CC" w:rsidRPr="00DA59D4" w:rsidRDefault="00F851CC" w:rsidP="007A6126">
            <w:pPr>
              <w:pStyle w:val="Brezrazmikov"/>
              <w:rPr>
                <w:b/>
                <w:bCs/>
                <w:sz w:val="22"/>
                <w:szCs w:val="22"/>
              </w:rPr>
            </w:pPr>
            <w:r w:rsidRPr="00DA59D4">
              <w:rPr>
                <w:b/>
                <w:bCs/>
                <w:sz w:val="22"/>
                <w:szCs w:val="22"/>
              </w:rPr>
              <w:t>365.278</w:t>
            </w:r>
          </w:p>
        </w:tc>
      </w:tr>
      <w:tr w:rsidR="00F851CC" w:rsidRPr="00DA59D4" w14:paraId="13482993" w14:textId="77777777" w:rsidTr="007A6126">
        <w:trPr>
          <w:trHeight w:val="324"/>
        </w:trPr>
        <w:tc>
          <w:tcPr>
            <w:tcW w:w="1872" w:type="pct"/>
            <w:tcBorders>
              <w:top w:val="nil"/>
              <w:left w:val="nil"/>
              <w:bottom w:val="nil"/>
              <w:right w:val="nil"/>
            </w:tcBorders>
            <w:shd w:val="clear" w:color="auto" w:fill="auto"/>
            <w:noWrap/>
            <w:vAlign w:val="bottom"/>
            <w:hideMark/>
          </w:tcPr>
          <w:p w14:paraId="2A79C2E3" w14:textId="77777777" w:rsidR="00F851CC" w:rsidRPr="00DA59D4" w:rsidRDefault="00F851CC" w:rsidP="007A6126">
            <w:pPr>
              <w:pStyle w:val="Brezrazmikov"/>
              <w:rPr>
                <w:sz w:val="22"/>
                <w:szCs w:val="22"/>
              </w:rPr>
            </w:pPr>
            <w:r w:rsidRPr="00DA59D4">
              <w:rPr>
                <w:sz w:val="22"/>
                <w:szCs w:val="22"/>
              </w:rPr>
              <w:t xml:space="preserve">Rezervacije    </w:t>
            </w:r>
          </w:p>
        </w:tc>
        <w:tc>
          <w:tcPr>
            <w:tcW w:w="796" w:type="pct"/>
            <w:tcBorders>
              <w:top w:val="nil"/>
              <w:left w:val="nil"/>
              <w:bottom w:val="nil"/>
              <w:right w:val="nil"/>
            </w:tcBorders>
            <w:shd w:val="clear" w:color="auto" w:fill="auto"/>
            <w:noWrap/>
            <w:vAlign w:val="bottom"/>
            <w:hideMark/>
          </w:tcPr>
          <w:p w14:paraId="1C364400" w14:textId="77777777" w:rsidR="00F851CC" w:rsidRPr="00DA59D4" w:rsidRDefault="00F851CC" w:rsidP="007A6126">
            <w:pPr>
              <w:pStyle w:val="Brezrazmikov"/>
              <w:rPr>
                <w:sz w:val="22"/>
                <w:szCs w:val="22"/>
              </w:rPr>
            </w:pPr>
            <w:r w:rsidRPr="00DA59D4">
              <w:rPr>
                <w:sz w:val="22"/>
                <w:szCs w:val="22"/>
              </w:rPr>
              <w:t>66.671</w:t>
            </w:r>
          </w:p>
        </w:tc>
        <w:tc>
          <w:tcPr>
            <w:tcW w:w="583" w:type="pct"/>
            <w:tcBorders>
              <w:top w:val="nil"/>
              <w:left w:val="nil"/>
              <w:bottom w:val="nil"/>
              <w:right w:val="nil"/>
            </w:tcBorders>
            <w:shd w:val="clear" w:color="auto" w:fill="auto"/>
            <w:noWrap/>
            <w:vAlign w:val="bottom"/>
            <w:hideMark/>
          </w:tcPr>
          <w:p w14:paraId="68DB7D0E" w14:textId="77777777" w:rsidR="00F851CC" w:rsidRPr="00DA59D4" w:rsidRDefault="00F851CC" w:rsidP="007A6126">
            <w:pPr>
              <w:pStyle w:val="Brezrazmikov"/>
              <w:rPr>
                <w:sz w:val="22"/>
                <w:szCs w:val="22"/>
              </w:rPr>
            </w:pPr>
            <w:r w:rsidRPr="00DA59D4">
              <w:rPr>
                <w:sz w:val="22"/>
                <w:szCs w:val="22"/>
              </w:rPr>
              <w:t>64.125</w:t>
            </w:r>
          </w:p>
        </w:tc>
        <w:tc>
          <w:tcPr>
            <w:tcW w:w="583" w:type="pct"/>
            <w:tcBorders>
              <w:top w:val="nil"/>
              <w:left w:val="nil"/>
              <w:bottom w:val="nil"/>
              <w:right w:val="nil"/>
            </w:tcBorders>
            <w:shd w:val="clear" w:color="auto" w:fill="auto"/>
            <w:noWrap/>
            <w:vAlign w:val="bottom"/>
            <w:hideMark/>
          </w:tcPr>
          <w:p w14:paraId="47595FBF" w14:textId="77777777" w:rsidR="00F851CC" w:rsidRPr="00DA59D4" w:rsidRDefault="00F851CC" w:rsidP="007A6126">
            <w:pPr>
              <w:pStyle w:val="Brezrazmikov"/>
              <w:rPr>
                <w:sz w:val="22"/>
                <w:szCs w:val="22"/>
              </w:rPr>
            </w:pPr>
            <w:r w:rsidRPr="00DA59D4">
              <w:rPr>
                <w:sz w:val="22"/>
                <w:szCs w:val="22"/>
              </w:rPr>
              <w:t>62.269</w:t>
            </w:r>
          </w:p>
        </w:tc>
        <w:tc>
          <w:tcPr>
            <w:tcW w:w="583" w:type="pct"/>
            <w:tcBorders>
              <w:top w:val="nil"/>
              <w:left w:val="nil"/>
              <w:bottom w:val="nil"/>
              <w:right w:val="nil"/>
            </w:tcBorders>
            <w:shd w:val="clear" w:color="auto" w:fill="auto"/>
            <w:noWrap/>
            <w:vAlign w:val="bottom"/>
            <w:hideMark/>
          </w:tcPr>
          <w:p w14:paraId="4ABAFE2C" w14:textId="77777777" w:rsidR="00F851CC" w:rsidRPr="00DA59D4" w:rsidRDefault="00F851CC" w:rsidP="007A6126">
            <w:pPr>
              <w:pStyle w:val="Brezrazmikov"/>
              <w:rPr>
                <w:sz w:val="22"/>
                <w:szCs w:val="22"/>
              </w:rPr>
            </w:pPr>
            <w:r w:rsidRPr="00DA59D4">
              <w:rPr>
                <w:sz w:val="22"/>
                <w:szCs w:val="22"/>
              </w:rPr>
              <w:t>64.143</w:t>
            </w:r>
          </w:p>
        </w:tc>
        <w:tc>
          <w:tcPr>
            <w:tcW w:w="583" w:type="pct"/>
            <w:tcBorders>
              <w:top w:val="nil"/>
              <w:left w:val="nil"/>
              <w:bottom w:val="nil"/>
              <w:right w:val="nil"/>
            </w:tcBorders>
            <w:shd w:val="clear" w:color="auto" w:fill="auto"/>
            <w:noWrap/>
            <w:vAlign w:val="bottom"/>
            <w:hideMark/>
          </w:tcPr>
          <w:p w14:paraId="02B5CB62" w14:textId="77777777" w:rsidR="00F851CC" w:rsidRPr="00DA59D4" w:rsidRDefault="00F851CC" w:rsidP="007A6126">
            <w:pPr>
              <w:pStyle w:val="Brezrazmikov"/>
              <w:rPr>
                <w:sz w:val="22"/>
                <w:szCs w:val="22"/>
              </w:rPr>
            </w:pPr>
            <w:r w:rsidRPr="00DA59D4">
              <w:rPr>
                <w:sz w:val="22"/>
                <w:szCs w:val="22"/>
              </w:rPr>
              <w:t>59.886</w:t>
            </w:r>
          </w:p>
        </w:tc>
      </w:tr>
      <w:tr w:rsidR="00F851CC" w:rsidRPr="00DA59D4" w14:paraId="1420EDA3" w14:textId="77777777" w:rsidTr="007A6126">
        <w:trPr>
          <w:trHeight w:val="324"/>
        </w:trPr>
        <w:tc>
          <w:tcPr>
            <w:tcW w:w="1872" w:type="pct"/>
            <w:tcBorders>
              <w:top w:val="nil"/>
              <w:left w:val="nil"/>
              <w:bottom w:val="nil"/>
              <w:right w:val="nil"/>
            </w:tcBorders>
            <w:shd w:val="clear" w:color="auto" w:fill="auto"/>
            <w:noWrap/>
            <w:vAlign w:val="bottom"/>
            <w:hideMark/>
          </w:tcPr>
          <w:p w14:paraId="526F9E02" w14:textId="77777777" w:rsidR="00F851CC" w:rsidRPr="00DA59D4" w:rsidRDefault="00F851CC" w:rsidP="007A6126">
            <w:pPr>
              <w:pStyle w:val="Brezrazmikov"/>
              <w:rPr>
                <w:sz w:val="22"/>
                <w:szCs w:val="22"/>
              </w:rPr>
            </w:pPr>
            <w:r w:rsidRPr="00DA59D4">
              <w:rPr>
                <w:sz w:val="22"/>
                <w:szCs w:val="22"/>
              </w:rPr>
              <w:t xml:space="preserve">Odloženi prihodki   </w:t>
            </w:r>
          </w:p>
        </w:tc>
        <w:tc>
          <w:tcPr>
            <w:tcW w:w="796" w:type="pct"/>
            <w:tcBorders>
              <w:top w:val="nil"/>
              <w:left w:val="nil"/>
              <w:bottom w:val="nil"/>
              <w:right w:val="nil"/>
            </w:tcBorders>
            <w:shd w:val="clear" w:color="auto" w:fill="auto"/>
            <w:noWrap/>
            <w:vAlign w:val="bottom"/>
            <w:hideMark/>
          </w:tcPr>
          <w:p w14:paraId="1F0D86A6" w14:textId="77777777" w:rsidR="00F851CC" w:rsidRPr="00DA59D4" w:rsidRDefault="00F851CC" w:rsidP="007A6126">
            <w:pPr>
              <w:pStyle w:val="Brezrazmikov"/>
              <w:rPr>
                <w:sz w:val="22"/>
                <w:szCs w:val="22"/>
              </w:rPr>
            </w:pPr>
            <w:r w:rsidRPr="00DA59D4">
              <w:rPr>
                <w:sz w:val="22"/>
                <w:szCs w:val="22"/>
              </w:rPr>
              <w:t>5.081</w:t>
            </w:r>
          </w:p>
        </w:tc>
        <w:tc>
          <w:tcPr>
            <w:tcW w:w="583" w:type="pct"/>
            <w:tcBorders>
              <w:top w:val="nil"/>
              <w:left w:val="nil"/>
              <w:bottom w:val="nil"/>
              <w:right w:val="nil"/>
            </w:tcBorders>
            <w:shd w:val="clear" w:color="auto" w:fill="auto"/>
            <w:noWrap/>
            <w:vAlign w:val="bottom"/>
            <w:hideMark/>
          </w:tcPr>
          <w:p w14:paraId="64F35290" w14:textId="77777777" w:rsidR="00F851CC" w:rsidRPr="00DA59D4" w:rsidRDefault="00F851CC" w:rsidP="007A6126">
            <w:pPr>
              <w:pStyle w:val="Brezrazmikov"/>
              <w:rPr>
                <w:sz w:val="22"/>
                <w:szCs w:val="22"/>
              </w:rPr>
            </w:pPr>
            <w:r w:rsidRPr="00DA59D4">
              <w:rPr>
                <w:sz w:val="22"/>
                <w:szCs w:val="22"/>
              </w:rPr>
              <w:t>5.270</w:t>
            </w:r>
          </w:p>
        </w:tc>
        <w:tc>
          <w:tcPr>
            <w:tcW w:w="583" w:type="pct"/>
            <w:tcBorders>
              <w:top w:val="nil"/>
              <w:left w:val="nil"/>
              <w:bottom w:val="nil"/>
              <w:right w:val="nil"/>
            </w:tcBorders>
            <w:shd w:val="clear" w:color="auto" w:fill="auto"/>
            <w:noWrap/>
            <w:vAlign w:val="bottom"/>
            <w:hideMark/>
          </w:tcPr>
          <w:p w14:paraId="65B34A5B" w14:textId="77777777" w:rsidR="00F851CC" w:rsidRPr="00DA59D4" w:rsidRDefault="00F851CC" w:rsidP="007A6126">
            <w:pPr>
              <w:pStyle w:val="Brezrazmikov"/>
              <w:rPr>
                <w:sz w:val="22"/>
                <w:szCs w:val="22"/>
              </w:rPr>
            </w:pPr>
            <w:r w:rsidRPr="00DA59D4">
              <w:rPr>
                <w:sz w:val="22"/>
                <w:szCs w:val="22"/>
              </w:rPr>
              <w:t>5.350</w:t>
            </w:r>
          </w:p>
        </w:tc>
        <w:tc>
          <w:tcPr>
            <w:tcW w:w="583" w:type="pct"/>
            <w:tcBorders>
              <w:top w:val="nil"/>
              <w:left w:val="nil"/>
              <w:bottom w:val="nil"/>
              <w:right w:val="nil"/>
            </w:tcBorders>
            <w:shd w:val="clear" w:color="auto" w:fill="auto"/>
            <w:noWrap/>
            <w:vAlign w:val="bottom"/>
            <w:hideMark/>
          </w:tcPr>
          <w:p w14:paraId="2A38826A" w14:textId="77777777" w:rsidR="00F851CC" w:rsidRPr="00DA59D4" w:rsidRDefault="00F851CC" w:rsidP="007A6126">
            <w:pPr>
              <w:pStyle w:val="Brezrazmikov"/>
              <w:rPr>
                <w:sz w:val="22"/>
                <w:szCs w:val="22"/>
              </w:rPr>
            </w:pPr>
            <w:r w:rsidRPr="00DA59D4">
              <w:rPr>
                <w:sz w:val="22"/>
                <w:szCs w:val="22"/>
              </w:rPr>
              <w:t>5.037</w:t>
            </w:r>
          </w:p>
        </w:tc>
        <w:tc>
          <w:tcPr>
            <w:tcW w:w="583" w:type="pct"/>
            <w:tcBorders>
              <w:top w:val="nil"/>
              <w:left w:val="nil"/>
              <w:bottom w:val="nil"/>
              <w:right w:val="nil"/>
            </w:tcBorders>
            <w:shd w:val="clear" w:color="auto" w:fill="auto"/>
            <w:noWrap/>
            <w:vAlign w:val="bottom"/>
            <w:hideMark/>
          </w:tcPr>
          <w:p w14:paraId="54EFF1ED" w14:textId="77777777" w:rsidR="00F851CC" w:rsidRPr="00DA59D4" w:rsidRDefault="00F851CC" w:rsidP="007A6126">
            <w:pPr>
              <w:pStyle w:val="Brezrazmikov"/>
              <w:rPr>
                <w:sz w:val="22"/>
                <w:szCs w:val="22"/>
              </w:rPr>
            </w:pPr>
            <w:r w:rsidRPr="00DA59D4">
              <w:rPr>
                <w:sz w:val="22"/>
                <w:szCs w:val="22"/>
              </w:rPr>
              <w:t>7.563</w:t>
            </w:r>
          </w:p>
        </w:tc>
      </w:tr>
      <w:tr w:rsidR="00F851CC" w:rsidRPr="00DA59D4" w14:paraId="1F57D467" w14:textId="77777777" w:rsidTr="007A6126">
        <w:trPr>
          <w:trHeight w:val="312"/>
        </w:trPr>
        <w:tc>
          <w:tcPr>
            <w:tcW w:w="1872" w:type="pct"/>
            <w:tcBorders>
              <w:top w:val="nil"/>
              <w:left w:val="nil"/>
              <w:bottom w:val="nil"/>
              <w:right w:val="nil"/>
            </w:tcBorders>
            <w:shd w:val="clear" w:color="auto" w:fill="auto"/>
            <w:noWrap/>
            <w:vAlign w:val="bottom"/>
            <w:hideMark/>
          </w:tcPr>
          <w:p w14:paraId="4E494634" w14:textId="77777777" w:rsidR="00F851CC" w:rsidRPr="00DA59D4" w:rsidRDefault="00F851CC" w:rsidP="007A6126">
            <w:pPr>
              <w:pStyle w:val="Brezrazmikov"/>
              <w:rPr>
                <w:sz w:val="22"/>
                <w:szCs w:val="22"/>
              </w:rPr>
            </w:pPr>
            <w:r w:rsidRPr="00DA59D4">
              <w:rPr>
                <w:sz w:val="22"/>
                <w:szCs w:val="22"/>
              </w:rPr>
              <w:t xml:space="preserve">Dolgoročne poslovne obveznosti  </w:t>
            </w:r>
          </w:p>
        </w:tc>
        <w:tc>
          <w:tcPr>
            <w:tcW w:w="796" w:type="pct"/>
            <w:tcBorders>
              <w:top w:val="nil"/>
              <w:left w:val="nil"/>
              <w:bottom w:val="nil"/>
              <w:right w:val="nil"/>
            </w:tcBorders>
            <w:shd w:val="clear" w:color="auto" w:fill="auto"/>
            <w:noWrap/>
            <w:vAlign w:val="bottom"/>
            <w:hideMark/>
          </w:tcPr>
          <w:p w14:paraId="6C17175F" w14:textId="77777777" w:rsidR="00F851CC" w:rsidRPr="00DA59D4" w:rsidRDefault="00F851CC" w:rsidP="007A6126">
            <w:pPr>
              <w:pStyle w:val="Brezrazmikov"/>
              <w:rPr>
                <w:sz w:val="22"/>
                <w:szCs w:val="22"/>
              </w:rPr>
            </w:pPr>
            <w:r w:rsidRPr="00DA59D4">
              <w:rPr>
                <w:sz w:val="22"/>
                <w:szCs w:val="22"/>
              </w:rPr>
              <w:t>5.773</w:t>
            </w:r>
          </w:p>
        </w:tc>
        <w:tc>
          <w:tcPr>
            <w:tcW w:w="583" w:type="pct"/>
            <w:tcBorders>
              <w:top w:val="nil"/>
              <w:left w:val="nil"/>
              <w:bottom w:val="nil"/>
              <w:right w:val="nil"/>
            </w:tcBorders>
            <w:shd w:val="clear" w:color="auto" w:fill="auto"/>
            <w:noWrap/>
            <w:vAlign w:val="bottom"/>
            <w:hideMark/>
          </w:tcPr>
          <w:p w14:paraId="4CE89996" w14:textId="77777777" w:rsidR="00F851CC" w:rsidRPr="00DA59D4" w:rsidRDefault="00F851CC" w:rsidP="007A6126">
            <w:pPr>
              <w:pStyle w:val="Brezrazmikov"/>
              <w:rPr>
                <w:sz w:val="22"/>
                <w:szCs w:val="22"/>
              </w:rPr>
            </w:pPr>
            <w:r w:rsidRPr="00DA59D4">
              <w:rPr>
                <w:sz w:val="22"/>
                <w:szCs w:val="22"/>
              </w:rPr>
              <w:t>5.937</w:t>
            </w:r>
          </w:p>
        </w:tc>
        <w:tc>
          <w:tcPr>
            <w:tcW w:w="583" w:type="pct"/>
            <w:tcBorders>
              <w:top w:val="nil"/>
              <w:left w:val="nil"/>
              <w:bottom w:val="nil"/>
              <w:right w:val="nil"/>
            </w:tcBorders>
            <w:shd w:val="clear" w:color="auto" w:fill="auto"/>
            <w:noWrap/>
            <w:vAlign w:val="bottom"/>
            <w:hideMark/>
          </w:tcPr>
          <w:p w14:paraId="1258F5EC" w14:textId="77777777" w:rsidR="00F851CC" w:rsidRPr="00DA59D4" w:rsidRDefault="00F851CC" w:rsidP="007A6126">
            <w:pPr>
              <w:pStyle w:val="Brezrazmikov"/>
              <w:rPr>
                <w:sz w:val="22"/>
                <w:szCs w:val="22"/>
              </w:rPr>
            </w:pPr>
            <w:r w:rsidRPr="00DA59D4">
              <w:rPr>
                <w:sz w:val="22"/>
                <w:szCs w:val="22"/>
              </w:rPr>
              <w:t>4.178</w:t>
            </w:r>
          </w:p>
        </w:tc>
        <w:tc>
          <w:tcPr>
            <w:tcW w:w="583" w:type="pct"/>
            <w:tcBorders>
              <w:top w:val="nil"/>
              <w:left w:val="nil"/>
              <w:bottom w:val="nil"/>
              <w:right w:val="nil"/>
            </w:tcBorders>
            <w:shd w:val="clear" w:color="auto" w:fill="auto"/>
            <w:noWrap/>
            <w:vAlign w:val="bottom"/>
            <w:hideMark/>
          </w:tcPr>
          <w:p w14:paraId="79DF1DD2" w14:textId="77777777" w:rsidR="00F851CC" w:rsidRPr="00DA59D4" w:rsidRDefault="00F851CC" w:rsidP="007A6126">
            <w:pPr>
              <w:pStyle w:val="Brezrazmikov"/>
              <w:rPr>
                <w:sz w:val="22"/>
                <w:szCs w:val="22"/>
              </w:rPr>
            </w:pPr>
            <w:r w:rsidRPr="00DA59D4">
              <w:rPr>
                <w:sz w:val="22"/>
                <w:szCs w:val="22"/>
              </w:rPr>
              <w:t>3.672</w:t>
            </w:r>
          </w:p>
        </w:tc>
        <w:tc>
          <w:tcPr>
            <w:tcW w:w="583" w:type="pct"/>
            <w:tcBorders>
              <w:top w:val="nil"/>
              <w:left w:val="nil"/>
              <w:bottom w:val="nil"/>
              <w:right w:val="nil"/>
            </w:tcBorders>
            <w:shd w:val="clear" w:color="auto" w:fill="auto"/>
            <w:noWrap/>
            <w:vAlign w:val="bottom"/>
            <w:hideMark/>
          </w:tcPr>
          <w:p w14:paraId="7F87FF3D" w14:textId="77777777" w:rsidR="00F851CC" w:rsidRPr="00DA59D4" w:rsidRDefault="00F851CC" w:rsidP="007A6126">
            <w:pPr>
              <w:pStyle w:val="Brezrazmikov"/>
              <w:rPr>
                <w:sz w:val="22"/>
                <w:szCs w:val="22"/>
              </w:rPr>
            </w:pPr>
            <w:r w:rsidRPr="00DA59D4">
              <w:rPr>
                <w:sz w:val="22"/>
                <w:szCs w:val="22"/>
              </w:rPr>
              <w:t>2.807</w:t>
            </w:r>
          </w:p>
        </w:tc>
      </w:tr>
      <w:tr w:rsidR="00F851CC" w:rsidRPr="00DA59D4" w14:paraId="15E583D0" w14:textId="77777777" w:rsidTr="007A6126">
        <w:trPr>
          <w:trHeight w:val="312"/>
        </w:trPr>
        <w:tc>
          <w:tcPr>
            <w:tcW w:w="1872" w:type="pct"/>
            <w:tcBorders>
              <w:top w:val="nil"/>
              <w:left w:val="nil"/>
              <w:bottom w:val="nil"/>
              <w:right w:val="nil"/>
            </w:tcBorders>
            <w:shd w:val="clear" w:color="auto" w:fill="auto"/>
            <w:noWrap/>
            <w:vAlign w:val="bottom"/>
            <w:hideMark/>
          </w:tcPr>
          <w:p w14:paraId="077C3608" w14:textId="77777777" w:rsidR="00F851CC" w:rsidRPr="00DA59D4" w:rsidRDefault="00F851CC" w:rsidP="007A6126">
            <w:pPr>
              <w:pStyle w:val="Brezrazmikov"/>
              <w:rPr>
                <w:sz w:val="22"/>
                <w:szCs w:val="22"/>
              </w:rPr>
            </w:pPr>
            <w:r w:rsidRPr="00DA59D4">
              <w:rPr>
                <w:sz w:val="22"/>
                <w:szCs w:val="22"/>
              </w:rPr>
              <w:t xml:space="preserve">Odložene obveznosti za davke </w:t>
            </w:r>
          </w:p>
        </w:tc>
        <w:tc>
          <w:tcPr>
            <w:tcW w:w="796" w:type="pct"/>
            <w:tcBorders>
              <w:top w:val="nil"/>
              <w:left w:val="nil"/>
              <w:bottom w:val="nil"/>
              <w:right w:val="nil"/>
            </w:tcBorders>
            <w:shd w:val="clear" w:color="auto" w:fill="auto"/>
            <w:noWrap/>
            <w:vAlign w:val="bottom"/>
            <w:hideMark/>
          </w:tcPr>
          <w:p w14:paraId="433196BD" w14:textId="77777777" w:rsidR="00F851CC" w:rsidRPr="00DA59D4" w:rsidRDefault="00F851CC" w:rsidP="007A6126">
            <w:pPr>
              <w:pStyle w:val="Brezrazmikov"/>
              <w:rPr>
                <w:sz w:val="22"/>
                <w:szCs w:val="22"/>
              </w:rPr>
            </w:pPr>
            <w:r w:rsidRPr="00DA59D4">
              <w:rPr>
                <w:sz w:val="22"/>
                <w:szCs w:val="22"/>
              </w:rPr>
              <w:t>2.694</w:t>
            </w:r>
          </w:p>
        </w:tc>
        <w:tc>
          <w:tcPr>
            <w:tcW w:w="583" w:type="pct"/>
            <w:tcBorders>
              <w:top w:val="nil"/>
              <w:left w:val="nil"/>
              <w:bottom w:val="nil"/>
              <w:right w:val="nil"/>
            </w:tcBorders>
            <w:shd w:val="clear" w:color="auto" w:fill="auto"/>
            <w:noWrap/>
            <w:vAlign w:val="bottom"/>
            <w:hideMark/>
          </w:tcPr>
          <w:p w14:paraId="6070B596" w14:textId="77777777" w:rsidR="00F851CC" w:rsidRPr="00DA59D4" w:rsidRDefault="00F851CC" w:rsidP="007A6126">
            <w:pPr>
              <w:pStyle w:val="Brezrazmikov"/>
              <w:rPr>
                <w:sz w:val="22"/>
                <w:szCs w:val="22"/>
              </w:rPr>
            </w:pPr>
            <w:r w:rsidRPr="00DA59D4">
              <w:rPr>
                <w:sz w:val="22"/>
                <w:szCs w:val="22"/>
              </w:rPr>
              <w:t>2.988</w:t>
            </w:r>
          </w:p>
        </w:tc>
        <w:tc>
          <w:tcPr>
            <w:tcW w:w="583" w:type="pct"/>
            <w:tcBorders>
              <w:top w:val="nil"/>
              <w:left w:val="nil"/>
              <w:bottom w:val="nil"/>
              <w:right w:val="nil"/>
            </w:tcBorders>
            <w:shd w:val="clear" w:color="auto" w:fill="auto"/>
            <w:noWrap/>
            <w:vAlign w:val="bottom"/>
            <w:hideMark/>
          </w:tcPr>
          <w:p w14:paraId="5EF32F08" w14:textId="77777777" w:rsidR="00F851CC" w:rsidRPr="00DA59D4" w:rsidRDefault="00F851CC" w:rsidP="007A6126">
            <w:pPr>
              <w:pStyle w:val="Brezrazmikov"/>
              <w:rPr>
                <w:sz w:val="22"/>
                <w:szCs w:val="22"/>
              </w:rPr>
            </w:pPr>
            <w:r w:rsidRPr="00DA59D4">
              <w:rPr>
                <w:sz w:val="22"/>
                <w:szCs w:val="22"/>
              </w:rPr>
              <w:t>2.515</w:t>
            </w:r>
          </w:p>
        </w:tc>
        <w:tc>
          <w:tcPr>
            <w:tcW w:w="583" w:type="pct"/>
            <w:tcBorders>
              <w:top w:val="nil"/>
              <w:left w:val="nil"/>
              <w:bottom w:val="nil"/>
              <w:right w:val="nil"/>
            </w:tcBorders>
            <w:shd w:val="clear" w:color="auto" w:fill="auto"/>
            <w:noWrap/>
            <w:vAlign w:val="bottom"/>
            <w:hideMark/>
          </w:tcPr>
          <w:p w14:paraId="32602331" w14:textId="77777777" w:rsidR="00F851CC" w:rsidRPr="00DA59D4" w:rsidRDefault="00F851CC" w:rsidP="007A6126">
            <w:pPr>
              <w:pStyle w:val="Brezrazmikov"/>
              <w:rPr>
                <w:sz w:val="22"/>
                <w:szCs w:val="22"/>
              </w:rPr>
            </w:pPr>
            <w:r w:rsidRPr="00DA59D4">
              <w:rPr>
                <w:sz w:val="22"/>
                <w:szCs w:val="22"/>
              </w:rPr>
              <w:t>2.001</w:t>
            </w:r>
          </w:p>
        </w:tc>
        <w:tc>
          <w:tcPr>
            <w:tcW w:w="583" w:type="pct"/>
            <w:tcBorders>
              <w:top w:val="nil"/>
              <w:left w:val="nil"/>
              <w:bottom w:val="nil"/>
              <w:right w:val="nil"/>
            </w:tcBorders>
            <w:shd w:val="clear" w:color="auto" w:fill="auto"/>
            <w:noWrap/>
            <w:vAlign w:val="bottom"/>
            <w:hideMark/>
          </w:tcPr>
          <w:p w14:paraId="2D32EE1C" w14:textId="77777777" w:rsidR="00F851CC" w:rsidRPr="00DA59D4" w:rsidRDefault="00F851CC" w:rsidP="007A6126">
            <w:pPr>
              <w:pStyle w:val="Brezrazmikov"/>
              <w:rPr>
                <w:sz w:val="22"/>
                <w:szCs w:val="22"/>
              </w:rPr>
            </w:pPr>
            <w:r w:rsidRPr="00DA59D4">
              <w:rPr>
                <w:sz w:val="22"/>
                <w:szCs w:val="22"/>
              </w:rPr>
              <w:t>2.002</w:t>
            </w:r>
          </w:p>
        </w:tc>
      </w:tr>
      <w:tr w:rsidR="00F851CC" w:rsidRPr="00DA59D4" w14:paraId="7EDB064E" w14:textId="77777777" w:rsidTr="007A6126">
        <w:trPr>
          <w:trHeight w:val="312"/>
        </w:trPr>
        <w:tc>
          <w:tcPr>
            <w:tcW w:w="1872" w:type="pct"/>
            <w:tcBorders>
              <w:top w:val="nil"/>
              <w:left w:val="nil"/>
              <w:bottom w:val="nil"/>
              <w:right w:val="nil"/>
            </w:tcBorders>
            <w:shd w:val="clear" w:color="auto" w:fill="auto"/>
            <w:noWrap/>
            <w:vAlign w:val="bottom"/>
            <w:hideMark/>
          </w:tcPr>
          <w:p w14:paraId="20FE7BA9" w14:textId="77777777" w:rsidR="00F851CC" w:rsidRPr="00DA59D4" w:rsidRDefault="00F851CC" w:rsidP="007A6126">
            <w:pPr>
              <w:pStyle w:val="Brezrazmikov"/>
              <w:rPr>
                <w:sz w:val="22"/>
                <w:szCs w:val="22"/>
              </w:rPr>
            </w:pPr>
            <w:r w:rsidRPr="00DA59D4">
              <w:rPr>
                <w:sz w:val="22"/>
                <w:szCs w:val="22"/>
              </w:rPr>
              <w:t xml:space="preserve">Dolgoročne finančne obveznosti  </w:t>
            </w:r>
          </w:p>
        </w:tc>
        <w:tc>
          <w:tcPr>
            <w:tcW w:w="796" w:type="pct"/>
            <w:tcBorders>
              <w:top w:val="nil"/>
              <w:left w:val="nil"/>
              <w:bottom w:val="nil"/>
              <w:right w:val="nil"/>
            </w:tcBorders>
            <w:shd w:val="clear" w:color="auto" w:fill="auto"/>
            <w:noWrap/>
            <w:vAlign w:val="bottom"/>
            <w:hideMark/>
          </w:tcPr>
          <w:p w14:paraId="5DDAC59B" w14:textId="77777777" w:rsidR="00F851CC" w:rsidRPr="00DA59D4" w:rsidRDefault="00F851CC" w:rsidP="007A6126">
            <w:pPr>
              <w:pStyle w:val="Brezrazmikov"/>
              <w:rPr>
                <w:sz w:val="22"/>
                <w:szCs w:val="22"/>
              </w:rPr>
            </w:pPr>
            <w:r w:rsidRPr="00DA59D4">
              <w:rPr>
                <w:sz w:val="22"/>
                <w:szCs w:val="22"/>
              </w:rPr>
              <w:t>198.754</w:t>
            </w:r>
          </w:p>
        </w:tc>
        <w:tc>
          <w:tcPr>
            <w:tcW w:w="583" w:type="pct"/>
            <w:tcBorders>
              <w:top w:val="nil"/>
              <w:left w:val="nil"/>
              <w:bottom w:val="nil"/>
              <w:right w:val="nil"/>
            </w:tcBorders>
            <w:shd w:val="clear" w:color="auto" w:fill="auto"/>
            <w:noWrap/>
            <w:vAlign w:val="bottom"/>
            <w:hideMark/>
          </w:tcPr>
          <w:p w14:paraId="2CDBA287" w14:textId="77777777" w:rsidR="00F851CC" w:rsidRPr="00DA59D4" w:rsidRDefault="00F851CC" w:rsidP="007A6126">
            <w:pPr>
              <w:pStyle w:val="Brezrazmikov"/>
              <w:rPr>
                <w:sz w:val="22"/>
                <w:szCs w:val="22"/>
              </w:rPr>
            </w:pPr>
            <w:r w:rsidRPr="00DA59D4">
              <w:rPr>
                <w:sz w:val="22"/>
                <w:szCs w:val="22"/>
              </w:rPr>
              <w:t>270.070</w:t>
            </w:r>
          </w:p>
        </w:tc>
        <w:tc>
          <w:tcPr>
            <w:tcW w:w="583" w:type="pct"/>
            <w:tcBorders>
              <w:top w:val="nil"/>
              <w:left w:val="nil"/>
              <w:bottom w:val="nil"/>
              <w:right w:val="nil"/>
            </w:tcBorders>
            <w:shd w:val="clear" w:color="auto" w:fill="auto"/>
            <w:noWrap/>
            <w:vAlign w:val="bottom"/>
            <w:hideMark/>
          </w:tcPr>
          <w:p w14:paraId="00F6D902" w14:textId="77777777" w:rsidR="00F851CC" w:rsidRPr="00DA59D4" w:rsidRDefault="00F851CC" w:rsidP="007A6126">
            <w:pPr>
              <w:pStyle w:val="Brezrazmikov"/>
              <w:rPr>
                <w:sz w:val="22"/>
                <w:szCs w:val="22"/>
              </w:rPr>
            </w:pPr>
            <w:r w:rsidRPr="00DA59D4">
              <w:rPr>
                <w:sz w:val="22"/>
                <w:szCs w:val="22"/>
              </w:rPr>
              <w:t>270.986</w:t>
            </w:r>
          </w:p>
        </w:tc>
        <w:tc>
          <w:tcPr>
            <w:tcW w:w="583" w:type="pct"/>
            <w:tcBorders>
              <w:top w:val="nil"/>
              <w:left w:val="nil"/>
              <w:bottom w:val="nil"/>
              <w:right w:val="nil"/>
            </w:tcBorders>
            <w:shd w:val="clear" w:color="auto" w:fill="auto"/>
            <w:noWrap/>
            <w:vAlign w:val="bottom"/>
            <w:hideMark/>
          </w:tcPr>
          <w:p w14:paraId="18EFCB8A" w14:textId="77777777" w:rsidR="00F851CC" w:rsidRPr="00DA59D4" w:rsidRDefault="00F851CC" w:rsidP="007A6126">
            <w:pPr>
              <w:pStyle w:val="Brezrazmikov"/>
              <w:rPr>
                <w:sz w:val="22"/>
                <w:szCs w:val="22"/>
              </w:rPr>
            </w:pPr>
            <w:r w:rsidRPr="00DA59D4">
              <w:rPr>
                <w:sz w:val="22"/>
                <w:szCs w:val="22"/>
              </w:rPr>
              <w:t>275.616</w:t>
            </w:r>
          </w:p>
        </w:tc>
        <w:tc>
          <w:tcPr>
            <w:tcW w:w="583" w:type="pct"/>
            <w:tcBorders>
              <w:top w:val="nil"/>
              <w:left w:val="nil"/>
              <w:bottom w:val="nil"/>
              <w:right w:val="nil"/>
            </w:tcBorders>
            <w:shd w:val="clear" w:color="auto" w:fill="auto"/>
            <w:noWrap/>
            <w:vAlign w:val="bottom"/>
            <w:hideMark/>
          </w:tcPr>
          <w:p w14:paraId="42602E3F" w14:textId="77777777" w:rsidR="00F851CC" w:rsidRPr="00DA59D4" w:rsidRDefault="00F851CC" w:rsidP="007A6126">
            <w:pPr>
              <w:pStyle w:val="Brezrazmikov"/>
              <w:rPr>
                <w:sz w:val="22"/>
                <w:szCs w:val="22"/>
              </w:rPr>
            </w:pPr>
            <w:r w:rsidRPr="00DA59D4">
              <w:rPr>
                <w:sz w:val="22"/>
                <w:szCs w:val="22"/>
              </w:rPr>
              <w:t>293.020</w:t>
            </w:r>
          </w:p>
        </w:tc>
      </w:tr>
      <w:tr w:rsidR="00F851CC" w:rsidRPr="00DA59D4" w14:paraId="69729B3E" w14:textId="77777777" w:rsidTr="007A6126">
        <w:trPr>
          <w:trHeight w:val="312"/>
        </w:trPr>
        <w:tc>
          <w:tcPr>
            <w:tcW w:w="1872" w:type="pct"/>
            <w:tcBorders>
              <w:top w:val="single" w:sz="4" w:space="0" w:color="auto"/>
              <w:left w:val="nil"/>
              <w:bottom w:val="single" w:sz="4" w:space="0" w:color="auto"/>
              <w:right w:val="nil"/>
            </w:tcBorders>
            <w:shd w:val="clear" w:color="auto" w:fill="auto"/>
            <w:noWrap/>
            <w:vAlign w:val="bottom"/>
            <w:hideMark/>
          </w:tcPr>
          <w:p w14:paraId="338DD792" w14:textId="77777777" w:rsidR="00F851CC" w:rsidRPr="00DA59D4" w:rsidRDefault="00F851CC" w:rsidP="007A6126">
            <w:pPr>
              <w:pStyle w:val="Brezrazmikov"/>
              <w:rPr>
                <w:b/>
                <w:bCs/>
                <w:sz w:val="22"/>
                <w:szCs w:val="22"/>
              </w:rPr>
            </w:pPr>
            <w:r w:rsidRPr="00DA59D4">
              <w:rPr>
                <w:b/>
                <w:bCs/>
                <w:sz w:val="22"/>
                <w:szCs w:val="22"/>
              </w:rPr>
              <w:t xml:space="preserve">Kratkoročne obveznosti   </w:t>
            </w:r>
          </w:p>
        </w:tc>
        <w:tc>
          <w:tcPr>
            <w:tcW w:w="796" w:type="pct"/>
            <w:tcBorders>
              <w:top w:val="single" w:sz="4" w:space="0" w:color="auto"/>
              <w:left w:val="nil"/>
              <w:bottom w:val="single" w:sz="4" w:space="0" w:color="auto"/>
              <w:right w:val="nil"/>
            </w:tcBorders>
            <w:shd w:val="clear" w:color="auto" w:fill="auto"/>
            <w:noWrap/>
            <w:vAlign w:val="bottom"/>
            <w:hideMark/>
          </w:tcPr>
          <w:p w14:paraId="6393D1FB" w14:textId="77777777" w:rsidR="00F851CC" w:rsidRPr="00DA59D4" w:rsidRDefault="00F851CC" w:rsidP="007A6126">
            <w:pPr>
              <w:pStyle w:val="Brezrazmikov"/>
              <w:rPr>
                <w:b/>
                <w:bCs/>
                <w:sz w:val="22"/>
                <w:szCs w:val="22"/>
              </w:rPr>
            </w:pPr>
            <w:r w:rsidRPr="00DA59D4">
              <w:rPr>
                <w:b/>
                <w:bCs/>
                <w:sz w:val="22"/>
                <w:szCs w:val="22"/>
              </w:rPr>
              <w:t>488.422</w:t>
            </w:r>
          </w:p>
        </w:tc>
        <w:tc>
          <w:tcPr>
            <w:tcW w:w="583" w:type="pct"/>
            <w:tcBorders>
              <w:top w:val="single" w:sz="4" w:space="0" w:color="auto"/>
              <w:left w:val="nil"/>
              <w:bottom w:val="single" w:sz="4" w:space="0" w:color="auto"/>
              <w:right w:val="nil"/>
            </w:tcBorders>
            <w:shd w:val="clear" w:color="auto" w:fill="auto"/>
            <w:noWrap/>
            <w:vAlign w:val="bottom"/>
            <w:hideMark/>
          </w:tcPr>
          <w:p w14:paraId="38EB7123" w14:textId="77777777" w:rsidR="00F851CC" w:rsidRPr="00DA59D4" w:rsidRDefault="00F851CC" w:rsidP="007A6126">
            <w:pPr>
              <w:pStyle w:val="Brezrazmikov"/>
              <w:rPr>
                <w:b/>
                <w:bCs/>
                <w:sz w:val="22"/>
                <w:szCs w:val="22"/>
              </w:rPr>
            </w:pPr>
            <w:r w:rsidRPr="00DA59D4">
              <w:rPr>
                <w:b/>
                <w:bCs/>
                <w:sz w:val="22"/>
                <w:szCs w:val="22"/>
              </w:rPr>
              <w:t>373.741</w:t>
            </w:r>
          </w:p>
        </w:tc>
        <w:tc>
          <w:tcPr>
            <w:tcW w:w="583" w:type="pct"/>
            <w:tcBorders>
              <w:top w:val="single" w:sz="4" w:space="0" w:color="auto"/>
              <w:left w:val="nil"/>
              <w:bottom w:val="single" w:sz="4" w:space="0" w:color="auto"/>
              <w:right w:val="nil"/>
            </w:tcBorders>
            <w:shd w:val="clear" w:color="auto" w:fill="auto"/>
            <w:noWrap/>
            <w:vAlign w:val="bottom"/>
            <w:hideMark/>
          </w:tcPr>
          <w:p w14:paraId="3B601538" w14:textId="77777777" w:rsidR="00F851CC" w:rsidRPr="00DA59D4" w:rsidRDefault="00F851CC" w:rsidP="007A6126">
            <w:pPr>
              <w:pStyle w:val="Brezrazmikov"/>
              <w:rPr>
                <w:b/>
                <w:bCs/>
                <w:sz w:val="22"/>
                <w:szCs w:val="22"/>
              </w:rPr>
            </w:pPr>
            <w:r w:rsidRPr="00DA59D4">
              <w:rPr>
                <w:b/>
                <w:bCs/>
                <w:sz w:val="22"/>
                <w:szCs w:val="22"/>
              </w:rPr>
              <w:t>387.914</w:t>
            </w:r>
          </w:p>
        </w:tc>
        <w:tc>
          <w:tcPr>
            <w:tcW w:w="583" w:type="pct"/>
            <w:tcBorders>
              <w:top w:val="single" w:sz="4" w:space="0" w:color="auto"/>
              <w:left w:val="nil"/>
              <w:bottom w:val="single" w:sz="4" w:space="0" w:color="auto"/>
              <w:right w:val="nil"/>
            </w:tcBorders>
            <w:shd w:val="clear" w:color="auto" w:fill="auto"/>
            <w:noWrap/>
            <w:vAlign w:val="bottom"/>
            <w:hideMark/>
          </w:tcPr>
          <w:p w14:paraId="701AE673" w14:textId="77777777" w:rsidR="00F851CC" w:rsidRPr="00DA59D4" w:rsidRDefault="00F851CC" w:rsidP="007A6126">
            <w:pPr>
              <w:pStyle w:val="Brezrazmikov"/>
              <w:rPr>
                <w:b/>
                <w:bCs/>
                <w:sz w:val="22"/>
                <w:szCs w:val="22"/>
              </w:rPr>
            </w:pPr>
            <w:r w:rsidRPr="00DA59D4">
              <w:rPr>
                <w:b/>
                <w:bCs/>
                <w:sz w:val="22"/>
                <w:szCs w:val="22"/>
              </w:rPr>
              <w:t>406.904</w:t>
            </w:r>
          </w:p>
        </w:tc>
        <w:tc>
          <w:tcPr>
            <w:tcW w:w="583" w:type="pct"/>
            <w:tcBorders>
              <w:top w:val="single" w:sz="4" w:space="0" w:color="auto"/>
              <w:left w:val="nil"/>
              <w:bottom w:val="single" w:sz="4" w:space="0" w:color="auto"/>
              <w:right w:val="nil"/>
            </w:tcBorders>
            <w:shd w:val="clear" w:color="auto" w:fill="auto"/>
            <w:noWrap/>
            <w:vAlign w:val="bottom"/>
            <w:hideMark/>
          </w:tcPr>
          <w:p w14:paraId="5307B333" w14:textId="77777777" w:rsidR="00F851CC" w:rsidRPr="00DA59D4" w:rsidRDefault="00F851CC" w:rsidP="007A6126">
            <w:pPr>
              <w:pStyle w:val="Brezrazmikov"/>
              <w:rPr>
                <w:b/>
                <w:bCs/>
                <w:sz w:val="22"/>
                <w:szCs w:val="22"/>
              </w:rPr>
            </w:pPr>
            <w:r w:rsidRPr="00DA59D4">
              <w:rPr>
                <w:b/>
                <w:bCs/>
                <w:sz w:val="22"/>
                <w:szCs w:val="22"/>
              </w:rPr>
              <w:t>409.494</w:t>
            </w:r>
          </w:p>
        </w:tc>
      </w:tr>
      <w:tr w:rsidR="00F851CC" w:rsidRPr="00DA59D4" w14:paraId="38FF3508" w14:textId="77777777" w:rsidTr="007A6126">
        <w:trPr>
          <w:trHeight w:val="312"/>
        </w:trPr>
        <w:tc>
          <w:tcPr>
            <w:tcW w:w="1872" w:type="pct"/>
            <w:tcBorders>
              <w:top w:val="nil"/>
              <w:left w:val="nil"/>
              <w:bottom w:val="nil"/>
              <w:right w:val="nil"/>
            </w:tcBorders>
            <w:shd w:val="clear" w:color="auto" w:fill="auto"/>
            <w:noWrap/>
            <w:vAlign w:val="bottom"/>
            <w:hideMark/>
          </w:tcPr>
          <w:p w14:paraId="6CBA930E" w14:textId="77777777" w:rsidR="00F851CC" w:rsidRPr="00DA59D4" w:rsidRDefault="00F851CC" w:rsidP="007A6126">
            <w:pPr>
              <w:pStyle w:val="Brezrazmikov"/>
              <w:rPr>
                <w:sz w:val="22"/>
                <w:szCs w:val="22"/>
              </w:rPr>
            </w:pPr>
            <w:r w:rsidRPr="00DA59D4">
              <w:rPr>
                <w:sz w:val="22"/>
                <w:szCs w:val="22"/>
              </w:rPr>
              <w:t xml:space="preserve">Kratkoročne finančne obveznosti  </w:t>
            </w:r>
          </w:p>
        </w:tc>
        <w:tc>
          <w:tcPr>
            <w:tcW w:w="796" w:type="pct"/>
            <w:tcBorders>
              <w:top w:val="nil"/>
              <w:left w:val="nil"/>
              <w:bottom w:val="nil"/>
              <w:right w:val="nil"/>
            </w:tcBorders>
            <w:shd w:val="clear" w:color="auto" w:fill="auto"/>
            <w:noWrap/>
            <w:vAlign w:val="bottom"/>
            <w:hideMark/>
          </w:tcPr>
          <w:p w14:paraId="4CA871C0" w14:textId="77777777" w:rsidR="00F851CC" w:rsidRPr="00DA59D4" w:rsidRDefault="00F851CC" w:rsidP="007A6126">
            <w:pPr>
              <w:pStyle w:val="Brezrazmikov"/>
              <w:rPr>
                <w:sz w:val="22"/>
                <w:szCs w:val="22"/>
              </w:rPr>
            </w:pPr>
            <w:r w:rsidRPr="00DA59D4">
              <w:rPr>
                <w:sz w:val="22"/>
                <w:szCs w:val="22"/>
              </w:rPr>
              <w:t>198.659</w:t>
            </w:r>
          </w:p>
        </w:tc>
        <w:tc>
          <w:tcPr>
            <w:tcW w:w="583" w:type="pct"/>
            <w:tcBorders>
              <w:top w:val="nil"/>
              <w:left w:val="nil"/>
              <w:bottom w:val="nil"/>
              <w:right w:val="nil"/>
            </w:tcBorders>
            <w:shd w:val="clear" w:color="auto" w:fill="auto"/>
            <w:noWrap/>
            <w:vAlign w:val="bottom"/>
            <w:hideMark/>
          </w:tcPr>
          <w:p w14:paraId="7520C1B7" w14:textId="77777777" w:rsidR="00F851CC" w:rsidRPr="00DA59D4" w:rsidRDefault="00F851CC" w:rsidP="007A6126">
            <w:pPr>
              <w:pStyle w:val="Brezrazmikov"/>
              <w:rPr>
                <w:sz w:val="22"/>
                <w:szCs w:val="22"/>
              </w:rPr>
            </w:pPr>
            <w:r w:rsidRPr="00DA59D4">
              <w:rPr>
                <w:sz w:val="22"/>
                <w:szCs w:val="22"/>
              </w:rPr>
              <w:t>97.536</w:t>
            </w:r>
          </w:p>
        </w:tc>
        <w:tc>
          <w:tcPr>
            <w:tcW w:w="583" w:type="pct"/>
            <w:tcBorders>
              <w:top w:val="nil"/>
              <w:left w:val="nil"/>
              <w:bottom w:val="nil"/>
              <w:right w:val="nil"/>
            </w:tcBorders>
            <w:shd w:val="clear" w:color="auto" w:fill="auto"/>
            <w:noWrap/>
            <w:vAlign w:val="bottom"/>
            <w:hideMark/>
          </w:tcPr>
          <w:p w14:paraId="04B48A10" w14:textId="77777777" w:rsidR="00F851CC" w:rsidRPr="00DA59D4" w:rsidRDefault="00F851CC" w:rsidP="007A6126">
            <w:pPr>
              <w:pStyle w:val="Brezrazmikov"/>
              <w:rPr>
                <w:sz w:val="22"/>
                <w:szCs w:val="22"/>
              </w:rPr>
            </w:pPr>
            <w:r w:rsidRPr="00DA59D4">
              <w:rPr>
                <w:sz w:val="22"/>
                <w:szCs w:val="22"/>
              </w:rPr>
              <w:t>91.038</w:t>
            </w:r>
          </w:p>
        </w:tc>
        <w:tc>
          <w:tcPr>
            <w:tcW w:w="583" w:type="pct"/>
            <w:tcBorders>
              <w:top w:val="nil"/>
              <w:left w:val="nil"/>
              <w:bottom w:val="nil"/>
              <w:right w:val="nil"/>
            </w:tcBorders>
            <w:shd w:val="clear" w:color="auto" w:fill="auto"/>
            <w:noWrap/>
            <w:vAlign w:val="bottom"/>
            <w:hideMark/>
          </w:tcPr>
          <w:p w14:paraId="1D212F9A" w14:textId="77777777" w:rsidR="00F851CC" w:rsidRPr="00DA59D4" w:rsidRDefault="00F851CC" w:rsidP="007A6126">
            <w:pPr>
              <w:pStyle w:val="Brezrazmikov"/>
              <w:rPr>
                <w:sz w:val="22"/>
                <w:szCs w:val="22"/>
              </w:rPr>
            </w:pPr>
            <w:r w:rsidRPr="00DA59D4">
              <w:rPr>
                <w:sz w:val="22"/>
                <w:szCs w:val="22"/>
              </w:rPr>
              <w:t>101.226</w:t>
            </w:r>
          </w:p>
        </w:tc>
        <w:tc>
          <w:tcPr>
            <w:tcW w:w="583" w:type="pct"/>
            <w:tcBorders>
              <w:top w:val="nil"/>
              <w:left w:val="nil"/>
              <w:bottom w:val="nil"/>
              <w:right w:val="nil"/>
            </w:tcBorders>
            <w:shd w:val="clear" w:color="auto" w:fill="auto"/>
            <w:noWrap/>
            <w:vAlign w:val="bottom"/>
            <w:hideMark/>
          </w:tcPr>
          <w:p w14:paraId="1D2BEBBB" w14:textId="77777777" w:rsidR="00F851CC" w:rsidRPr="00DA59D4" w:rsidRDefault="00F851CC" w:rsidP="007A6126">
            <w:pPr>
              <w:pStyle w:val="Brezrazmikov"/>
              <w:rPr>
                <w:sz w:val="22"/>
                <w:szCs w:val="22"/>
              </w:rPr>
            </w:pPr>
            <w:r w:rsidRPr="00DA59D4">
              <w:rPr>
                <w:sz w:val="22"/>
                <w:szCs w:val="22"/>
              </w:rPr>
              <w:t>90.731</w:t>
            </w:r>
          </w:p>
        </w:tc>
      </w:tr>
      <w:tr w:rsidR="00F851CC" w:rsidRPr="00DA59D4" w14:paraId="46499DA5" w14:textId="77777777" w:rsidTr="007A6126">
        <w:trPr>
          <w:trHeight w:val="312"/>
        </w:trPr>
        <w:tc>
          <w:tcPr>
            <w:tcW w:w="1872" w:type="pct"/>
            <w:tcBorders>
              <w:top w:val="nil"/>
              <w:left w:val="nil"/>
              <w:bottom w:val="nil"/>
              <w:right w:val="nil"/>
            </w:tcBorders>
            <w:shd w:val="clear" w:color="auto" w:fill="auto"/>
            <w:noWrap/>
            <w:vAlign w:val="bottom"/>
            <w:hideMark/>
          </w:tcPr>
          <w:p w14:paraId="31A2546A" w14:textId="77777777" w:rsidR="00F851CC" w:rsidRPr="00DA59D4" w:rsidRDefault="00F851CC" w:rsidP="007A6126">
            <w:pPr>
              <w:pStyle w:val="Brezrazmikov"/>
              <w:rPr>
                <w:sz w:val="22"/>
                <w:szCs w:val="22"/>
              </w:rPr>
            </w:pPr>
            <w:r w:rsidRPr="00DA59D4">
              <w:rPr>
                <w:sz w:val="22"/>
                <w:szCs w:val="22"/>
              </w:rPr>
              <w:t xml:space="preserve">Obveznosti do dobaviteljev  </w:t>
            </w:r>
          </w:p>
        </w:tc>
        <w:tc>
          <w:tcPr>
            <w:tcW w:w="796" w:type="pct"/>
            <w:tcBorders>
              <w:top w:val="nil"/>
              <w:left w:val="nil"/>
              <w:bottom w:val="nil"/>
              <w:right w:val="nil"/>
            </w:tcBorders>
            <w:shd w:val="clear" w:color="auto" w:fill="auto"/>
            <w:noWrap/>
            <w:vAlign w:val="bottom"/>
            <w:hideMark/>
          </w:tcPr>
          <w:p w14:paraId="3B8D3E8D" w14:textId="77777777" w:rsidR="00F851CC" w:rsidRPr="00DA59D4" w:rsidRDefault="00F851CC" w:rsidP="007A6126">
            <w:pPr>
              <w:pStyle w:val="Brezrazmikov"/>
              <w:rPr>
                <w:sz w:val="22"/>
                <w:szCs w:val="22"/>
              </w:rPr>
            </w:pPr>
            <w:r w:rsidRPr="00DA59D4">
              <w:rPr>
                <w:sz w:val="22"/>
                <w:szCs w:val="22"/>
              </w:rPr>
              <w:t>213.820</w:t>
            </w:r>
          </w:p>
        </w:tc>
        <w:tc>
          <w:tcPr>
            <w:tcW w:w="583" w:type="pct"/>
            <w:tcBorders>
              <w:top w:val="nil"/>
              <w:left w:val="nil"/>
              <w:bottom w:val="nil"/>
              <w:right w:val="nil"/>
            </w:tcBorders>
            <w:shd w:val="clear" w:color="auto" w:fill="auto"/>
            <w:noWrap/>
            <w:vAlign w:val="bottom"/>
            <w:hideMark/>
          </w:tcPr>
          <w:p w14:paraId="34A56B1C" w14:textId="77777777" w:rsidR="00F851CC" w:rsidRPr="00DA59D4" w:rsidRDefault="00F851CC" w:rsidP="007A6126">
            <w:pPr>
              <w:pStyle w:val="Brezrazmikov"/>
              <w:rPr>
                <w:sz w:val="22"/>
                <w:szCs w:val="22"/>
              </w:rPr>
            </w:pPr>
            <w:r w:rsidRPr="00DA59D4">
              <w:rPr>
                <w:sz w:val="22"/>
                <w:szCs w:val="22"/>
              </w:rPr>
              <w:t>202.615</w:t>
            </w:r>
          </w:p>
        </w:tc>
        <w:tc>
          <w:tcPr>
            <w:tcW w:w="583" w:type="pct"/>
            <w:tcBorders>
              <w:top w:val="nil"/>
              <w:left w:val="nil"/>
              <w:bottom w:val="nil"/>
              <w:right w:val="nil"/>
            </w:tcBorders>
            <w:shd w:val="clear" w:color="auto" w:fill="auto"/>
            <w:noWrap/>
            <w:vAlign w:val="bottom"/>
            <w:hideMark/>
          </w:tcPr>
          <w:p w14:paraId="490ADA60" w14:textId="77777777" w:rsidR="00F851CC" w:rsidRPr="00DA59D4" w:rsidRDefault="00F851CC" w:rsidP="007A6126">
            <w:pPr>
              <w:pStyle w:val="Brezrazmikov"/>
              <w:rPr>
                <w:sz w:val="22"/>
                <w:szCs w:val="22"/>
              </w:rPr>
            </w:pPr>
            <w:r w:rsidRPr="00DA59D4">
              <w:rPr>
                <w:sz w:val="22"/>
                <w:szCs w:val="22"/>
              </w:rPr>
              <w:t>221.027</w:t>
            </w:r>
          </w:p>
        </w:tc>
        <w:tc>
          <w:tcPr>
            <w:tcW w:w="583" w:type="pct"/>
            <w:tcBorders>
              <w:top w:val="nil"/>
              <w:left w:val="nil"/>
              <w:bottom w:val="nil"/>
              <w:right w:val="nil"/>
            </w:tcBorders>
            <w:shd w:val="clear" w:color="auto" w:fill="auto"/>
            <w:noWrap/>
            <w:vAlign w:val="bottom"/>
            <w:hideMark/>
          </w:tcPr>
          <w:p w14:paraId="40688079" w14:textId="77777777" w:rsidR="00F851CC" w:rsidRPr="00DA59D4" w:rsidRDefault="00F851CC" w:rsidP="007A6126">
            <w:pPr>
              <w:pStyle w:val="Brezrazmikov"/>
              <w:rPr>
                <w:sz w:val="22"/>
                <w:szCs w:val="22"/>
              </w:rPr>
            </w:pPr>
            <w:r w:rsidRPr="00DA59D4">
              <w:rPr>
                <w:sz w:val="22"/>
                <w:szCs w:val="22"/>
              </w:rPr>
              <w:t>223.725</w:t>
            </w:r>
          </w:p>
        </w:tc>
        <w:tc>
          <w:tcPr>
            <w:tcW w:w="583" w:type="pct"/>
            <w:tcBorders>
              <w:top w:val="nil"/>
              <w:left w:val="nil"/>
              <w:bottom w:val="nil"/>
              <w:right w:val="nil"/>
            </w:tcBorders>
            <w:shd w:val="clear" w:color="auto" w:fill="auto"/>
            <w:noWrap/>
            <w:vAlign w:val="bottom"/>
            <w:hideMark/>
          </w:tcPr>
          <w:p w14:paraId="04157582" w14:textId="77777777" w:rsidR="00F851CC" w:rsidRPr="00DA59D4" w:rsidRDefault="00F851CC" w:rsidP="007A6126">
            <w:pPr>
              <w:pStyle w:val="Brezrazmikov"/>
              <w:rPr>
                <w:sz w:val="22"/>
                <w:szCs w:val="22"/>
              </w:rPr>
            </w:pPr>
            <w:r w:rsidRPr="00DA59D4">
              <w:rPr>
                <w:sz w:val="22"/>
                <w:szCs w:val="22"/>
              </w:rPr>
              <w:t>229.402</w:t>
            </w:r>
          </w:p>
        </w:tc>
      </w:tr>
      <w:tr w:rsidR="00F851CC" w:rsidRPr="00DA59D4" w14:paraId="3BFF2C7C" w14:textId="77777777" w:rsidTr="007A6126">
        <w:trPr>
          <w:trHeight w:val="312"/>
        </w:trPr>
        <w:tc>
          <w:tcPr>
            <w:tcW w:w="1872" w:type="pct"/>
            <w:tcBorders>
              <w:top w:val="nil"/>
              <w:left w:val="nil"/>
              <w:bottom w:val="nil"/>
              <w:right w:val="nil"/>
            </w:tcBorders>
            <w:shd w:val="clear" w:color="auto" w:fill="auto"/>
            <w:noWrap/>
            <w:vAlign w:val="bottom"/>
            <w:hideMark/>
          </w:tcPr>
          <w:p w14:paraId="11319D3C" w14:textId="77777777" w:rsidR="00F851CC" w:rsidRPr="00DA59D4" w:rsidRDefault="00F851CC" w:rsidP="007A6126">
            <w:pPr>
              <w:pStyle w:val="Brezrazmikov"/>
              <w:rPr>
                <w:sz w:val="22"/>
                <w:szCs w:val="22"/>
              </w:rPr>
            </w:pPr>
            <w:r w:rsidRPr="00DA59D4">
              <w:rPr>
                <w:sz w:val="22"/>
                <w:szCs w:val="22"/>
              </w:rPr>
              <w:t xml:space="preserve">Druge kratkoročne obveznosti  </w:t>
            </w:r>
          </w:p>
        </w:tc>
        <w:tc>
          <w:tcPr>
            <w:tcW w:w="796" w:type="pct"/>
            <w:tcBorders>
              <w:top w:val="nil"/>
              <w:left w:val="nil"/>
              <w:bottom w:val="nil"/>
              <w:right w:val="nil"/>
            </w:tcBorders>
            <w:shd w:val="clear" w:color="auto" w:fill="auto"/>
            <w:noWrap/>
            <w:vAlign w:val="bottom"/>
            <w:hideMark/>
          </w:tcPr>
          <w:p w14:paraId="3769B58E" w14:textId="77777777" w:rsidR="00F851CC" w:rsidRPr="00DA59D4" w:rsidRDefault="00F851CC" w:rsidP="007A6126">
            <w:pPr>
              <w:pStyle w:val="Brezrazmikov"/>
              <w:rPr>
                <w:sz w:val="22"/>
                <w:szCs w:val="22"/>
              </w:rPr>
            </w:pPr>
            <w:r w:rsidRPr="00DA59D4">
              <w:rPr>
                <w:sz w:val="22"/>
                <w:szCs w:val="22"/>
              </w:rPr>
              <w:t>71.001</w:t>
            </w:r>
          </w:p>
        </w:tc>
        <w:tc>
          <w:tcPr>
            <w:tcW w:w="583" w:type="pct"/>
            <w:tcBorders>
              <w:top w:val="nil"/>
              <w:left w:val="nil"/>
              <w:bottom w:val="nil"/>
              <w:right w:val="nil"/>
            </w:tcBorders>
            <w:shd w:val="clear" w:color="auto" w:fill="auto"/>
            <w:noWrap/>
            <w:vAlign w:val="bottom"/>
            <w:hideMark/>
          </w:tcPr>
          <w:p w14:paraId="6D66C93F" w14:textId="77777777" w:rsidR="00F851CC" w:rsidRPr="00DA59D4" w:rsidRDefault="00F851CC" w:rsidP="007A6126">
            <w:pPr>
              <w:pStyle w:val="Brezrazmikov"/>
              <w:rPr>
                <w:sz w:val="22"/>
                <w:szCs w:val="22"/>
              </w:rPr>
            </w:pPr>
            <w:r w:rsidRPr="00DA59D4">
              <w:rPr>
                <w:sz w:val="22"/>
                <w:szCs w:val="22"/>
              </w:rPr>
              <w:t>71.901</w:t>
            </w:r>
          </w:p>
        </w:tc>
        <w:tc>
          <w:tcPr>
            <w:tcW w:w="583" w:type="pct"/>
            <w:tcBorders>
              <w:top w:val="nil"/>
              <w:left w:val="nil"/>
              <w:bottom w:val="nil"/>
              <w:right w:val="nil"/>
            </w:tcBorders>
            <w:shd w:val="clear" w:color="auto" w:fill="auto"/>
            <w:noWrap/>
            <w:vAlign w:val="bottom"/>
            <w:hideMark/>
          </w:tcPr>
          <w:p w14:paraId="1B436CBA" w14:textId="77777777" w:rsidR="00F851CC" w:rsidRPr="00DA59D4" w:rsidRDefault="00F851CC" w:rsidP="007A6126">
            <w:pPr>
              <w:pStyle w:val="Brezrazmikov"/>
              <w:rPr>
                <w:sz w:val="22"/>
                <w:szCs w:val="22"/>
              </w:rPr>
            </w:pPr>
            <w:r w:rsidRPr="00DA59D4">
              <w:rPr>
                <w:sz w:val="22"/>
                <w:szCs w:val="22"/>
              </w:rPr>
              <w:t>73.807</w:t>
            </w:r>
          </w:p>
        </w:tc>
        <w:tc>
          <w:tcPr>
            <w:tcW w:w="583" w:type="pct"/>
            <w:tcBorders>
              <w:top w:val="nil"/>
              <w:left w:val="nil"/>
              <w:bottom w:val="nil"/>
              <w:right w:val="nil"/>
            </w:tcBorders>
            <w:shd w:val="clear" w:color="auto" w:fill="auto"/>
            <w:noWrap/>
            <w:vAlign w:val="bottom"/>
            <w:hideMark/>
          </w:tcPr>
          <w:p w14:paraId="04AED259" w14:textId="77777777" w:rsidR="00F851CC" w:rsidRPr="00DA59D4" w:rsidRDefault="00F851CC" w:rsidP="007A6126">
            <w:pPr>
              <w:pStyle w:val="Brezrazmikov"/>
              <w:rPr>
                <w:sz w:val="22"/>
                <w:szCs w:val="22"/>
              </w:rPr>
            </w:pPr>
            <w:r w:rsidRPr="00DA59D4">
              <w:rPr>
                <w:sz w:val="22"/>
                <w:szCs w:val="22"/>
              </w:rPr>
              <w:t>79.563</w:t>
            </w:r>
          </w:p>
        </w:tc>
        <w:tc>
          <w:tcPr>
            <w:tcW w:w="583" w:type="pct"/>
            <w:tcBorders>
              <w:top w:val="nil"/>
              <w:left w:val="nil"/>
              <w:bottom w:val="nil"/>
              <w:right w:val="nil"/>
            </w:tcBorders>
            <w:shd w:val="clear" w:color="auto" w:fill="auto"/>
            <w:noWrap/>
            <w:vAlign w:val="bottom"/>
            <w:hideMark/>
          </w:tcPr>
          <w:p w14:paraId="41C84B57" w14:textId="77777777" w:rsidR="00F851CC" w:rsidRPr="00DA59D4" w:rsidRDefault="00F851CC" w:rsidP="007A6126">
            <w:pPr>
              <w:pStyle w:val="Brezrazmikov"/>
              <w:rPr>
                <w:sz w:val="22"/>
                <w:szCs w:val="22"/>
              </w:rPr>
            </w:pPr>
            <w:r w:rsidRPr="00DA59D4">
              <w:rPr>
                <w:sz w:val="22"/>
                <w:szCs w:val="22"/>
              </w:rPr>
              <w:t>87.752</w:t>
            </w:r>
          </w:p>
        </w:tc>
      </w:tr>
      <w:tr w:rsidR="00F851CC" w:rsidRPr="00DA59D4" w14:paraId="4D52129A" w14:textId="77777777" w:rsidTr="007A6126">
        <w:trPr>
          <w:trHeight w:val="312"/>
        </w:trPr>
        <w:tc>
          <w:tcPr>
            <w:tcW w:w="1872" w:type="pct"/>
            <w:tcBorders>
              <w:top w:val="nil"/>
              <w:left w:val="nil"/>
              <w:bottom w:val="nil"/>
              <w:right w:val="nil"/>
            </w:tcBorders>
            <w:shd w:val="clear" w:color="auto" w:fill="auto"/>
            <w:noWrap/>
            <w:vAlign w:val="bottom"/>
            <w:hideMark/>
          </w:tcPr>
          <w:p w14:paraId="475A6FC2" w14:textId="77777777" w:rsidR="00F851CC" w:rsidRPr="00DA59D4" w:rsidRDefault="00F851CC" w:rsidP="007A6126">
            <w:pPr>
              <w:pStyle w:val="Brezrazmikov"/>
              <w:rPr>
                <w:sz w:val="22"/>
                <w:szCs w:val="22"/>
              </w:rPr>
            </w:pPr>
            <w:r w:rsidRPr="00DA59D4">
              <w:rPr>
                <w:sz w:val="22"/>
                <w:szCs w:val="22"/>
              </w:rPr>
              <w:t>Obveznosti za davek iz dobička</w:t>
            </w:r>
          </w:p>
        </w:tc>
        <w:tc>
          <w:tcPr>
            <w:tcW w:w="796" w:type="pct"/>
            <w:tcBorders>
              <w:top w:val="nil"/>
              <w:left w:val="nil"/>
              <w:bottom w:val="nil"/>
              <w:right w:val="nil"/>
            </w:tcBorders>
            <w:shd w:val="clear" w:color="auto" w:fill="auto"/>
            <w:noWrap/>
            <w:vAlign w:val="bottom"/>
            <w:hideMark/>
          </w:tcPr>
          <w:p w14:paraId="737E2FBA" w14:textId="77777777" w:rsidR="00F851CC" w:rsidRPr="00DA59D4" w:rsidRDefault="00F851CC" w:rsidP="007A6126">
            <w:pPr>
              <w:pStyle w:val="Brezrazmikov"/>
              <w:rPr>
                <w:sz w:val="22"/>
                <w:szCs w:val="22"/>
              </w:rPr>
            </w:pPr>
            <w:r w:rsidRPr="00DA59D4">
              <w:rPr>
                <w:sz w:val="22"/>
                <w:szCs w:val="22"/>
              </w:rPr>
              <w:t>1.243</w:t>
            </w:r>
          </w:p>
        </w:tc>
        <w:tc>
          <w:tcPr>
            <w:tcW w:w="583" w:type="pct"/>
            <w:tcBorders>
              <w:top w:val="nil"/>
              <w:left w:val="nil"/>
              <w:bottom w:val="nil"/>
              <w:right w:val="nil"/>
            </w:tcBorders>
            <w:shd w:val="clear" w:color="auto" w:fill="auto"/>
            <w:noWrap/>
            <w:vAlign w:val="bottom"/>
            <w:hideMark/>
          </w:tcPr>
          <w:p w14:paraId="4AF9F2FF" w14:textId="77777777" w:rsidR="00F851CC" w:rsidRPr="00DA59D4" w:rsidRDefault="00F851CC" w:rsidP="007A6126">
            <w:pPr>
              <w:pStyle w:val="Brezrazmikov"/>
              <w:rPr>
                <w:sz w:val="22"/>
                <w:szCs w:val="22"/>
              </w:rPr>
            </w:pPr>
            <w:r w:rsidRPr="00DA59D4">
              <w:rPr>
                <w:sz w:val="22"/>
                <w:szCs w:val="22"/>
              </w:rPr>
              <w:t>1.689</w:t>
            </w:r>
          </w:p>
        </w:tc>
        <w:tc>
          <w:tcPr>
            <w:tcW w:w="583" w:type="pct"/>
            <w:tcBorders>
              <w:top w:val="nil"/>
              <w:left w:val="nil"/>
              <w:bottom w:val="nil"/>
              <w:right w:val="nil"/>
            </w:tcBorders>
            <w:shd w:val="clear" w:color="auto" w:fill="auto"/>
            <w:noWrap/>
            <w:vAlign w:val="bottom"/>
            <w:hideMark/>
          </w:tcPr>
          <w:p w14:paraId="71EC075C" w14:textId="77777777" w:rsidR="00F851CC" w:rsidRPr="00DA59D4" w:rsidRDefault="00F851CC" w:rsidP="007A6126">
            <w:pPr>
              <w:pStyle w:val="Brezrazmikov"/>
              <w:rPr>
                <w:sz w:val="22"/>
                <w:szCs w:val="22"/>
              </w:rPr>
            </w:pPr>
            <w:r w:rsidRPr="00DA59D4">
              <w:rPr>
                <w:sz w:val="22"/>
                <w:szCs w:val="22"/>
              </w:rPr>
              <w:t>2.042</w:t>
            </w:r>
          </w:p>
        </w:tc>
        <w:tc>
          <w:tcPr>
            <w:tcW w:w="583" w:type="pct"/>
            <w:tcBorders>
              <w:top w:val="nil"/>
              <w:left w:val="nil"/>
              <w:bottom w:val="nil"/>
              <w:right w:val="nil"/>
            </w:tcBorders>
            <w:shd w:val="clear" w:color="auto" w:fill="auto"/>
            <w:noWrap/>
            <w:vAlign w:val="bottom"/>
            <w:hideMark/>
          </w:tcPr>
          <w:p w14:paraId="06E355C0" w14:textId="77777777" w:rsidR="00F851CC" w:rsidRPr="00DA59D4" w:rsidRDefault="00F851CC" w:rsidP="007A6126">
            <w:pPr>
              <w:pStyle w:val="Brezrazmikov"/>
              <w:rPr>
                <w:sz w:val="22"/>
                <w:szCs w:val="22"/>
              </w:rPr>
            </w:pPr>
            <w:r w:rsidRPr="00DA59D4">
              <w:rPr>
                <w:sz w:val="22"/>
                <w:szCs w:val="22"/>
              </w:rPr>
              <w:t>2.390</w:t>
            </w:r>
          </w:p>
        </w:tc>
        <w:tc>
          <w:tcPr>
            <w:tcW w:w="583" w:type="pct"/>
            <w:tcBorders>
              <w:top w:val="nil"/>
              <w:left w:val="nil"/>
              <w:bottom w:val="nil"/>
              <w:right w:val="nil"/>
            </w:tcBorders>
            <w:shd w:val="clear" w:color="auto" w:fill="auto"/>
            <w:noWrap/>
            <w:vAlign w:val="bottom"/>
            <w:hideMark/>
          </w:tcPr>
          <w:p w14:paraId="5A5D6E01" w14:textId="77777777" w:rsidR="00F851CC" w:rsidRPr="00DA59D4" w:rsidRDefault="00F851CC" w:rsidP="007A6126">
            <w:pPr>
              <w:pStyle w:val="Brezrazmikov"/>
              <w:keepNext/>
              <w:rPr>
                <w:sz w:val="22"/>
                <w:szCs w:val="22"/>
              </w:rPr>
            </w:pPr>
            <w:r w:rsidRPr="00DA59D4">
              <w:rPr>
                <w:sz w:val="22"/>
                <w:szCs w:val="22"/>
              </w:rPr>
              <w:t>1.609</w:t>
            </w:r>
          </w:p>
        </w:tc>
      </w:tr>
    </w:tbl>
    <w:p w14:paraId="60A0698C" w14:textId="77777777" w:rsidR="00F851CC" w:rsidRDefault="00F851CC" w:rsidP="00F851CC">
      <w:pPr>
        <w:pStyle w:val="Napis"/>
        <w:rPr>
          <w:i w:val="0"/>
          <w:iCs w:val="0"/>
        </w:rPr>
      </w:pPr>
    </w:p>
    <w:p w14:paraId="04FE0444" w14:textId="77BB26FF" w:rsidR="00F851CC" w:rsidRPr="00521799" w:rsidRDefault="00F851CC" w:rsidP="00F851CC">
      <w:pPr>
        <w:pStyle w:val="Napis"/>
        <w:keepNext/>
      </w:pPr>
      <w:bookmarkStart w:id="101" w:name="_Toc18965042"/>
      <w:r>
        <w:t xml:space="preserve">Priloga </w:t>
      </w:r>
      <w:fldSimple w:instr=" SEQ Priloga \* ARABIC ">
        <w:r w:rsidR="00325440">
          <w:rPr>
            <w:noProof/>
          </w:rPr>
          <w:t>2</w:t>
        </w:r>
      </w:fldSimple>
      <w:r>
        <w:t>: Izkaz poslovnega izida za obdobje 2013–2017</w:t>
      </w:r>
      <w:bookmarkEnd w:id="101"/>
    </w:p>
    <w:tbl>
      <w:tblPr>
        <w:tblW w:w="5000" w:type="pct"/>
        <w:tblLayout w:type="fixed"/>
        <w:tblLook w:val="04A0" w:firstRow="1" w:lastRow="0" w:firstColumn="1" w:lastColumn="0" w:noHBand="0" w:noVBand="1"/>
      </w:tblPr>
      <w:tblGrid>
        <w:gridCol w:w="3261"/>
        <w:gridCol w:w="1229"/>
        <w:gridCol w:w="1229"/>
        <w:gridCol w:w="1229"/>
        <w:gridCol w:w="1228"/>
        <w:gridCol w:w="1230"/>
      </w:tblGrid>
      <w:tr w:rsidR="00F851CC" w:rsidRPr="00DA59D4" w14:paraId="7EF6243E" w14:textId="77777777" w:rsidTr="007A6126">
        <w:trPr>
          <w:trHeight w:val="324"/>
        </w:trPr>
        <w:tc>
          <w:tcPr>
            <w:tcW w:w="1733" w:type="pct"/>
            <w:tcBorders>
              <w:top w:val="nil"/>
              <w:left w:val="nil"/>
              <w:bottom w:val="single" w:sz="12" w:space="0" w:color="auto"/>
              <w:right w:val="nil"/>
            </w:tcBorders>
            <w:shd w:val="clear" w:color="auto" w:fill="auto"/>
            <w:noWrap/>
            <w:vAlign w:val="bottom"/>
            <w:hideMark/>
          </w:tcPr>
          <w:p w14:paraId="1FF66777" w14:textId="77777777" w:rsidR="00F851CC" w:rsidRPr="00521799" w:rsidRDefault="00F851CC" w:rsidP="007A6126">
            <w:pPr>
              <w:pStyle w:val="Brezrazmikov"/>
              <w:jc w:val="left"/>
              <w:rPr>
                <w:b/>
                <w:bCs/>
              </w:rPr>
            </w:pPr>
            <w:r w:rsidRPr="00521799">
              <w:rPr>
                <w:b/>
                <w:bCs/>
              </w:rPr>
              <w:t>v 1000 EUR</w:t>
            </w:r>
          </w:p>
        </w:tc>
        <w:tc>
          <w:tcPr>
            <w:tcW w:w="653" w:type="pct"/>
            <w:tcBorders>
              <w:top w:val="nil"/>
              <w:left w:val="nil"/>
              <w:bottom w:val="single" w:sz="12" w:space="0" w:color="auto"/>
              <w:right w:val="nil"/>
            </w:tcBorders>
            <w:shd w:val="clear" w:color="auto" w:fill="auto"/>
            <w:noWrap/>
            <w:vAlign w:val="bottom"/>
            <w:hideMark/>
          </w:tcPr>
          <w:p w14:paraId="4AEC1400" w14:textId="77777777" w:rsidR="00F851CC" w:rsidRPr="00521799" w:rsidRDefault="00F851CC" w:rsidP="007A6126">
            <w:pPr>
              <w:pStyle w:val="Brezrazmikov"/>
              <w:rPr>
                <w:b/>
                <w:bCs/>
              </w:rPr>
            </w:pPr>
            <w:r w:rsidRPr="00521799">
              <w:rPr>
                <w:b/>
                <w:bCs/>
              </w:rPr>
              <w:t>2013</w:t>
            </w:r>
          </w:p>
        </w:tc>
        <w:tc>
          <w:tcPr>
            <w:tcW w:w="653" w:type="pct"/>
            <w:tcBorders>
              <w:top w:val="nil"/>
              <w:left w:val="nil"/>
              <w:bottom w:val="single" w:sz="12" w:space="0" w:color="auto"/>
              <w:right w:val="nil"/>
            </w:tcBorders>
            <w:shd w:val="clear" w:color="auto" w:fill="auto"/>
            <w:noWrap/>
            <w:vAlign w:val="bottom"/>
            <w:hideMark/>
          </w:tcPr>
          <w:p w14:paraId="5DC820AF" w14:textId="77777777" w:rsidR="00F851CC" w:rsidRPr="00521799" w:rsidRDefault="00F851CC" w:rsidP="007A6126">
            <w:pPr>
              <w:pStyle w:val="Brezrazmikov"/>
              <w:rPr>
                <w:b/>
                <w:bCs/>
              </w:rPr>
            </w:pPr>
            <w:r w:rsidRPr="00521799">
              <w:rPr>
                <w:b/>
                <w:bCs/>
              </w:rPr>
              <w:t>2014</w:t>
            </w:r>
          </w:p>
        </w:tc>
        <w:tc>
          <w:tcPr>
            <w:tcW w:w="653" w:type="pct"/>
            <w:tcBorders>
              <w:top w:val="nil"/>
              <w:left w:val="nil"/>
              <w:bottom w:val="single" w:sz="12" w:space="0" w:color="auto"/>
              <w:right w:val="nil"/>
            </w:tcBorders>
            <w:shd w:val="clear" w:color="auto" w:fill="auto"/>
            <w:noWrap/>
            <w:vAlign w:val="bottom"/>
            <w:hideMark/>
          </w:tcPr>
          <w:p w14:paraId="619ACDDC" w14:textId="77777777" w:rsidR="00F851CC" w:rsidRPr="00521799" w:rsidRDefault="00F851CC" w:rsidP="007A6126">
            <w:pPr>
              <w:pStyle w:val="Brezrazmikov"/>
              <w:rPr>
                <w:b/>
                <w:bCs/>
              </w:rPr>
            </w:pPr>
            <w:r w:rsidRPr="00521799">
              <w:rPr>
                <w:b/>
                <w:bCs/>
              </w:rPr>
              <w:t>2015</w:t>
            </w:r>
          </w:p>
        </w:tc>
        <w:tc>
          <w:tcPr>
            <w:tcW w:w="653" w:type="pct"/>
            <w:tcBorders>
              <w:top w:val="nil"/>
              <w:left w:val="nil"/>
              <w:bottom w:val="single" w:sz="12" w:space="0" w:color="auto"/>
              <w:right w:val="nil"/>
            </w:tcBorders>
            <w:shd w:val="clear" w:color="auto" w:fill="auto"/>
            <w:noWrap/>
            <w:vAlign w:val="bottom"/>
            <w:hideMark/>
          </w:tcPr>
          <w:p w14:paraId="0AD86D88" w14:textId="77777777" w:rsidR="00F851CC" w:rsidRPr="00521799" w:rsidRDefault="00F851CC" w:rsidP="007A6126">
            <w:pPr>
              <w:pStyle w:val="Brezrazmikov"/>
              <w:rPr>
                <w:b/>
                <w:bCs/>
              </w:rPr>
            </w:pPr>
            <w:r w:rsidRPr="00521799">
              <w:rPr>
                <w:b/>
                <w:bCs/>
              </w:rPr>
              <w:t>2016</w:t>
            </w:r>
          </w:p>
        </w:tc>
        <w:tc>
          <w:tcPr>
            <w:tcW w:w="654" w:type="pct"/>
            <w:tcBorders>
              <w:top w:val="nil"/>
              <w:left w:val="nil"/>
              <w:bottom w:val="single" w:sz="12" w:space="0" w:color="auto"/>
              <w:right w:val="nil"/>
            </w:tcBorders>
            <w:shd w:val="clear" w:color="auto" w:fill="auto"/>
            <w:noWrap/>
            <w:vAlign w:val="bottom"/>
            <w:hideMark/>
          </w:tcPr>
          <w:p w14:paraId="2BEEB082" w14:textId="77777777" w:rsidR="00F851CC" w:rsidRPr="00521799" w:rsidRDefault="00F851CC" w:rsidP="007A6126">
            <w:pPr>
              <w:pStyle w:val="Brezrazmikov"/>
              <w:rPr>
                <w:b/>
                <w:bCs/>
              </w:rPr>
            </w:pPr>
            <w:r w:rsidRPr="00521799">
              <w:rPr>
                <w:b/>
                <w:bCs/>
              </w:rPr>
              <w:t>2017</w:t>
            </w:r>
          </w:p>
        </w:tc>
      </w:tr>
      <w:tr w:rsidR="00F851CC" w:rsidRPr="00DA59D4" w14:paraId="18223A7C" w14:textId="77777777" w:rsidTr="007A6126">
        <w:trPr>
          <w:trHeight w:val="324"/>
        </w:trPr>
        <w:tc>
          <w:tcPr>
            <w:tcW w:w="1733" w:type="pct"/>
            <w:tcBorders>
              <w:top w:val="single" w:sz="12" w:space="0" w:color="auto"/>
              <w:left w:val="nil"/>
              <w:bottom w:val="single" w:sz="12" w:space="0" w:color="auto"/>
              <w:right w:val="nil"/>
            </w:tcBorders>
            <w:shd w:val="clear" w:color="auto" w:fill="auto"/>
            <w:noWrap/>
            <w:vAlign w:val="bottom"/>
            <w:hideMark/>
          </w:tcPr>
          <w:p w14:paraId="43D9677E" w14:textId="77777777" w:rsidR="00F851CC" w:rsidRPr="00521799" w:rsidRDefault="00F851CC" w:rsidP="007A6126">
            <w:pPr>
              <w:pStyle w:val="Brezrazmikov"/>
              <w:jc w:val="left"/>
              <w:rPr>
                <w:b/>
                <w:bCs/>
              </w:rPr>
            </w:pPr>
            <w:r w:rsidRPr="00521799">
              <w:rPr>
                <w:b/>
                <w:bCs/>
              </w:rPr>
              <w:t xml:space="preserve">Prihodki od prodaje     </w:t>
            </w:r>
          </w:p>
        </w:tc>
        <w:tc>
          <w:tcPr>
            <w:tcW w:w="653" w:type="pct"/>
            <w:tcBorders>
              <w:top w:val="single" w:sz="12" w:space="0" w:color="auto"/>
              <w:left w:val="nil"/>
              <w:bottom w:val="single" w:sz="12" w:space="0" w:color="auto"/>
              <w:right w:val="nil"/>
            </w:tcBorders>
            <w:shd w:val="clear" w:color="auto" w:fill="auto"/>
            <w:noWrap/>
            <w:vAlign w:val="bottom"/>
            <w:hideMark/>
          </w:tcPr>
          <w:p w14:paraId="0664281D" w14:textId="77777777" w:rsidR="00F851CC" w:rsidRPr="00521799" w:rsidRDefault="00F851CC" w:rsidP="007A6126">
            <w:pPr>
              <w:pStyle w:val="Brezrazmikov"/>
              <w:rPr>
                <w:b/>
                <w:bCs/>
              </w:rPr>
            </w:pPr>
            <w:r w:rsidRPr="00521799">
              <w:rPr>
                <w:b/>
                <w:bCs/>
              </w:rPr>
              <w:t>1.240.482</w:t>
            </w:r>
          </w:p>
        </w:tc>
        <w:tc>
          <w:tcPr>
            <w:tcW w:w="653" w:type="pct"/>
            <w:tcBorders>
              <w:top w:val="single" w:sz="12" w:space="0" w:color="auto"/>
              <w:left w:val="nil"/>
              <w:bottom w:val="single" w:sz="12" w:space="0" w:color="auto"/>
              <w:right w:val="nil"/>
            </w:tcBorders>
            <w:shd w:val="clear" w:color="auto" w:fill="auto"/>
            <w:noWrap/>
            <w:vAlign w:val="bottom"/>
            <w:hideMark/>
          </w:tcPr>
          <w:p w14:paraId="4B63A41F" w14:textId="77777777" w:rsidR="00F851CC" w:rsidRPr="00521799" w:rsidRDefault="00F851CC" w:rsidP="007A6126">
            <w:pPr>
              <w:pStyle w:val="Brezrazmikov"/>
              <w:rPr>
                <w:b/>
                <w:bCs/>
              </w:rPr>
            </w:pPr>
            <w:r w:rsidRPr="00521799">
              <w:rPr>
                <w:b/>
                <w:bCs/>
              </w:rPr>
              <w:t>1.253.717</w:t>
            </w:r>
          </w:p>
        </w:tc>
        <w:tc>
          <w:tcPr>
            <w:tcW w:w="653" w:type="pct"/>
            <w:tcBorders>
              <w:top w:val="single" w:sz="12" w:space="0" w:color="auto"/>
              <w:left w:val="nil"/>
              <w:bottom w:val="single" w:sz="12" w:space="0" w:color="auto"/>
              <w:right w:val="nil"/>
            </w:tcBorders>
            <w:shd w:val="clear" w:color="auto" w:fill="auto"/>
            <w:noWrap/>
            <w:vAlign w:val="bottom"/>
            <w:hideMark/>
          </w:tcPr>
          <w:p w14:paraId="489C0CF5" w14:textId="77777777" w:rsidR="00F851CC" w:rsidRPr="00521799" w:rsidRDefault="00F851CC" w:rsidP="007A6126">
            <w:pPr>
              <w:pStyle w:val="Brezrazmikov"/>
              <w:rPr>
                <w:b/>
                <w:bCs/>
              </w:rPr>
            </w:pPr>
            <w:r w:rsidRPr="00521799">
              <w:rPr>
                <w:b/>
                <w:bCs/>
              </w:rPr>
              <w:t>1.225.029</w:t>
            </w:r>
          </w:p>
        </w:tc>
        <w:tc>
          <w:tcPr>
            <w:tcW w:w="653" w:type="pct"/>
            <w:tcBorders>
              <w:top w:val="single" w:sz="12" w:space="0" w:color="auto"/>
              <w:left w:val="nil"/>
              <w:bottom w:val="single" w:sz="12" w:space="0" w:color="auto"/>
              <w:right w:val="nil"/>
            </w:tcBorders>
            <w:shd w:val="clear" w:color="auto" w:fill="auto"/>
            <w:noWrap/>
            <w:vAlign w:val="bottom"/>
            <w:hideMark/>
          </w:tcPr>
          <w:p w14:paraId="25A9E8B9" w14:textId="77777777" w:rsidR="00F851CC" w:rsidRPr="00521799" w:rsidRDefault="00F851CC" w:rsidP="007A6126">
            <w:pPr>
              <w:pStyle w:val="Brezrazmikov"/>
              <w:rPr>
                <w:b/>
                <w:bCs/>
              </w:rPr>
            </w:pPr>
            <w:r w:rsidRPr="00521799">
              <w:rPr>
                <w:b/>
                <w:bCs/>
              </w:rPr>
              <w:t>1.258.124</w:t>
            </w:r>
          </w:p>
        </w:tc>
        <w:tc>
          <w:tcPr>
            <w:tcW w:w="654" w:type="pct"/>
            <w:tcBorders>
              <w:top w:val="single" w:sz="12" w:space="0" w:color="auto"/>
              <w:left w:val="nil"/>
              <w:bottom w:val="single" w:sz="12" w:space="0" w:color="auto"/>
              <w:right w:val="nil"/>
            </w:tcBorders>
            <w:shd w:val="clear" w:color="auto" w:fill="auto"/>
            <w:noWrap/>
            <w:vAlign w:val="bottom"/>
            <w:hideMark/>
          </w:tcPr>
          <w:p w14:paraId="0251D342" w14:textId="77777777" w:rsidR="00F851CC" w:rsidRPr="00521799" w:rsidRDefault="00F851CC" w:rsidP="007A6126">
            <w:pPr>
              <w:pStyle w:val="Brezrazmikov"/>
              <w:rPr>
                <w:b/>
                <w:bCs/>
              </w:rPr>
            </w:pPr>
            <w:r w:rsidRPr="00521799">
              <w:rPr>
                <w:b/>
                <w:bCs/>
              </w:rPr>
              <w:t>1.309.932</w:t>
            </w:r>
          </w:p>
        </w:tc>
      </w:tr>
      <w:tr w:rsidR="00F851CC" w:rsidRPr="00DA59D4" w14:paraId="19A70A6C" w14:textId="77777777" w:rsidTr="007A6126">
        <w:trPr>
          <w:trHeight w:val="312"/>
        </w:trPr>
        <w:tc>
          <w:tcPr>
            <w:tcW w:w="1733" w:type="pct"/>
            <w:tcBorders>
              <w:top w:val="single" w:sz="12" w:space="0" w:color="auto"/>
              <w:left w:val="nil"/>
              <w:bottom w:val="single" w:sz="4" w:space="0" w:color="auto"/>
              <w:right w:val="nil"/>
            </w:tcBorders>
            <w:shd w:val="clear" w:color="auto" w:fill="auto"/>
            <w:noWrap/>
            <w:vAlign w:val="bottom"/>
            <w:hideMark/>
          </w:tcPr>
          <w:p w14:paraId="742A60AB" w14:textId="77777777" w:rsidR="00F851CC" w:rsidRPr="00521799" w:rsidRDefault="00F851CC" w:rsidP="007A6126">
            <w:pPr>
              <w:pStyle w:val="Brezrazmikov"/>
              <w:jc w:val="left"/>
              <w:rPr>
                <w:b/>
                <w:bCs/>
              </w:rPr>
            </w:pPr>
            <w:r w:rsidRPr="00521799">
              <w:rPr>
                <w:b/>
                <w:bCs/>
              </w:rPr>
              <w:t xml:space="preserve">Sprememba vrednosti zalog </w:t>
            </w:r>
          </w:p>
          <w:p w14:paraId="18CB64C1" w14:textId="77777777" w:rsidR="00F851CC" w:rsidRPr="00521799" w:rsidRDefault="00F851CC" w:rsidP="007A6126">
            <w:pPr>
              <w:pStyle w:val="Brezrazmikov"/>
              <w:jc w:val="left"/>
              <w:rPr>
                <w:b/>
                <w:bCs/>
              </w:rPr>
            </w:pPr>
          </w:p>
        </w:tc>
        <w:tc>
          <w:tcPr>
            <w:tcW w:w="653" w:type="pct"/>
            <w:tcBorders>
              <w:top w:val="single" w:sz="12" w:space="0" w:color="auto"/>
              <w:left w:val="nil"/>
              <w:bottom w:val="single" w:sz="4" w:space="0" w:color="auto"/>
              <w:right w:val="nil"/>
            </w:tcBorders>
            <w:shd w:val="clear" w:color="auto" w:fill="auto"/>
            <w:noWrap/>
            <w:vAlign w:val="bottom"/>
            <w:hideMark/>
          </w:tcPr>
          <w:p w14:paraId="4DE4F17E" w14:textId="77777777" w:rsidR="00F851CC" w:rsidRPr="00521799" w:rsidRDefault="00F851CC" w:rsidP="007A6126">
            <w:pPr>
              <w:pStyle w:val="Brezrazmikov"/>
              <w:rPr>
                <w:b/>
                <w:bCs/>
              </w:rPr>
            </w:pPr>
            <w:r w:rsidRPr="00521799">
              <w:rPr>
                <w:b/>
                <w:bCs/>
              </w:rPr>
              <w:t>-26.122</w:t>
            </w:r>
          </w:p>
        </w:tc>
        <w:tc>
          <w:tcPr>
            <w:tcW w:w="653" w:type="pct"/>
            <w:tcBorders>
              <w:top w:val="single" w:sz="12" w:space="0" w:color="auto"/>
              <w:left w:val="nil"/>
              <w:bottom w:val="single" w:sz="4" w:space="0" w:color="auto"/>
              <w:right w:val="nil"/>
            </w:tcBorders>
            <w:shd w:val="clear" w:color="auto" w:fill="auto"/>
            <w:noWrap/>
            <w:vAlign w:val="bottom"/>
            <w:hideMark/>
          </w:tcPr>
          <w:p w14:paraId="63113D26" w14:textId="77777777" w:rsidR="00F851CC" w:rsidRPr="00521799" w:rsidRDefault="00F851CC" w:rsidP="007A6126">
            <w:pPr>
              <w:pStyle w:val="Brezrazmikov"/>
              <w:rPr>
                <w:b/>
                <w:bCs/>
              </w:rPr>
            </w:pPr>
            <w:r w:rsidRPr="00521799">
              <w:rPr>
                <w:b/>
                <w:bCs/>
              </w:rPr>
              <w:t>-12.042</w:t>
            </w:r>
          </w:p>
        </w:tc>
        <w:tc>
          <w:tcPr>
            <w:tcW w:w="653" w:type="pct"/>
            <w:tcBorders>
              <w:top w:val="single" w:sz="12" w:space="0" w:color="auto"/>
              <w:left w:val="nil"/>
              <w:bottom w:val="single" w:sz="4" w:space="0" w:color="auto"/>
              <w:right w:val="nil"/>
            </w:tcBorders>
            <w:shd w:val="clear" w:color="auto" w:fill="auto"/>
            <w:noWrap/>
            <w:vAlign w:val="bottom"/>
            <w:hideMark/>
          </w:tcPr>
          <w:p w14:paraId="2763B47F" w14:textId="77777777" w:rsidR="00F851CC" w:rsidRPr="00521799" w:rsidRDefault="00F851CC" w:rsidP="007A6126">
            <w:pPr>
              <w:pStyle w:val="Brezrazmikov"/>
              <w:rPr>
                <w:b/>
                <w:bCs/>
              </w:rPr>
            </w:pPr>
            <w:r w:rsidRPr="00521799">
              <w:rPr>
                <w:b/>
                <w:bCs/>
              </w:rPr>
              <w:t>13.370</w:t>
            </w:r>
          </w:p>
        </w:tc>
        <w:tc>
          <w:tcPr>
            <w:tcW w:w="653" w:type="pct"/>
            <w:tcBorders>
              <w:top w:val="single" w:sz="12" w:space="0" w:color="auto"/>
              <w:left w:val="nil"/>
              <w:bottom w:val="single" w:sz="4" w:space="0" w:color="auto"/>
              <w:right w:val="nil"/>
            </w:tcBorders>
            <w:shd w:val="clear" w:color="auto" w:fill="auto"/>
            <w:noWrap/>
            <w:vAlign w:val="bottom"/>
            <w:hideMark/>
          </w:tcPr>
          <w:p w14:paraId="37102FDF" w14:textId="77777777" w:rsidR="00F851CC" w:rsidRPr="00521799" w:rsidRDefault="00F851CC" w:rsidP="007A6126">
            <w:pPr>
              <w:pStyle w:val="Brezrazmikov"/>
              <w:rPr>
                <w:b/>
                <w:bCs/>
              </w:rPr>
            </w:pPr>
            <w:r w:rsidRPr="00521799">
              <w:rPr>
                <w:b/>
                <w:bCs/>
              </w:rPr>
              <w:t>5.200</w:t>
            </w:r>
          </w:p>
        </w:tc>
        <w:tc>
          <w:tcPr>
            <w:tcW w:w="654" w:type="pct"/>
            <w:tcBorders>
              <w:top w:val="single" w:sz="12" w:space="0" w:color="auto"/>
              <w:left w:val="nil"/>
              <w:bottom w:val="single" w:sz="4" w:space="0" w:color="auto"/>
              <w:right w:val="nil"/>
            </w:tcBorders>
            <w:shd w:val="clear" w:color="auto" w:fill="auto"/>
            <w:noWrap/>
            <w:vAlign w:val="bottom"/>
            <w:hideMark/>
          </w:tcPr>
          <w:p w14:paraId="03095FA6" w14:textId="77777777" w:rsidR="00F851CC" w:rsidRPr="00521799" w:rsidRDefault="00F851CC" w:rsidP="007A6126">
            <w:pPr>
              <w:pStyle w:val="Brezrazmikov"/>
              <w:rPr>
                <w:b/>
                <w:bCs/>
              </w:rPr>
            </w:pPr>
            <w:r w:rsidRPr="00521799">
              <w:rPr>
                <w:b/>
                <w:bCs/>
              </w:rPr>
              <w:t>-15.117</w:t>
            </w:r>
          </w:p>
        </w:tc>
      </w:tr>
      <w:tr w:rsidR="00F851CC" w:rsidRPr="00DA59D4" w14:paraId="62348BC7" w14:textId="77777777" w:rsidTr="007A6126">
        <w:trPr>
          <w:trHeight w:val="312"/>
        </w:trPr>
        <w:tc>
          <w:tcPr>
            <w:tcW w:w="1733" w:type="pct"/>
            <w:tcBorders>
              <w:top w:val="nil"/>
              <w:left w:val="nil"/>
              <w:bottom w:val="nil"/>
              <w:right w:val="nil"/>
            </w:tcBorders>
            <w:shd w:val="clear" w:color="auto" w:fill="auto"/>
            <w:noWrap/>
            <w:vAlign w:val="bottom"/>
            <w:hideMark/>
          </w:tcPr>
          <w:p w14:paraId="38477DAC" w14:textId="77777777" w:rsidR="00F851CC" w:rsidRPr="00DA59D4" w:rsidRDefault="00F851CC" w:rsidP="007A6126">
            <w:pPr>
              <w:pStyle w:val="Brezrazmikov"/>
              <w:jc w:val="left"/>
            </w:pPr>
            <w:r w:rsidRPr="00DA59D4">
              <w:t xml:space="preserve">Drugi poslovni prihodki     </w:t>
            </w:r>
          </w:p>
        </w:tc>
        <w:tc>
          <w:tcPr>
            <w:tcW w:w="653" w:type="pct"/>
            <w:tcBorders>
              <w:top w:val="nil"/>
              <w:left w:val="nil"/>
              <w:bottom w:val="nil"/>
              <w:right w:val="nil"/>
            </w:tcBorders>
            <w:shd w:val="clear" w:color="auto" w:fill="auto"/>
            <w:noWrap/>
            <w:vAlign w:val="bottom"/>
            <w:hideMark/>
          </w:tcPr>
          <w:p w14:paraId="29ACEEF3" w14:textId="77777777" w:rsidR="00F851CC" w:rsidRPr="00DA59D4" w:rsidRDefault="00F851CC" w:rsidP="007A6126">
            <w:pPr>
              <w:pStyle w:val="Brezrazmikov"/>
            </w:pPr>
            <w:r w:rsidRPr="00DA59D4">
              <w:t>34.517</w:t>
            </w:r>
          </w:p>
        </w:tc>
        <w:tc>
          <w:tcPr>
            <w:tcW w:w="653" w:type="pct"/>
            <w:tcBorders>
              <w:top w:val="nil"/>
              <w:left w:val="nil"/>
              <w:bottom w:val="nil"/>
              <w:right w:val="nil"/>
            </w:tcBorders>
            <w:shd w:val="clear" w:color="auto" w:fill="auto"/>
            <w:noWrap/>
            <w:vAlign w:val="bottom"/>
            <w:hideMark/>
          </w:tcPr>
          <w:p w14:paraId="6A57B458" w14:textId="77777777" w:rsidR="00F851CC" w:rsidRPr="00DA59D4" w:rsidRDefault="00F851CC" w:rsidP="007A6126">
            <w:pPr>
              <w:pStyle w:val="Brezrazmikov"/>
            </w:pPr>
            <w:r w:rsidRPr="00DA59D4">
              <w:t>21.694</w:t>
            </w:r>
          </w:p>
        </w:tc>
        <w:tc>
          <w:tcPr>
            <w:tcW w:w="653" w:type="pct"/>
            <w:tcBorders>
              <w:top w:val="nil"/>
              <w:left w:val="nil"/>
              <w:bottom w:val="nil"/>
              <w:right w:val="nil"/>
            </w:tcBorders>
            <w:shd w:val="clear" w:color="auto" w:fill="auto"/>
            <w:noWrap/>
            <w:vAlign w:val="bottom"/>
            <w:hideMark/>
          </w:tcPr>
          <w:p w14:paraId="41AE8C87" w14:textId="77777777" w:rsidR="00F851CC" w:rsidRPr="00DA59D4" w:rsidRDefault="00F851CC" w:rsidP="007A6126">
            <w:pPr>
              <w:pStyle w:val="Brezrazmikov"/>
            </w:pPr>
            <w:r w:rsidRPr="00DA59D4">
              <w:t>31.866</w:t>
            </w:r>
          </w:p>
        </w:tc>
        <w:tc>
          <w:tcPr>
            <w:tcW w:w="653" w:type="pct"/>
            <w:tcBorders>
              <w:top w:val="nil"/>
              <w:left w:val="nil"/>
              <w:bottom w:val="nil"/>
              <w:right w:val="nil"/>
            </w:tcBorders>
            <w:shd w:val="clear" w:color="auto" w:fill="auto"/>
            <w:noWrap/>
            <w:vAlign w:val="bottom"/>
            <w:hideMark/>
          </w:tcPr>
          <w:p w14:paraId="6051FAD9" w14:textId="77777777" w:rsidR="00F851CC" w:rsidRPr="00DA59D4" w:rsidRDefault="00F851CC" w:rsidP="007A6126">
            <w:pPr>
              <w:pStyle w:val="Brezrazmikov"/>
            </w:pPr>
            <w:r w:rsidRPr="00DA59D4">
              <w:t>21.871</w:t>
            </w:r>
          </w:p>
        </w:tc>
        <w:tc>
          <w:tcPr>
            <w:tcW w:w="654" w:type="pct"/>
            <w:tcBorders>
              <w:top w:val="nil"/>
              <w:left w:val="nil"/>
              <w:bottom w:val="nil"/>
              <w:right w:val="nil"/>
            </w:tcBorders>
            <w:shd w:val="clear" w:color="auto" w:fill="auto"/>
            <w:noWrap/>
            <w:vAlign w:val="bottom"/>
            <w:hideMark/>
          </w:tcPr>
          <w:p w14:paraId="44112E93" w14:textId="77777777" w:rsidR="00F851CC" w:rsidRPr="00DA59D4" w:rsidRDefault="00F851CC" w:rsidP="007A6126">
            <w:pPr>
              <w:pStyle w:val="Brezrazmikov"/>
            </w:pPr>
            <w:r w:rsidRPr="00DA59D4">
              <w:t>39.440</w:t>
            </w:r>
          </w:p>
        </w:tc>
      </w:tr>
      <w:tr w:rsidR="00F851CC" w:rsidRPr="00DA59D4" w14:paraId="301B320A" w14:textId="77777777" w:rsidTr="007A6126">
        <w:trPr>
          <w:trHeight w:val="324"/>
        </w:trPr>
        <w:tc>
          <w:tcPr>
            <w:tcW w:w="1733" w:type="pct"/>
            <w:tcBorders>
              <w:top w:val="nil"/>
              <w:left w:val="nil"/>
              <w:bottom w:val="nil"/>
              <w:right w:val="nil"/>
            </w:tcBorders>
            <w:shd w:val="clear" w:color="auto" w:fill="auto"/>
            <w:noWrap/>
            <w:vAlign w:val="bottom"/>
            <w:hideMark/>
          </w:tcPr>
          <w:p w14:paraId="14E32AFC" w14:textId="77777777" w:rsidR="00F851CC" w:rsidRPr="00DA59D4" w:rsidRDefault="00F851CC" w:rsidP="007A6126">
            <w:pPr>
              <w:pStyle w:val="Brezrazmikov"/>
              <w:jc w:val="left"/>
            </w:pPr>
            <w:r w:rsidRPr="00DA59D4">
              <w:t xml:space="preserve">Kosmati donos iz poslovanja    </w:t>
            </w:r>
          </w:p>
        </w:tc>
        <w:tc>
          <w:tcPr>
            <w:tcW w:w="653" w:type="pct"/>
            <w:tcBorders>
              <w:top w:val="nil"/>
              <w:left w:val="nil"/>
              <w:bottom w:val="nil"/>
              <w:right w:val="nil"/>
            </w:tcBorders>
            <w:shd w:val="clear" w:color="auto" w:fill="auto"/>
            <w:noWrap/>
            <w:vAlign w:val="bottom"/>
            <w:hideMark/>
          </w:tcPr>
          <w:p w14:paraId="69F4C948" w14:textId="77777777" w:rsidR="00F851CC" w:rsidRPr="00DA59D4" w:rsidRDefault="00F851CC" w:rsidP="007A6126">
            <w:pPr>
              <w:pStyle w:val="Brezrazmikov"/>
            </w:pPr>
            <w:r w:rsidRPr="00DA59D4">
              <w:t>1.248.877</w:t>
            </w:r>
          </w:p>
        </w:tc>
        <w:tc>
          <w:tcPr>
            <w:tcW w:w="653" w:type="pct"/>
            <w:tcBorders>
              <w:top w:val="nil"/>
              <w:left w:val="nil"/>
              <w:bottom w:val="nil"/>
              <w:right w:val="nil"/>
            </w:tcBorders>
            <w:shd w:val="clear" w:color="auto" w:fill="auto"/>
            <w:noWrap/>
            <w:vAlign w:val="bottom"/>
            <w:hideMark/>
          </w:tcPr>
          <w:p w14:paraId="6EDAB0C9" w14:textId="77777777" w:rsidR="00F851CC" w:rsidRPr="00DA59D4" w:rsidRDefault="00F851CC" w:rsidP="007A6126">
            <w:pPr>
              <w:pStyle w:val="Brezrazmikov"/>
            </w:pPr>
            <w:r w:rsidRPr="00DA59D4">
              <w:t>1.263.369</w:t>
            </w:r>
          </w:p>
        </w:tc>
        <w:tc>
          <w:tcPr>
            <w:tcW w:w="653" w:type="pct"/>
            <w:tcBorders>
              <w:top w:val="nil"/>
              <w:left w:val="nil"/>
              <w:bottom w:val="nil"/>
              <w:right w:val="nil"/>
            </w:tcBorders>
            <w:shd w:val="clear" w:color="auto" w:fill="auto"/>
            <w:noWrap/>
            <w:vAlign w:val="bottom"/>
            <w:hideMark/>
          </w:tcPr>
          <w:p w14:paraId="56BD02DC" w14:textId="77777777" w:rsidR="00F851CC" w:rsidRPr="00DA59D4" w:rsidRDefault="00F851CC" w:rsidP="007A6126">
            <w:pPr>
              <w:pStyle w:val="Brezrazmikov"/>
            </w:pPr>
            <w:r w:rsidRPr="00DA59D4">
              <w:t>1.270.265</w:t>
            </w:r>
          </w:p>
        </w:tc>
        <w:tc>
          <w:tcPr>
            <w:tcW w:w="653" w:type="pct"/>
            <w:tcBorders>
              <w:top w:val="nil"/>
              <w:left w:val="nil"/>
              <w:bottom w:val="nil"/>
              <w:right w:val="nil"/>
            </w:tcBorders>
            <w:shd w:val="clear" w:color="auto" w:fill="auto"/>
            <w:noWrap/>
            <w:vAlign w:val="bottom"/>
            <w:hideMark/>
          </w:tcPr>
          <w:p w14:paraId="2C2384DE" w14:textId="77777777" w:rsidR="00F851CC" w:rsidRPr="00DA59D4" w:rsidRDefault="00F851CC" w:rsidP="007A6126">
            <w:pPr>
              <w:pStyle w:val="Brezrazmikov"/>
            </w:pPr>
            <w:r w:rsidRPr="00DA59D4">
              <w:t>1.285.195</w:t>
            </w:r>
          </w:p>
        </w:tc>
        <w:tc>
          <w:tcPr>
            <w:tcW w:w="654" w:type="pct"/>
            <w:tcBorders>
              <w:top w:val="nil"/>
              <w:left w:val="nil"/>
              <w:bottom w:val="nil"/>
              <w:right w:val="nil"/>
            </w:tcBorders>
            <w:shd w:val="clear" w:color="auto" w:fill="auto"/>
            <w:noWrap/>
            <w:vAlign w:val="bottom"/>
            <w:hideMark/>
          </w:tcPr>
          <w:p w14:paraId="69AD1568" w14:textId="77777777" w:rsidR="00F851CC" w:rsidRPr="00DA59D4" w:rsidRDefault="00F851CC" w:rsidP="007A6126">
            <w:pPr>
              <w:pStyle w:val="Brezrazmikov"/>
            </w:pPr>
            <w:r w:rsidRPr="00DA59D4">
              <w:t>1.334.255</w:t>
            </w:r>
          </w:p>
        </w:tc>
      </w:tr>
      <w:tr w:rsidR="00F851CC" w:rsidRPr="00DA59D4" w14:paraId="3218DF27" w14:textId="77777777" w:rsidTr="007A6126">
        <w:trPr>
          <w:trHeight w:val="324"/>
        </w:trPr>
        <w:tc>
          <w:tcPr>
            <w:tcW w:w="1733" w:type="pct"/>
            <w:tcBorders>
              <w:top w:val="nil"/>
              <w:left w:val="nil"/>
              <w:bottom w:val="nil"/>
              <w:right w:val="nil"/>
            </w:tcBorders>
            <w:shd w:val="clear" w:color="auto" w:fill="auto"/>
            <w:noWrap/>
            <w:vAlign w:val="bottom"/>
            <w:hideMark/>
          </w:tcPr>
          <w:p w14:paraId="1E5B7BC2" w14:textId="77777777" w:rsidR="00F851CC" w:rsidRPr="00DA59D4" w:rsidRDefault="00F851CC" w:rsidP="007A6126">
            <w:pPr>
              <w:pStyle w:val="Brezrazmikov"/>
              <w:jc w:val="left"/>
            </w:pPr>
            <w:r w:rsidRPr="00DA59D4">
              <w:t xml:space="preserve">Stroški blaga, materiala in storitev   </w:t>
            </w:r>
          </w:p>
        </w:tc>
        <w:tc>
          <w:tcPr>
            <w:tcW w:w="653" w:type="pct"/>
            <w:tcBorders>
              <w:top w:val="nil"/>
              <w:left w:val="nil"/>
              <w:bottom w:val="nil"/>
              <w:right w:val="nil"/>
            </w:tcBorders>
            <w:shd w:val="clear" w:color="auto" w:fill="auto"/>
            <w:noWrap/>
            <w:vAlign w:val="bottom"/>
            <w:hideMark/>
          </w:tcPr>
          <w:p w14:paraId="36A777F3" w14:textId="77777777" w:rsidR="00F851CC" w:rsidRPr="00DA59D4" w:rsidRDefault="00F851CC" w:rsidP="007A6126">
            <w:pPr>
              <w:pStyle w:val="Brezrazmikov"/>
            </w:pPr>
            <w:r w:rsidRPr="00DA59D4">
              <w:t>-910.516</w:t>
            </w:r>
          </w:p>
        </w:tc>
        <w:tc>
          <w:tcPr>
            <w:tcW w:w="653" w:type="pct"/>
            <w:tcBorders>
              <w:top w:val="nil"/>
              <w:left w:val="nil"/>
              <w:bottom w:val="nil"/>
              <w:right w:val="nil"/>
            </w:tcBorders>
            <w:shd w:val="clear" w:color="auto" w:fill="auto"/>
            <w:noWrap/>
            <w:vAlign w:val="bottom"/>
            <w:hideMark/>
          </w:tcPr>
          <w:p w14:paraId="51B18124" w14:textId="77777777" w:rsidR="00F851CC" w:rsidRPr="00DA59D4" w:rsidRDefault="00F851CC" w:rsidP="007A6126">
            <w:pPr>
              <w:pStyle w:val="Brezrazmikov"/>
            </w:pPr>
            <w:r w:rsidRPr="00DA59D4">
              <w:t>-927.686</w:t>
            </w:r>
          </w:p>
        </w:tc>
        <w:tc>
          <w:tcPr>
            <w:tcW w:w="653" w:type="pct"/>
            <w:tcBorders>
              <w:top w:val="nil"/>
              <w:left w:val="nil"/>
              <w:bottom w:val="nil"/>
              <w:right w:val="nil"/>
            </w:tcBorders>
            <w:shd w:val="clear" w:color="auto" w:fill="auto"/>
            <w:noWrap/>
            <w:vAlign w:val="bottom"/>
            <w:hideMark/>
          </w:tcPr>
          <w:p w14:paraId="21B41015" w14:textId="77777777" w:rsidR="00F851CC" w:rsidRPr="00DA59D4" w:rsidRDefault="00F851CC" w:rsidP="007A6126">
            <w:pPr>
              <w:pStyle w:val="Brezrazmikov"/>
            </w:pPr>
            <w:r w:rsidRPr="00DA59D4">
              <w:t>-937.245</w:t>
            </w:r>
          </w:p>
        </w:tc>
        <w:tc>
          <w:tcPr>
            <w:tcW w:w="653" w:type="pct"/>
            <w:tcBorders>
              <w:top w:val="nil"/>
              <w:left w:val="nil"/>
              <w:bottom w:val="nil"/>
              <w:right w:val="nil"/>
            </w:tcBorders>
            <w:shd w:val="clear" w:color="auto" w:fill="auto"/>
            <w:noWrap/>
            <w:vAlign w:val="bottom"/>
            <w:hideMark/>
          </w:tcPr>
          <w:p w14:paraId="13D9AC7B" w14:textId="77777777" w:rsidR="00F851CC" w:rsidRPr="00DA59D4" w:rsidRDefault="00F851CC" w:rsidP="007A6126">
            <w:pPr>
              <w:pStyle w:val="Brezrazmikov"/>
            </w:pPr>
            <w:r w:rsidRPr="00DA59D4">
              <w:t>-942.154</w:t>
            </w:r>
          </w:p>
        </w:tc>
        <w:tc>
          <w:tcPr>
            <w:tcW w:w="654" w:type="pct"/>
            <w:tcBorders>
              <w:top w:val="nil"/>
              <w:left w:val="nil"/>
              <w:bottom w:val="nil"/>
              <w:right w:val="nil"/>
            </w:tcBorders>
            <w:shd w:val="clear" w:color="auto" w:fill="auto"/>
            <w:noWrap/>
            <w:vAlign w:val="bottom"/>
            <w:hideMark/>
          </w:tcPr>
          <w:p w14:paraId="20BA9CAA" w14:textId="77777777" w:rsidR="00F851CC" w:rsidRPr="00DA59D4" w:rsidRDefault="00F851CC" w:rsidP="007A6126">
            <w:pPr>
              <w:pStyle w:val="Brezrazmikov"/>
            </w:pPr>
            <w:r w:rsidRPr="00DA59D4">
              <w:t>-981.413</w:t>
            </w:r>
          </w:p>
        </w:tc>
      </w:tr>
      <w:tr w:rsidR="00F851CC" w:rsidRPr="00DA59D4" w14:paraId="04DCC021" w14:textId="77777777" w:rsidTr="007A6126">
        <w:trPr>
          <w:trHeight w:val="324"/>
        </w:trPr>
        <w:tc>
          <w:tcPr>
            <w:tcW w:w="1733" w:type="pct"/>
            <w:tcBorders>
              <w:top w:val="nil"/>
              <w:left w:val="nil"/>
              <w:bottom w:val="nil"/>
              <w:right w:val="nil"/>
            </w:tcBorders>
            <w:shd w:val="clear" w:color="auto" w:fill="auto"/>
            <w:noWrap/>
            <w:vAlign w:val="bottom"/>
            <w:hideMark/>
          </w:tcPr>
          <w:p w14:paraId="7F35BA40" w14:textId="77777777" w:rsidR="00F851CC" w:rsidRPr="00DA59D4" w:rsidRDefault="00F851CC" w:rsidP="007A6126">
            <w:pPr>
              <w:pStyle w:val="Brezrazmikov"/>
              <w:jc w:val="left"/>
            </w:pPr>
            <w:r w:rsidRPr="00DA59D4">
              <w:t xml:space="preserve">Stroški dela      </w:t>
            </w:r>
          </w:p>
        </w:tc>
        <w:tc>
          <w:tcPr>
            <w:tcW w:w="653" w:type="pct"/>
            <w:tcBorders>
              <w:top w:val="nil"/>
              <w:left w:val="nil"/>
              <w:bottom w:val="nil"/>
              <w:right w:val="nil"/>
            </w:tcBorders>
            <w:shd w:val="clear" w:color="auto" w:fill="auto"/>
            <w:noWrap/>
            <w:vAlign w:val="bottom"/>
            <w:hideMark/>
          </w:tcPr>
          <w:p w14:paraId="4B371658" w14:textId="77777777" w:rsidR="00F851CC" w:rsidRPr="00DA59D4" w:rsidRDefault="00F851CC" w:rsidP="007A6126">
            <w:pPr>
              <w:pStyle w:val="Brezrazmikov"/>
            </w:pPr>
            <w:r w:rsidRPr="00DA59D4">
              <w:t>-237.914</w:t>
            </w:r>
          </w:p>
        </w:tc>
        <w:tc>
          <w:tcPr>
            <w:tcW w:w="653" w:type="pct"/>
            <w:tcBorders>
              <w:top w:val="nil"/>
              <w:left w:val="nil"/>
              <w:bottom w:val="nil"/>
              <w:right w:val="nil"/>
            </w:tcBorders>
            <w:shd w:val="clear" w:color="auto" w:fill="auto"/>
            <w:noWrap/>
            <w:vAlign w:val="bottom"/>
            <w:hideMark/>
          </w:tcPr>
          <w:p w14:paraId="1B6119CB" w14:textId="77777777" w:rsidR="00F851CC" w:rsidRPr="00DA59D4" w:rsidRDefault="00F851CC" w:rsidP="007A6126">
            <w:pPr>
              <w:pStyle w:val="Brezrazmikov"/>
            </w:pPr>
            <w:r w:rsidRPr="00DA59D4">
              <w:t>-228.479</w:t>
            </w:r>
          </w:p>
        </w:tc>
        <w:tc>
          <w:tcPr>
            <w:tcW w:w="653" w:type="pct"/>
            <w:tcBorders>
              <w:top w:val="nil"/>
              <w:left w:val="nil"/>
              <w:bottom w:val="nil"/>
              <w:right w:val="nil"/>
            </w:tcBorders>
            <w:shd w:val="clear" w:color="auto" w:fill="auto"/>
            <w:noWrap/>
            <w:vAlign w:val="bottom"/>
            <w:hideMark/>
          </w:tcPr>
          <w:p w14:paraId="772742D4" w14:textId="77777777" w:rsidR="00F851CC" w:rsidRPr="00DA59D4" w:rsidRDefault="00F851CC" w:rsidP="007A6126">
            <w:pPr>
              <w:pStyle w:val="Brezrazmikov"/>
            </w:pPr>
            <w:r w:rsidRPr="00DA59D4">
              <w:t>-231.362</w:t>
            </w:r>
          </w:p>
        </w:tc>
        <w:tc>
          <w:tcPr>
            <w:tcW w:w="653" w:type="pct"/>
            <w:tcBorders>
              <w:top w:val="nil"/>
              <w:left w:val="nil"/>
              <w:bottom w:val="nil"/>
              <w:right w:val="nil"/>
            </w:tcBorders>
            <w:shd w:val="clear" w:color="auto" w:fill="auto"/>
            <w:noWrap/>
            <w:vAlign w:val="bottom"/>
            <w:hideMark/>
          </w:tcPr>
          <w:p w14:paraId="383BC729" w14:textId="77777777" w:rsidR="00F851CC" w:rsidRPr="00DA59D4" w:rsidRDefault="00F851CC" w:rsidP="007A6126">
            <w:pPr>
              <w:pStyle w:val="Brezrazmikov"/>
            </w:pPr>
            <w:r w:rsidRPr="00DA59D4">
              <w:t>-235.325</w:t>
            </w:r>
          </w:p>
        </w:tc>
        <w:tc>
          <w:tcPr>
            <w:tcW w:w="654" w:type="pct"/>
            <w:tcBorders>
              <w:top w:val="nil"/>
              <w:left w:val="nil"/>
              <w:bottom w:val="nil"/>
              <w:right w:val="nil"/>
            </w:tcBorders>
            <w:shd w:val="clear" w:color="auto" w:fill="auto"/>
            <w:noWrap/>
            <w:vAlign w:val="bottom"/>
            <w:hideMark/>
          </w:tcPr>
          <w:p w14:paraId="68544B61" w14:textId="77777777" w:rsidR="00F851CC" w:rsidRPr="00DA59D4" w:rsidRDefault="00F851CC" w:rsidP="007A6126">
            <w:pPr>
              <w:pStyle w:val="Brezrazmikov"/>
            </w:pPr>
            <w:r w:rsidRPr="00DA59D4">
              <w:t>-249.012</w:t>
            </w:r>
          </w:p>
        </w:tc>
      </w:tr>
      <w:tr w:rsidR="00F851CC" w:rsidRPr="00DA59D4" w14:paraId="279E6315" w14:textId="77777777" w:rsidTr="007A6126">
        <w:trPr>
          <w:trHeight w:val="324"/>
        </w:trPr>
        <w:tc>
          <w:tcPr>
            <w:tcW w:w="1733" w:type="pct"/>
            <w:tcBorders>
              <w:top w:val="nil"/>
              <w:left w:val="nil"/>
              <w:bottom w:val="nil"/>
              <w:right w:val="nil"/>
            </w:tcBorders>
            <w:shd w:val="clear" w:color="auto" w:fill="auto"/>
            <w:noWrap/>
            <w:vAlign w:val="bottom"/>
            <w:hideMark/>
          </w:tcPr>
          <w:p w14:paraId="23C35714" w14:textId="77777777" w:rsidR="00F851CC" w:rsidRPr="00DA59D4" w:rsidRDefault="00F851CC" w:rsidP="007A6126">
            <w:pPr>
              <w:pStyle w:val="Brezrazmikov"/>
              <w:jc w:val="left"/>
            </w:pPr>
            <w:r w:rsidRPr="00DA59D4">
              <w:t xml:space="preserve">Amortizacija       </w:t>
            </w:r>
          </w:p>
        </w:tc>
        <w:tc>
          <w:tcPr>
            <w:tcW w:w="653" w:type="pct"/>
            <w:tcBorders>
              <w:top w:val="nil"/>
              <w:left w:val="nil"/>
              <w:bottom w:val="nil"/>
              <w:right w:val="nil"/>
            </w:tcBorders>
            <w:shd w:val="clear" w:color="auto" w:fill="auto"/>
            <w:noWrap/>
            <w:vAlign w:val="bottom"/>
            <w:hideMark/>
          </w:tcPr>
          <w:p w14:paraId="17F070BC" w14:textId="77777777" w:rsidR="00F851CC" w:rsidRPr="00DA59D4" w:rsidRDefault="00F851CC" w:rsidP="007A6126">
            <w:pPr>
              <w:pStyle w:val="Brezrazmikov"/>
            </w:pPr>
            <w:r w:rsidRPr="00DA59D4">
              <w:t>-41.875</w:t>
            </w:r>
          </w:p>
        </w:tc>
        <w:tc>
          <w:tcPr>
            <w:tcW w:w="653" w:type="pct"/>
            <w:tcBorders>
              <w:top w:val="nil"/>
              <w:left w:val="nil"/>
              <w:bottom w:val="nil"/>
              <w:right w:val="nil"/>
            </w:tcBorders>
            <w:shd w:val="clear" w:color="auto" w:fill="auto"/>
            <w:noWrap/>
            <w:vAlign w:val="bottom"/>
            <w:hideMark/>
          </w:tcPr>
          <w:p w14:paraId="7E21A74C" w14:textId="77777777" w:rsidR="00F851CC" w:rsidRPr="00DA59D4" w:rsidRDefault="00F851CC" w:rsidP="007A6126">
            <w:pPr>
              <w:pStyle w:val="Brezrazmikov"/>
            </w:pPr>
            <w:r w:rsidRPr="00DA59D4">
              <w:t>-43.019</w:t>
            </w:r>
          </w:p>
        </w:tc>
        <w:tc>
          <w:tcPr>
            <w:tcW w:w="653" w:type="pct"/>
            <w:tcBorders>
              <w:top w:val="nil"/>
              <w:left w:val="nil"/>
              <w:bottom w:val="nil"/>
              <w:right w:val="nil"/>
            </w:tcBorders>
            <w:shd w:val="clear" w:color="auto" w:fill="auto"/>
            <w:noWrap/>
            <w:vAlign w:val="bottom"/>
            <w:hideMark/>
          </w:tcPr>
          <w:p w14:paraId="6C1C07FE" w14:textId="77777777" w:rsidR="00F851CC" w:rsidRPr="00DA59D4" w:rsidRDefault="00F851CC" w:rsidP="007A6126">
            <w:pPr>
              <w:pStyle w:val="Brezrazmikov"/>
            </w:pPr>
            <w:r w:rsidRPr="00DA59D4">
              <w:t>-45.644</w:t>
            </w:r>
          </w:p>
        </w:tc>
        <w:tc>
          <w:tcPr>
            <w:tcW w:w="653" w:type="pct"/>
            <w:tcBorders>
              <w:top w:val="nil"/>
              <w:left w:val="nil"/>
              <w:bottom w:val="nil"/>
              <w:right w:val="nil"/>
            </w:tcBorders>
            <w:shd w:val="clear" w:color="auto" w:fill="auto"/>
            <w:noWrap/>
            <w:vAlign w:val="bottom"/>
            <w:hideMark/>
          </w:tcPr>
          <w:p w14:paraId="0A6B7F02" w14:textId="77777777" w:rsidR="00F851CC" w:rsidRPr="00DA59D4" w:rsidRDefault="00F851CC" w:rsidP="007A6126">
            <w:pPr>
              <w:pStyle w:val="Brezrazmikov"/>
            </w:pPr>
            <w:r w:rsidRPr="00DA59D4">
              <w:t>-47.055</w:t>
            </w:r>
          </w:p>
        </w:tc>
        <w:tc>
          <w:tcPr>
            <w:tcW w:w="654" w:type="pct"/>
            <w:tcBorders>
              <w:top w:val="nil"/>
              <w:left w:val="nil"/>
              <w:bottom w:val="nil"/>
              <w:right w:val="nil"/>
            </w:tcBorders>
            <w:shd w:val="clear" w:color="auto" w:fill="auto"/>
            <w:noWrap/>
            <w:vAlign w:val="bottom"/>
            <w:hideMark/>
          </w:tcPr>
          <w:p w14:paraId="58F41A36" w14:textId="77777777" w:rsidR="00F851CC" w:rsidRPr="00DA59D4" w:rsidRDefault="00F851CC" w:rsidP="007A6126">
            <w:pPr>
              <w:pStyle w:val="Brezrazmikov"/>
            </w:pPr>
            <w:r w:rsidRPr="00DA59D4">
              <w:t>-54.676</w:t>
            </w:r>
          </w:p>
        </w:tc>
      </w:tr>
      <w:tr w:rsidR="00F851CC" w:rsidRPr="00DA59D4" w14:paraId="6F553EA2" w14:textId="77777777" w:rsidTr="007A6126">
        <w:trPr>
          <w:trHeight w:val="312"/>
        </w:trPr>
        <w:tc>
          <w:tcPr>
            <w:tcW w:w="1733" w:type="pct"/>
            <w:tcBorders>
              <w:top w:val="nil"/>
              <w:left w:val="nil"/>
              <w:right w:val="nil"/>
            </w:tcBorders>
            <w:shd w:val="clear" w:color="auto" w:fill="auto"/>
            <w:noWrap/>
            <w:vAlign w:val="bottom"/>
            <w:hideMark/>
          </w:tcPr>
          <w:p w14:paraId="024BF1D4" w14:textId="77777777" w:rsidR="00F851CC" w:rsidRPr="00DA59D4" w:rsidRDefault="00F851CC" w:rsidP="007A6126">
            <w:pPr>
              <w:pStyle w:val="Brezrazmikov"/>
              <w:jc w:val="left"/>
            </w:pPr>
            <w:r w:rsidRPr="00DA59D4">
              <w:t xml:space="preserve">Drugi poslovni odhodki     </w:t>
            </w:r>
          </w:p>
        </w:tc>
        <w:tc>
          <w:tcPr>
            <w:tcW w:w="653" w:type="pct"/>
            <w:tcBorders>
              <w:top w:val="nil"/>
              <w:left w:val="nil"/>
              <w:right w:val="nil"/>
            </w:tcBorders>
            <w:shd w:val="clear" w:color="auto" w:fill="auto"/>
            <w:noWrap/>
            <w:vAlign w:val="bottom"/>
            <w:hideMark/>
          </w:tcPr>
          <w:p w14:paraId="3688F349" w14:textId="77777777" w:rsidR="00F851CC" w:rsidRPr="00DA59D4" w:rsidRDefault="00F851CC" w:rsidP="007A6126">
            <w:pPr>
              <w:pStyle w:val="Brezrazmikov"/>
            </w:pPr>
            <w:r w:rsidRPr="00DA59D4">
              <w:t>-22.242</w:t>
            </w:r>
          </w:p>
        </w:tc>
        <w:tc>
          <w:tcPr>
            <w:tcW w:w="653" w:type="pct"/>
            <w:tcBorders>
              <w:top w:val="nil"/>
              <w:left w:val="nil"/>
              <w:right w:val="nil"/>
            </w:tcBorders>
            <w:shd w:val="clear" w:color="auto" w:fill="auto"/>
            <w:noWrap/>
            <w:vAlign w:val="bottom"/>
            <w:hideMark/>
          </w:tcPr>
          <w:p w14:paraId="3EEA03E0" w14:textId="77777777" w:rsidR="00F851CC" w:rsidRPr="00DA59D4" w:rsidRDefault="00F851CC" w:rsidP="007A6126">
            <w:pPr>
              <w:pStyle w:val="Brezrazmikov"/>
            </w:pPr>
            <w:r w:rsidRPr="00DA59D4">
              <w:t>-21.650</w:t>
            </w:r>
          </w:p>
        </w:tc>
        <w:tc>
          <w:tcPr>
            <w:tcW w:w="653" w:type="pct"/>
            <w:tcBorders>
              <w:top w:val="nil"/>
              <w:left w:val="nil"/>
              <w:right w:val="nil"/>
            </w:tcBorders>
            <w:shd w:val="clear" w:color="auto" w:fill="auto"/>
            <w:noWrap/>
            <w:vAlign w:val="bottom"/>
            <w:hideMark/>
          </w:tcPr>
          <w:p w14:paraId="32A37660" w14:textId="77777777" w:rsidR="00F851CC" w:rsidRPr="00DA59D4" w:rsidRDefault="00F851CC" w:rsidP="007A6126">
            <w:pPr>
              <w:pStyle w:val="Brezrazmikov"/>
            </w:pPr>
            <w:r w:rsidRPr="00DA59D4">
              <w:t>-21.570</w:t>
            </w:r>
          </w:p>
        </w:tc>
        <w:tc>
          <w:tcPr>
            <w:tcW w:w="653" w:type="pct"/>
            <w:tcBorders>
              <w:top w:val="nil"/>
              <w:left w:val="nil"/>
              <w:right w:val="nil"/>
            </w:tcBorders>
            <w:shd w:val="clear" w:color="auto" w:fill="auto"/>
            <w:noWrap/>
            <w:vAlign w:val="bottom"/>
            <w:hideMark/>
          </w:tcPr>
          <w:p w14:paraId="44011E16" w14:textId="77777777" w:rsidR="00F851CC" w:rsidRPr="00DA59D4" w:rsidRDefault="00F851CC" w:rsidP="007A6126">
            <w:pPr>
              <w:pStyle w:val="Brezrazmikov"/>
            </w:pPr>
            <w:r w:rsidRPr="00DA59D4">
              <w:t>-20.470</w:t>
            </w:r>
          </w:p>
        </w:tc>
        <w:tc>
          <w:tcPr>
            <w:tcW w:w="654" w:type="pct"/>
            <w:tcBorders>
              <w:top w:val="nil"/>
              <w:left w:val="nil"/>
              <w:right w:val="nil"/>
            </w:tcBorders>
            <w:shd w:val="clear" w:color="auto" w:fill="auto"/>
            <w:noWrap/>
            <w:vAlign w:val="bottom"/>
            <w:hideMark/>
          </w:tcPr>
          <w:p w14:paraId="79EC0A54" w14:textId="77777777" w:rsidR="00F851CC" w:rsidRPr="00DA59D4" w:rsidRDefault="00F851CC" w:rsidP="007A6126">
            <w:pPr>
              <w:pStyle w:val="Brezrazmikov"/>
            </w:pPr>
            <w:r w:rsidRPr="00DA59D4">
              <w:t>-27.459</w:t>
            </w:r>
          </w:p>
        </w:tc>
      </w:tr>
      <w:tr w:rsidR="00F851CC" w:rsidRPr="00DA59D4" w14:paraId="04D4D3A6" w14:textId="77777777" w:rsidTr="007A6126">
        <w:trPr>
          <w:trHeight w:val="312"/>
        </w:trPr>
        <w:tc>
          <w:tcPr>
            <w:tcW w:w="1733" w:type="pct"/>
            <w:tcBorders>
              <w:top w:val="nil"/>
              <w:left w:val="nil"/>
              <w:right w:val="nil"/>
            </w:tcBorders>
            <w:shd w:val="clear" w:color="auto" w:fill="auto"/>
            <w:noWrap/>
            <w:vAlign w:val="bottom"/>
            <w:hideMark/>
          </w:tcPr>
          <w:p w14:paraId="3450D273" w14:textId="77777777" w:rsidR="00F851CC" w:rsidRPr="00DA59D4" w:rsidRDefault="00F851CC" w:rsidP="007A6126">
            <w:pPr>
              <w:pStyle w:val="Brezrazmikov"/>
              <w:jc w:val="left"/>
            </w:pPr>
            <w:r w:rsidRPr="00DA59D4">
              <w:t xml:space="preserve">Poslovni izid iz poslovanja    </w:t>
            </w:r>
          </w:p>
        </w:tc>
        <w:tc>
          <w:tcPr>
            <w:tcW w:w="653" w:type="pct"/>
            <w:tcBorders>
              <w:top w:val="nil"/>
              <w:left w:val="nil"/>
              <w:right w:val="nil"/>
            </w:tcBorders>
            <w:shd w:val="clear" w:color="auto" w:fill="auto"/>
            <w:noWrap/>
            <w:vAlign w:val="bottom"/>
            <w:hideMark/>
          </w:tcPr>
          <w:p w14:paraId="1BA65A86" w14:textId="77777777" w:rsidR="00F851CC" w:rsidRPr="00DA59D4" w:rsidRDefault="00F851CC" w:rsidP="007A6126">
            <w:pPr>
              <w:pStyle w:val="Brezrazmikov"/>
            </w:pPr>
            <w:r w:rsidRPr="00DA59D4">
              <w:t>36.330</w:t>
            </w:r>
          </w:p>
        </w:tc>
        <w:tc>
          <w:tcPr>
            <w:tcW w:w="653" w:type="pct"/>
            <w:tcBorders>
              <w:top w:val="nil"/>
              <w:left w:val="nil"/>
              <w:right w:val="nil"/>
            </w:tcBorders>
            <w:shd w:val="clear" w:color="auto" w:fill="auto"/>
            <w:noWrap/>
            <w:vAlign w:val="bottom"/>
            <w:hideMark/>
          </w:tcPr>
          <w:p w14:paraId="57EB8ADD" w14:textId="77777777" w:rsidR="00F851CC" w:rsidRPr="00DA59D4" w:rsidRDefault="00F851CC" w:rsidP="007A6126">
            <w:pPr>
              <w:pStyle w:val="Brezrazmikov"/>
            </w:pPr>
            <w:r w:rsidRPr="00DA59D4">
              <w:t>42.535</w:t>
            </w:r>
          </w:p>
        </w:tc>
        <w:tc>
          <w:tcPr>
            <w:tcW w:w="653" w:type="pct"/>
            <w:tcBorders>
              <w:top w:val="nil"/>
              <w:left w:val="nil"/>
              <w:right w:val="nil"/>
            </w:tcBorders>
            <w:shd w:val="clear" w:color="auto" w:fill="auto"/>
            <w:noWrap/>
            <w:vAlign w:val="bottom"/>
            <w:hideMark/>
          </w:tcPr>
          <w:p w14:paraId="023B255E" w14:textId="77777777" w:rsidR="00F851CC" w:rsidRPr="00DA59D4" w:rsidRDefault="00F851CC" w:rsidP="007A6126">
            <w:pPr>
              <w:pStyle w:val="Brezrazmikov"/>
            </w:pPr>
            <w:r w:rsidRPr="00DA59D4">
              <w:t>34.444</w:t>
            </w:r>
          </w:p>
        </w:tc>
        <w:tc>
          <w:tcPr>
            <w:tcW w:w="653" w:type="pct"/>
            <w:tcBorders>
              <w:top w:val="nil"/>
              <w:left w:val="nil"/>
              <w:right w:val="nil"/>
            </w:tcBorders>
            <w:shd w:val="clear" w:color="auto" w:fill="auto"/>
            <w:noWrap/>
            <w:vAlign w:val="bottom"/>
            <w:hideMark/>
          </w:tcPr>
          <w:p w14:paraId="32153BE6" w14:textId="77777777" w:rsidR="00F851CC" w:rsidRPr="00DA59D4" w:rsidRDefault="00F851CC" w:rsidP="007A6126">
            <w:pPr>
              <w:pStyle w:val="Brezrazmikov"/>
            </w:pPr>
            <w:r w:rsidRPr="00DA59D4">
              <w:t>40.191</w:t>
            </w:r>
          </w:p>
        </w:tc>
        <w:tc>
          <w:tcPr>
            <w:tcW w:w="654" w:type="pct"/>
            <w:tcBorders>
              <w:top w:val="nil"/>
              <w:left w:val="nil"/>
              <w:right w:val="nil"/>
            </w:tcBorders>
            <w:shd w:val="clear" w:color="auto" w:fill="auto"/>
            <w:noWrap/>
            <w:vAlign w:val="bottom"/>
            <w:hideMark/>
          </w:tcPr>
          <w:p w14:paraId="73A7BB99" w14:textId="77777777" w:rsidR="00F851CC" w:rsidRPr="00DA59D4" w:rsidRDefault="00F851CC" w:rsidP="007A6126">
            <w:pPr>
              <w:pStyle w:val="Brezrazmikov"/>
            </w:pPr>
            <w:r w:rsidRPr="00DA59D4">
              <w:t>21.695</w:t>
            </w:r>
          </w:p>
        </w:tc>
      </w:tr>
      <w:tr w:rsidR="00F851CC" w:rsidRPr="00DA59D4" w14:paraId="17317C37" w14:textId="77777777" w:rsidTr="007A6126">
        <w:trPr>
          <w:trHeight w:val="312"/>
        </w:trPr>
        <w:tc>
          <w:tcPr>
            <w:tcW w:w="1733" w:type="pct"/>
            <w:tcBorders>
              <w:left w:val="nil"/>
              <w:right w:val="nil"/>
            </w:tcBorders>
            <w:shd w:val="clear" w:color="auto" w:fill="auto"/>
            <w:noWrap/>
            <w:vAlign w:val="bottom"/>
            <w:hideMark/>
          </w:tcPr>
          <w:p w14:paraId="73C82C8B" w14:textId="77777777" w:rsidR="00F851CC" w:rsidRPr="00DA59D4" w:rsidRDefault="00F851CC" w:rsidP="007A6126">
            <w:pPr>
              <w:pStyle w:val="Brezrazmikov"/>
              <w:jc w:val="left"/>
            </w:pPr>
            <w:r w:rsidRPr="00DA59D4">
              <w:t xml:space="preserve">Finančni prihodki      </w:t>
            </w:r>
          </w:p>
        </w:tc>
        <w:tc>
          <w:tcPr>
            <w:tcW w:w="653" w:type="pct"/>
            <w:tcBorders>
              <w:left w:val="nil"/>
              <w:right w:val="nil"/>
            </w:tcBorders>
            <w:shd w:val="clear" w:color="auto" w:fill="auto"/>
            <w:noWrap/>
            <w:vAlign w:val="bottom"/>
            <w:hideMark/>
          </w:tcPr>
          <w:p w14:paraId="6161B4E6" w14:textId="77777777" w:rsidR="00F851CC" w:rsidRPr="00DA59D4" w:rsidRDefault="00F851CC" w:rsidP="007A6126">
            <w:pPr>
              <w:pStyle w:val="Brezrazmikov"/>
            </w:pPr>
            <w:r w:rsidRPr="00DA59D4">
              <w:t>7.547</w:t>
            </w:r>
          </w:p>
        </w:tc>
        <w:tc>
          <w:tcPr>
            <w:tcW w:w="653" w:type="pct"/>
            <w:tcBorders>
              <w:left w:val="nil"/>
              <w:right w:val="nil"/>
            </w:tcBorders>
            <w:shd w:val="clear" w:color="auto" w:fill="auto"/>
            <w:noWrap/>
            <w:vAlign w:val="bottom"/>
            <w:hideMark/>
          </w:tcPr>
          <w:p w14:paraId="7C65C4AD" w14:textId="77777777" w:rsidR="00F851CC" w:rsidRPr="00DA59D4" w:rsidRDefault="00F851CC" w:rsidP="007A6126">
            <w:pPr>
              <w:pStyle w:val="Brezrazmikov"/>
            </w:pPr>
            <w:r w:rsidRPr="00DA59D4">
              <w:t>8.685</w:t>
            </w:r>
          </w:p>
        </w:tc>
        <w:tc>
          <w:tcPr>
            <w:tcW w:w="653" w:type="pct"/>
            <w:tcBorders>
              <w:left w:val="nil"/>
              <w:right w:val="nil"/>
            </w:tcBorders>
            <w:shd w:val="clear" w:color="auto" w:fill="auto"/>
            <w:noWrap/>
            <w:vAlign w:val="bottom"/>
            <w:hideMark/>
          </w:tcPr>
          <w:p w14:paraId="67371AFB" w14:textId="77777777" w:rsidR="00F851CC" w:rsidRPr="00DA59D4" w:rsidRDefault="00F851CC" w:rsidP="007A6126">
            <w:pPr>
              <w:pStyle w:val="Brezrazmikov"/>
            </w:pPr>
            <w:r w:rsidRPr="00DA59D4">
              <w:t>7.396</w:t>
            </w:r>
          </w:p>
        </w:tc>
        <w:tc>
          <w:tcPr>
            <w:tcW w:w="653" w:type="pct"/>
            <w:tcBorders>
              <w:left w:val="nil"/>
              <w:right w:val="nil"/>
            </w:tcBorders>
            <w:shd w:val="clear" w:color="auto" w:fill="auto"/>
            <w:noWrap/>
            <w:vAlign w:val="bottom"/>
            <w:hideMark/>
          </w:tcPr>
          <w:p w14:paraId="4812EC05" w14:textId="77777777" w:rsidR="00F851CC" w:rsidRPr="00DA59D4" w:rsidRDefault="00F851CC" w:rsidP="007A6126">
            <w:pPr>
              <w:pStyle w:val="Brezrazmikov"/>
            </w:pPr>
            <w:r w:rsidRPr="00DA59D4">
              <w:t>6.157</w:t>
            </w:r>
          </w:p>
        </w:tc>
        <w:tc>
          <w:tcPr>
            <w:tcW w:w="654" w:type="pct"/>
            <w:tcBorders>
              <w:left w:val="nil"/>
              <w:right w:val="nil"/>
            </w:tcBorders>
            <w:shd w:val="clear" w:color="auto" w:fill="auto"/>
            <w:noWrap/>
            <w:vAlign w:val="bottom"/>
            <w:hideMark/>
          </w:tcPr>
          <w:p w14:paraId="18F557AE" w14:textId="77777777" w:rsidR="00F851CC" w:rsidRPr="00DA59D4" w:rsidRDefault="00F851CC" w:rsidP="007A6126">
            <w:pPr>
              <w:pStyle w:val="Brezrazmikov"/>
            </w:pPr>
            <w:r w:rsidRPr="00DA59D4">
              <w:t>4.139</w:t>
            </w:r>
          </w:p>
        </w:tc>
      </w:tr>
      <w:tr w:rsidR="00F851CC" w:rsidRPr="00DA59D4" w14:paraId="51CF9F9F" w14:textId="77777777" w:rsidTr="007A6126">
        <w:trPr>
          <w:trHeight w:val="324"/>
        </w:trPr>
        <w:tc>
          <w:tcPr>
            <w:tcW w:w="1733" w:type="pct"/>
            <w:tcBorders>
              <w:left w:val="nil"/>
              <w:bottom w:val="single" w:sz="4" w:space="0" w:color="auto"/>
              <w:right w:val="nil"/>
            </w:tcBorders>
            <w:shd w:val="clear" w:color="auto" w:fill="auto"/>
            <w:noWrap/>
            <w:vAlign w:val="bottom"/>
            <w:hideMark/>
          </w:tcPr>
          <w:p w14:paraId="607700D4" w14:textId="77777777" w:rsidR="00F851CC" w:rsidRPr="00DA59D4" w:rsidRDefault="00F851CC" w:rsidP="007A6126">
            <w:pPr>
              <w:pStyle w:val="Brezrazmikov"/>
              <w:jc w:val="left"/>
            </w:pPr>
            <w:r w:rsidRPr="00DA59D4">
              <w:t xml:space="preserve">Finančni odhodki      </w:t>
            </w:r>
          </w:p>
        </w:tc>
        <w:tc>
          <w:tcPr>
            <w:tcW w:w="653" w:type="pct"/>
            <w:tcBorders>
              <w:left w:val="nil"/>
              <w:bottom w:val="single" w:sz="4" w:space="0" w:color="auto"/>
              <w:right w:val="nil"/>
            </w:tcBorders>
            <w:shd w:val="clear" w:color="auto" w:fill="auto"/>
            <w:noWrap/>
            <w:vAlign w:val="bottom"/>
            <w:hideMark/>
          </w:tcPr>
          <w:p w14:paraId="50679D5B" w14:textId="77777777" w:rsidR="00F851CC" w:rsidRPr="00DA59D4" w:rsidRDefault="00F851CC" w:rsidP="007A6126">
            <w:pPr>
              <w:pStyle w:val="Brezrazmikov"/>
            </w:pPr>
            <w:r w:rsidRPr="00DA59D4">
              <w:t>-61.929</w:t>
            </w:r>
          </w:p>
        </w:tc>
        <w:tc>
          <w:tcPr>
            <w:tcW w:w="653" w:type="pct"/>
            <w:tcBorders>
              <w:left w:val="nil"/>
              <w:bottom w:val="single" w:sz="4" w:space="0" w:color="auto"/>
              <w:right w:val="nil"/>
            </w:tcBorders>
            <w:shd w:val="clear" w:color="auto" w:fill="auto"/>
            <w:noWrap/>
            <w:vAlign w:val="bottom"/>
            <w:hideMark/>
          </w:tcPr>
          <w:p w14:paraId="320C8BD1" w14:textId="77777777" w:rsidR="00F851CC" w:rsidRPr="00DA59D4" w:rsidRDefault="00F851CC" w:rsidP="007A6126">
            <w:pPr>
              <w:pStyle w:val="Brezrazmikov"/>
            </w:pPr>
            <w:r w:rsidRPr="00DA59D4">
              <w:t>-47.422</w:t>
            </w:r>
          </w:p>
        </w:tc>
        <w:tc>
          <w:tcPr>
            <w:tcW w:w="653" w:type="pct"/>
            <w:tcBorders>
              <w:left w:val="nil"/>
              <w:bottom w:val="single" w:sz="4" w:space="0" w:color="auto"/>
              <w:right w:val="nil"/>
            </w:tcBorders>
            <w:shd w:val="clear" w:color="auto" w:fill="auto"/>
            <w:noWrap/>
            <w:vAlign w:val="bottom"/>
            <w:hideMark/>
          </w:tcPr>
          <w:p w14:paraId="265CB003" w14:textId="77777777" w:rsidR="00F851CC" w:rsidRPr="00DA59D4" w:rsidRDefault="00F851CC" w:rsidP="007A6126">
            <w:pPr>
              <w:pStyle w:val="Brezrazmikov"/>
            </w:pPr>
            <w:r w:rsidRPr="00DA59D4">
              <w:t>-46.188</w:t>
            </w:r>
          </w:p>
        </w:tc>
        <w:tc>
          <w:tcPr>
            <w:tcW w:w="653" w:type="pct"/>
            <w:tcBorders>
              <w:left w:val="nil"/>
              <w:bottom w:val="single" w:sz="4" w:space="0" w:color="auto"/>
              <w:right w:val="nil"/>
            </w:tcBorders>
            <w:shd w:val="clear" w:color="auto" w:fill="auto"/>
            <w:noWrap/>
            <w:vAlign w:val="bottom"/>
            <w:hideMark/>
          </w:tcPr>
          <w:p w14:paraId="4CD929D2" w14:textId="77777777" w:rsidR="00F851CC" w:rsidRPr="00DA59D4" w:rsidRDefault="00F851CC" w:rsidP="007A6126">
            <w:pPr>
              <w:pStyle w:val="Brezrazmikov"/>
            </w:pPr>
            <w:r w:rsidRPr="00DA59D4">
              <w:t>-33.192</w:t>
            </w:r>
          </w:p>
        </w:tc>
        <w:tc>
          <w:tcPr>
            <w:tcW w:w="654" w:type="pct"/>
            <w:tcBorders>
              <w:left w:val="nil"/>
              <w:bottom w:val="single" w:sz="4" w:space="0" w:color="auto"/>
              <w:right w:val="nil"/>
            </w:tcBorders>
            <w:shd w:val="clear" w:color="auto" w:fill="auto"/>
            <w:noWrap/>
            <w:vAlign w:val="bottom"/>
            <w:hideMark/>
          </w:tcPr>
          <w:p w14:paraId="4226491C" w14:textId="77777777" w:rsidR="00F851CC" w:rsidRPr="00DA59D4" w:rsidRDefault="00F851CC" w:rsidP="007A6126">
            <w:pPr>
              <w:pStyle w:val="Brezrazmikov"/>
            </w:pPr>
            <w:r w:rsidRPr="00DA59D4">
              <w:t>-21.499</w:t>
            </w:r>
          </w:p>
        </w:tc>
      </w:tr>
      <w:tr w:rsidR="00F851CC" w:rsidRPr="00521799" w14:paraId="4727B7A9" w14:textId="77777777" w:rsidTr="007A6126">
        <w:trPr>
          <w:trHeight w:val="324"/>
        </w:trPr>
        <w:tc>
          <w:tcPr>
            <w:tcW w:w="1733" w:type="pct"/>
            <w:tcBorders>
              <w:top w:val="single" w:sz="4" w:space="0" w:color="auto"/>
              <w:left w:val="nil"/>
              <w:bottom w:val="single" w:sz="4" w:space="0" w:color="auto"/>
              <w:right w:val="nil"/>
            </w:tcBorders>
            <w:shd w:val="clear" w:color="auto" w:fill="auto"/>
            <w:noWrap/>
            <w:vAlign w:val="bottom"/>
            <w:hideMark/>
          </w:tcPr>
          <w:p w14:paraId="252B788C" w14:textId="77777777" w:rsidR="00F851CC" w:rsidRPr="00521799" w:rsidRDefault="00F851CC" w:rsidP="007A6126">
            <w:pPr>
              <w:pStyle w:val="Brezrazmikov"/>
              <w:jc w:val="left"/>
              <w:rPr>
                <w:b/>
                <w:bCs/>
              </w:rPr>
            </w:pPr>
            <w:r w:rsidRPr="00521799">
              <w:rPr>
                <w:b/>
                <w:bCs/>
              </w:rPr>
              <w:t xml:space="preserve">Neto finančni odhodki  </w:t>
            </w:r>
          </w:p>
        </w:tc>
        <w:tc>
          <w:tcPr>
            <w:tcW w:w="653" w:type="pct"/>
            <w:tcBorders>
              <w:top w:val="single" w:sz="4" w:space="0" w:color="auto"/>
              <w:left w:val="nil"/>
              <w:bottom w:val="single" w:sz="4" w:space="0" w:color="auto"/>
              <w:right w:val="nil"/>
            </w:tcBorders>
            <w:shd w:val="clear" w:color="auto" w:fill="auto"/>
            <w:noWrap/>
            <w:vAlign w:val="bottom"/>
            <w:hideMark/>
          </w:tcPr>
          <w:p w14:paraId="0FBC47E9" w14:textId="77777777" w:rsidR="00F851CC" w:rsidRPr="00521799" w:rsidRDefault="00F851CC" w:rsidP="007A6126">
            <w:pPr>
              <w:pStyle w:val="Brezrazmikov"/>
              <w:rPr>
                <w:b/>
                <w:bCs/>
              </w:rPr>
            </w:pPr>
            <w:r w:rsidRPr="00521799">
              <w:rPr>
                <w:b/>
                <w:bCs/>
              </w:rPr>
              <w:t>-54.382</w:t>
            </w:r>
          </w:p>
        </w:tc>
        <w:tc>
          <w:tcPr>
            <w:tcW w:w="653" w:type="pct"/>
            <w:tcBorders>
              <w:top w:val="single" w:sz="4" w:space="0" w:color="auto"/>
              <w:left w:val="nil"/>
              <w:bottom w:val="single" w:sz="4" w:space="0" w:color="auto"/>
              <w:right w:val="nil"/>
            </w:tcBorders>
            <w:shd w:val="clear" w:color="auto" w:fill="auto"/>
            <w:noWrap/>
            <w:vAlign w:val="bottom"/>
            <w:hideMark/>
          </w:tcPr>
          <w:p w14:paraId="451F8033" w14:textId="77777777" w:rsidR="00F851CC" w:rsidRPr="00521799" w:rsidRDefault="00F851CC" w:rsidP="007A6126">
            <w:pPr>
              <w:pStyle w:val="Brezrazmikov"/>
              <w:rPr>
                <w:b/>
                <w:bCs/>
              </w:rPr>
            </w:pPr>
            <w:r w:rsidRPr="00521799">
              <w:rPr>
                <w:b/>
                <w:bCs/>
              </w:rPr>
              <w:t>-38.737</w:t>
            </w:r>
          </w:p>
        </w:tc>
        <w:tc>
          <w:tcPr>
            <w:tcW w:w="653" w:type="pct"/>
            <w:tcBorders>
              <w:top w:val="single" w:sz="4" w:space="0" w:color="auto"/>
              <w:left w:val="nil"/>
              <w:bottom w:val="single" w:sz="4" w:space="0" w:color="auto"/>
              <w:right w:val="nil"/>
            </w:tcBorders>
            <w:shd w:val="clear" w:color="auto" w:fill="auto"/>
            <w:noWrap/>
            <w:vAlign w:val="bottom"/>
            <w:hideMark/>
          </w:tcPr>
          <w:p w14:paraId="6485F419" w14:textId="77777777" w:rsidR="00F851CC" w:rsidRPr="00521799" w:rsidRDefault="00F851CC" w:rsidP="007A6126">
            <w:pPr>
              <w:pStyle w:val="Brezrazmikov"/>
              <w:rPr>
                <w:b/>
                <w:bCs/>
              </w:rPr>
            </w:pPr>
            <w:r w:rsidRPr="00521799">
              <w:rPr>
                <w:b/>
                <w:bCs/>
              </w:rPr>
              <w:t>-38.792</w:t>
            </w:r>
          </w:p>
        </w:tc>
        <w:tc>
          <w:tcPr>
            <w:tcW w:w="653" w:type="pct"/>
            <w:tcBorders>
              <w:top w:val="single" w:sz="4" w:space="0" w:color="auto"/>
              <w:left w:val="nil"/>
              <w:bottom w:val="single" w:sz="4" w:space="0" w:color="auto"/>
              <w:right w:val="nil"/>
            </w:tcBorders>
            <w:shd w:val="clear" w:color="auto" w:fill="auto"/>
            <w:noWrap/>
            <w:vAlign w:val="bottom"/>
            <w:hideMark/>
          </w:tcPr>
          <w:p w14:paraId="01F25F8B" w14:textId="77777777" w:rsidR="00F851CC" w:rsidRPr="00521799" w:rsidRDefault="00F851CC" w:rsidP="007A6126">
            <w:pPr>
              <w:pStyle w:val="Brezrazmikov"/>
              <w:rPr>
                <w:b/>
                <w:bCs/>
              </w:rPr>
            </w:pPr>
            <w:r w:rsidRPr="00521799">
              <w:rPr>
                <w:b/>
                <w:bCs/>
              </w:rPr>
              <w:t>-27.035</w:t>
            </w:r>
          </w:p>
        </w:tc>
        <w:tc>
          <w:tcPr>
            <w:tcW w:w="654" w:type="pct"/>
            <w:tcBorders>
              <w:top w:val="single" w:sz="4" w:space="0" w:color="auto"/>
              <w:left w:val="nil"/>
              <w:bottom w:val="single" w:sz="4" w:space="0" w:color="auto"/>
              <w:right w:val="nil"/>
            </w:tcBorders>
            <w:shd w:val="clear" w:color="auto" w:fill="auto"/>
            <w:noWrap/>
            <w:vAlign w:val="bottom"/>
            <w:hideMark/>
          </w:tcPr>
          <w:p w14:paraId="4A47FFA8" w14:textId="77777777" w:rsidR="00F851CC" w:rsidRPr="00521799" w:rsidRDefault="00F851CC" w:rsidP="007A6126">
            <w:pPr>
              <w:pStyle w:val="Brezrazmikov"/>
              <w:rPr>
                <w:b/>
                <w:bCs/>
              </w:rPr>
            </w:pPr>
            <w:r w:rsidRPr="00521799">
              <w:rPr>
                <w:b/>
                <w:bCs/>
              </w:rPr>
              <w:t>-17.360</w:t>
            </w:r>
          </w:p>
        </w:tc>
      </w:tr>
      <w:tr w:rsidR="00F851CC" w:rsidRPr="00DA59D4" w14:paraId="214686EA" w14:textId="77777777" w:rsidTr="007A6126">
        <w:trPr>
          <w:trHeight w:val="312"/>
        </w:trPr>
        <w:tc>
          <w:tcPr>
            <w:tcW w:w="1733" w:type="pct"/>
            <w:tcBorders>
              <w:top w:val="single" w:sz="4" w:space="0" w:color="auto"/>
              <w:left w:val="nil"/>
              <w:bottom w:val="nil"/>
              <w:right w:val="nil"/>
            </w:tcBorders>
            <w:shd w:val="clear" w:color="auto" w:fill="auto"/>
            <w:noWrap/>
            <w:vAlign w:val="bottom"/>
            <w:hideMark/>
          </w:tcPr>
          <w:p w14:paraId="59BDA0E4" w14:textId="77777777" w:rsidR="00F851CC" w:rsidRPr="00DA59D4" w:rsidRDefault="00F851CC" w:rsidP="007A6126">
            <w:pPr>
              <w:pStyle w:val="Brezrazmikov"/>
              <w:jc w:val="left"/>
            </w:pPr>
            <w:r w:rsidRPr="00DA59D4">
              <w:t xml:space="preserve">Delež v dobičkih (izgubah) pridruženih družb  </w:t>
            </w:r>
          </w:p>
        </w:tc>
        <w:tc>
          <w:tcPr>
            <w:tcW w:w="653" w:type="pct"/>
            <w:tcBorders>
              <w:top w:val="single" w:sz="4" w:space="0" w:color="auto"/>
              <w:left w:val="nil"/>
              <w:bottom w:val="nil"/>
              <w:right w:val="nil"/>
            </w:tcBorders>
            <w:shd w:val="clear" w:color="auto" w:fill="auto"/>
            <w:noWrap/>
            <w:vAlign w:val="bottom"/>
            <w:hideMark/>
          </w:tcPr>
          <w:p w14:paraId="5AD22424" w14:textId="77777777" w:rsidR="00F851CC" w:rsidRPr="00DA59D4" w:rsidRDefault="00F851CC" w:rsidP="007A6126">
            <w:pPr>
              <w:pStyle w:val="Brezrazmikov"/>
            </w:pPr>
            <w:r w:rsidRPr="00DA59D4">
              <w:t>-592</w:t>
            </w:r>
          </w:p>
        </w:tc>
        <w:tc>
          <w:tcPr>
            <w:tcW w:w="653" w:type="pct"/>
            <w:tcBorders>
              <w:top w:val="single" w:sz="4" w:space="0" w:color="auto"/>
              <w:left w:val="nil"/>
              <w:bottom w:val="nil"/>
              <w:right w:val="nil"/>
            </w:tcBorders>
            <w:shd w:val="clear" w:color="auto" w:fill="auto"/>
            <w:noWrap/>
            <w:vAlign w:val="bottom"/>
            <w:hideMark/>
          </w:tcPr>
          <w:p w14:paraId="4AC166B3" w14:textId="77777777" w:rsidR="00F851CC" w:rsidRPr="00DA59D4" w:rsidRDefault="00F851CC" w:rsidP="007A6126">
            <w:pPr>
              <w:pStyle w:val="Brezrazmikov"/>
            </w:pPr>
            <w:r w:rsidRPr="00DA59D4">
              <w:t>65</w:t>
            </w:r>
          </w:p>
        </w:tc>
        <w:tc>
          <w:tcPr>
            <w:tcW w:w="653" w:type="pct"/>
            <w:tcBorders>
              <w:top w:val="single" w:sz="4" w:space="0" w:color="auto"/>
              <w:left w:val="nil"/>
              <w:bottom w:val="nil"/>
              <w:right w:val="nil"/>
            </w:tcBorders>
            <w:shd w:val="clear" w:color="auto" w:fill="auto"/>
            <w:noWrap/>
            <w:vAlign w:val="bottom"/>
            <w:hideMark/>
          </w:tcPr>
          <w:p w14:paraId="788DB0E6" w14:textId="77777777" w:rsidR="00F851CC" w:rsidRPr="00DA59D4" w:rsidRDefault="00F851CC" w:rsidP="007A6126">
            <w:pPr>
              <w:pStyle w:val="Brezrazmikov"/>
            </w:pPr>
            <w:r w:rsidRPr="00DA59D4">
              <w:t>360</w:t>
            </w:r>
          </w:p>
        </w:tc>
        <w:tc>
          <w:tcPr>
            <w:tcW w:w="653" w:type="pct"/>
            <w:tcBorders>
              <w:top w:val="single" w:sz="4" w:space="0" w:color="auto"/>
              <w:left w:val="nil"/>
              <w:bottom w:val="nil"/>
              <w:right w:val="nil"/>
            </w:tcBorders>
            <w:shd w:val="clear" w:color="auto" w:fill="auto"/>
            <w:noWrap/>
            <w:vAlign w:val="bottom"/>
            <w:hideMark/>
          </w:tcPr>
          <w:p w14:paraId="6EC85985" w14:textId="77777777" w:rsidR="00F851CC" w:rsidRPr="00DA59D4" w:rsidRDefault="00F851CC" w:rsidP="007A6126">
            <w:pPr>
              <w:pStyle w:val="Brezrazmikov"/>
            </w:pPr>
            <w:r w:rsidRPr="00DA59D4">
              <w:t>84</w:t>
            </w:r>
          </w:p>
        </w:tc>
        <w:tc>
          <w:tcPr>
            <w:tcW w:w="654" w:type="pct"/>
            <w:tcBorders>
              <w:top w:val="single" w:sz="4" w:space="0" w:color="auto"/>
              <w:left w:val="nil"/>
              <w:bottom w:val="nil"/>
              <w:right w:val="nil"/>
            </w:tcBorders>
            <w:shd w:val="clear" w:color="auto" w:fill="auto"/>
            <w:noWrap/>
            <w:vAlign w:val="bottom"/>
            <w:hideMark/>
          </w:tcPr>
          <w:p w14:paraId="171F27CC" w14:textId="77777777" w:rsidR="00F851CC" w:rsidRPr="00DA59D4" w:rsidRDefault="00F851CC" w:rsidP="007A6126">
            <w:pPr>
              <w:pStyle w:val="Brezrazmikov"/>
            </w:pPr>
            <w:r w:rsidRPr="00DA59D4">
              <w:t>152</w:t>
            </w:r>
          </w:p>
        </w:tc>
      </w:tr>
      <w:tr w:rsidR="00F851CC" w:rsidRPr="00DA59D4" w14:paraId="02B4FECD" w14:textId="77777777" w:rsidTr="007A6126">
        <w:trPr>
          <w:trHeight w:val="312"/>
        </w:trPr>
        <w:tc>
          <w:tcPr>
            <w:tcW w:w="1733" w:type="pct"/>
            <w:tcBorders>
              <w:top w:val="nil"/>
              <w:left w:val="nil"/>
              <w:right w:val="nil"/>
            </w:tcBorders>
            <w:shd w:val="clear" w:color="auto" w:fill="auto"/>
            <w:noWrap/>
            <w:vAlign w:val="bottom"/>
            <w:hideMark/>
          </w:tcPr>
          <w:p w14:paraId="29B295A0" w14:textId="77777777" w:rsidR="00F851CC" w:rsidRPr="00DA59D4" w:rsidRDefault="00F851CC" w:rsidP="007A6126">
            <w:pPr>
              <w:pStyle w:val="Brezrazmikov"/>
              <w:jc w:val="left"/>
            </w:pPr>
            <w:r w:rsidRPr="00DA59D4">
              <w:t xml:space="preserve">Poslovni izid pred davki    </w:t>
            </w:r>
          </w:p>
        </w:tc>
        <w:tc>
          <w:tcPr>
            <w:tcW w:w="653" w:type="pct"/>
            <w:tcBorders>
              <w:top w:val="nil"/>
              <w:left w:val="nil"/>
              <w:right w:val="nil"/>
            </w:tcBorders>
            <w:shd w:val="clear" w:color="auto" w:fill="auto"/>
            <w:noWrap/>
            <w:vAlign w:val="bottom"/>
            <w:hideMark/>
          </w:tcPr>
          <w:p w14:paraId="4322F411" w14:textId="77777777" w:rsidR="00F851CC" w:rsidRPr="00DA59D4" w:rsidRDefault="00F851CC" w:rsidP="007A6126">
            <w:pPr>
              <w:pStyle w:val="Brezrazmikov"/>
            </w:pPr>
            <w:r w:rsidRPr="00DA59D4">
              <w:t>-18.644</w:t>
            </w:r>
          </w:p>
        </w:tc>
        <w:tc>
          <w:tcPr>
            <w:tcW w:w="653" w:type="pct"/>
            <w:tcBorders>
              <w:top w:val="nil"/>
              <w:left w:val="nil"/>
              <w:right w:val="nil"/>
            </w:tcBorders>
            <w:shd w:val="clear" w:color="auto" w:fill="auto"/>
            <w:noWrap/>
            <w:vAlign w:val="bottom"/>
            <w:hideMark/>
          </w:tcPr>
          <w:p w14:paraId="2EF9FAF5" w14:textId="77777777" w:rsidR="00F851CC" w:rsidRPr="00DA59D4" w:rsidRDefault="00F851CC" w:rsidP="007A6126">
            <w:pPr>
              <w:pStyle w:val="Brezrazmikov"/>
            </w:pPr>
            <w:r w:rsidRPr="00DA59D4">
              <w:t>3.863</w:t>
            </w:r>
          </w:p>
        </w:tc>
        <w:tc>
          <w:tcPr>
            <w:tcW w:w="653" w:type="pct"/>
            <w:tcBorders>
              <w:top w:val="nil"/>
              <w:left w:val="nil"/>
              <w:right w:val="nil"/>
            </w:tcBorders>
            <w:shd w:val="clear" w:color="auto" w:fill="auto"/>
            <w:noWrap/>
            <w:vAlign w:val="bottom"/>
            <w:hideMark/>
          </w:tcPr>
          <w:p w14:paraId="471D471F" w14:textId="77777777" w:rsidR="00F851CC" w:rsidRPr="00DA59D4" w:rsidRDefault="00F851CC" w:rsidP="007A6126">
            <w:pPr>
              <w:pStyle w:val="Brezrazmikov"/>
            </w:pPr>
            <w:r w:rsidRPr="00DA59D4">
              <w:t>-3.988</w:t>
            </w:r>
          </w:p>
        </w:tc>
        <w:tc>
          <w:tcPr>
            <w:tcW w:w="653" w:type="pct"/>
            <w:tcBorders>
              <w:top w:val="nil"/>
              <w:left w:val="nil"/>
              <w:right w:val="nil"/>
            </w:tcBorders>
            <w:shd w:val="clear" w:color="auto" w:fill="auto"/>
            <w:noWrap/>
            <w:vAlign w:val="bottom"/>
            <w:hideMark/>
          </w:tcPr>
          <w:p w14:paraId="493E39FE" w14:textId="77777777" w:rsidR="00F851CC" w:rsidRPr="00DA59D4" w:rsidRDefault="00F851CC" w:rsidP="007A6126">
            <w:pPr>
              <w:pStyle w:val="Brezrazmikov"/>
            </w:pPr>
            <w:r w:rsidRPr="00DA59D4">
              <w:t>13.240</w:t>
            </w:r>
          </w:p>
        </w:tc>
        <w:tc>
          <w:tcPr>
            <w:tcW w:w="654" w:type="pct"/>
            <w:tcBorders>
              <w:top w:val="nil"/>
              <w:left w:val="nil"/>
              <w:right w:val="nil"/>
            </w:tcBorders>
            <w:shd w:val="clear" w:color="auto" w:fill="auto"/>
            <w:noWrap/>
            <w:vAlign w:val="bottom"/>
            <w:hideMark/>
          </w:tcPr>
          <w:p w14:paraId="734394EB" w14:textId="77777777" w:rsidR="00F851CC" w:rsidRPr="00DA59D4" w:rsidRDefault="00F851CC" w:rsidP="007A6126">
            <w:pPr>
              <w:pStyle w:val="Brezrazmikov"/>
            </w:pPr>
            <w:r w:rsidRPr="00DA59D4">
              <w:t>4.487</w:t>
            </w:r>
          </w:p>
        </w:tc>
      </w:tr>
      <w:tr w:rsidR="00F851CC" w:rsidRPr="00DA59D4" w14:paraId="620435F3" w14:textId="77777777" w:rsidTr="007A6126">
        <w:trPr>
          <w:trHeight w:val="324"/>
        </w:trPr>
        <w:tc>
          <w:tcPr>
            <w:tcW w:w="1733" w:type="pct"/>
            <w:tcBorders>
              <w:top w:val="nil"/>
              <w:left w:val="nil"/>
              <w:bottom w:val="single" w:sz="12" w:space="0" w:color="auto"/>
              <w:right w:val="nil"/>
            </w:tcBorders>
            <w:shd w:val="clear" w:color="auto" w:fill="auto"/>
            <w:noWrap/>
            <w:vAlign w:val="bottom"/>
            <w:hideMark/>
          </w:tcPr>
          <w:p w14:paraId="749FA2A9" w14:textId="77777777" w:rsidR="00F851CC" w:rsidRPr="00DA59D4" w:rsidRDefault="00F851CC" w:rsidP="007A6126">
            <w:pPr>
              <w:pStyle w:val="Brezrazmikov"/>
              <w:jc w:val="left"/>
            </w:pPr>
            <w:r w:rsidRPr="00DA59D4">
              <w:t xml:space="preserve">Davek iz dobička     </w:t>
            </w:r>
          </w:p>
        </w:tc>
        <w:tc>
          <w:tcPr>
            <w:tcW w:w="653" w:type="pct"/>
            <w:tcBorders>
              <w:top w:val="nil"/>
              <w:left w:val="nil"/>
              <w:bottom w:val="single" w:sz="12" w:space="0" w:color="auto"/>
              <w:right w:val="nil"/>
            </w:tcBorders>
            <w:shd w:val="clear" w:color="auto" w:fill="auto"/>
            <w:noWrap/>
            <w:vAlign w:val="bottom"/>
            <w:hideMark/>
          </w:tcPr>
          <w:p w14:paraId="2B302356" w14:textId="77777777" w:rsidR="00F851CC" w:rsidRDefault="00F851CC" w:rsidP="007A6126">
            <w:pPr>
              <w:pStyle w:val="Brezrazmikov"/>
              <w:rPr>
                <w:color w:val="000000"/>
              </w:rPr>
            </w:pPr>
            <w:r>
              <w:rPr>
                <w:color w:val="000000"/>
              </w:rPr>
              <w:t>-6.</w:t>
            </w:r>
            <w:r w:rsidRPr="00521799">
              <w:t>355</w:t>
            </w:r>
          </w:p>
          <w:p w14:paraId="70C8610C" w14:textId="77777777" w:rsidR="00F851CC" w:rsidRPr="00DA59D4" w:rsidRDefault="00F851CC" w:rsidP="007A6126">
            <w:pPr>
              <w:pStyle w:val="Brezrazmikov"/>
            </w:pPr>
          </w:p>
        </w:tc>
        <w:tc>
          <w:tcPr>
            <w:tcW w:w="653" w:type="pct"/>
            <w:tcBorders>
              <w:top w:val="nil"/>
              <w:left w:val="nil"/>
              <w:bottom w:val="single" w:sz="12" w:space="0" w:color="auto"/>
              <w:right w:val="nil"/>
            </w:tcBorders>
            <w:shd w:val="clear" w:color="auto" w:fill="auto"/>
            <w:noWrap/>
            <w:vAlign w:val="bottom"/>
            <w:hideMark/>
          </w:tcPr>
          <w:p w14:paraId="523FFC26" w14:textId="77777777" w:rsidR="00F851CC" w:rsidRPr="00DA59D4" w:rsidRDefault="00F851CC" w:rsidP="007A6126">
            <w:pPr>
              <w:pStyle w:val="Brezrazmikov"/>
            </w:pPr>
            <w:r w:rsidRPr="00DA59D4">
              <w:t>-2.624</w:t>
            </w:r>
          </w:p>
        </w:tc>
        <w:tc>
          <w:tcPr>
            <w:tcW w:w="653" w:type="pct"/>
            <w:tcBorders>
              <w:top w:val="nil"/>
              <w:left w:val="nil"/>
              <w:bottom w:val="single" w:sz="12" w:space="0" w:color="auto"/>
              <w:right w:val="nil"/>
            </w:tcBorders>
            <w:shd w:val="clear" w:color="auto" w:fill="auto"/>
            <w:noWrap/>
            <w:vAlign w:val="bottom"/>
            <w:hideMark/>
          </w:tcPr>
          <w:p w14:paraId="7BB92221" w14:textId="77777777" w:rsidR="00F851CC" w:rsidRPr="00DA59D4" w:rsidRDefault="00F851CC" w:rsidP="007A6126">
            <w:pPr>
              <w:pStyle w:val="Brezrazmikov"/>
            </w:pPr>
            <w:r w:rsidRPr="00DA59D4">
              <w:t>-4.000</w:t>
            </w:r>
          </w:p>
        </w:tc>
        <w:tc>
          <w:tcPr>
            <w:tcW w:w="653" w:type="pct"/>
            <w:tcBorders>
              <w:top w:val="nil"/>
              <w:left w:val="nil"/>
              <w:bottom w:val="single" w:sz="12" w:space="0" w:color="auto"/>
              <w:right w:val="nil"/>
            </w:tcBorders>
            <w:shd w:val="clear" w:color="auto" w:fill="auto"/>
            <w:noWrap/>
            <w:vAlign w:val="bottom"/>
            <w:hideMark/>
          </w:tcPr>
          <w:p w14:paraId="085F5483" w14:textId="77777777" w:rsidR="00F851CC" w:rsidRPr="00DA59D4" w:rsidRDefault="00F851CC" w:rsidP="007A6126">
            <w:pPr>
              <w:pStyle w:val="Brezrazmikov"/>
            </w:pPr>
            <w:r w:rsidRPr="00DA59D4">
              <w:t>-4.810</w:t>
            </w:r>
          </w:p>
        </w:tc>
        <w:tc>
          <w:tcPr>
            <w:tcW w:w="654" w:type="pct"/>
            <w:tcBorders>
              <w:top w:val="nil"/>
              <w:left w:val="nil"/>
              <w:bottom w:val="single" w:sz="12" w:space="0" w:color="auto"/>
              <w:right w:val="nil"/>
            </w:tcBorders>
            <w:shd w:val="clear" w:color="auto" w:fill="auto"/>
            <w:noWrap/>
            <w:vAlign w:val="bottom"/>
            <w:hideMark/>
          </w:tcPr>
          <w:p w14:paraId="4C39D744" w14:textId="77777777" w:rsidR="00F851CC" w:rsidRPr="00DA59D4" w:rsidRDefault="00F851CC" w:rsidP="007A6126">
            <w:pPr>
              <w:pStyle w:val="Brezrazmikov"/>
            </w:pPr>
            <w:r w:rsidRPr="00DA59D4">
              <w:t>-3.146</w:t>
            </w:r>
          </w:p>
        </w:tc>
      </w:tr>
      <w:tr w:rsidR="00F851CC" w:rsidRPr="00521799" w14:paraId="6AC8F4D6" w14:textId="77777777" w:rsidTr="007A6126">
        <w:trPr>
          <w:trHeight w:val="324"/>
        </w:trPr>
        <w:tc>
          <w:tcPr>
            <w:tcW w:w="1733" w:type="pct"/>
            <w:tcBorders>
              <w:top w:val="single" w:sz="12" w:space="0" w:color="auto"/>
              <w:left w:val="nil"/>
              <w:bottom w:val="single" w:sz="12" w:space="0" w:color="auto"/>
              <w:right w:val="nil"/>
            </w:tcBorders>
            <w:shd w:val="clear" w:color="auto" w:fill="auto"/>
            <w:noWrap/>
            <w:vAlign w:val="bottom"/>
            <w:hideMark/>
          </w:tcPr>
          <w:p w14:paraId="56969AD8" w14:textId="77777777" w:rsidR="00F851CC" w:rsidRPr="00521799" w:rsidRDefault="00F851CC" w:rsidP="007A6126">
            <w:pPr>
              <w:pStyle w:val="Brezrazmikov"/>
              <w:jc w:val="left"/>
              <w:rPr>
                <w:b/>
                <w:bCs/>
              </w:rPr>
            </w:pPr>
            <w:r w:rsidRPr="00521799">
              <w:rPr>
                <w:b/>
                <w:bCs/>
              </w:rPr>
              <w:t xml:space="preserve">Poslovni izid poslovnega  leta   </w:t>
            </w:r>
          </w:p>
        </w:tc>
        <w:tc>
          <w:tcPr>
            <w:tcW w:w="653" w:type="pct"/>
            <w:tcBorders>
              <w:top w:val="single" w:sz="12" w:space="0" w:color="auto"/>
              <w:left w:val="nil"/>
              <w:bottom w:val="single" w:sz="12" w:space="0" w:color="auto"/>
              <w:right w:val="nil"/>
            </w:tcBorders>
            <w:shd w:val="clear" w:color="auto" w:fill="auto"/>
            <w:noWrap/>
            <w:vAlign w:val="bottom"/>
            <w:hideMark/>
          </w:tcPr>
          <w:p w14:paraId="6ABF3C10" w14:textId="77777777" w:rsidR="00F851CC" w:rsidRPr="00521799" w:rsidRDefault="00F851CC" w:rsidP="007A6126">
            <w:pPr>
              <w:pStyle w:val="Brezrazmikov"/>
              <w:rPr>
                <w:b/>
                <w:bCs/>
              </w:rPr>
            </w:pPr>
            <w:r w:rsidRPr="00521799">
              <w:rPr>
                <w:b/>
                <w:bCs/>
              </w:rPr>
              <w:t>-24.999</w:t>
            </w:r>
          </w:p>
        </w:tc>
        <w:tc>
          <w:tcPr>
            <w:tcW w:w="653" w:type="pct"/>
            <w:tcBorders>
              <w:top w:val="single" w:sz="12" w:space="0" w:color="auto"/>
              <w:left w:val="nil"/>
              <w:bottom w:val="single" w:sz="12" w:space="0" w:color="auto"/>
              <w:right w:val="nil"/>
            </w:tcBorders>
            <w:shd w:val="clear" w:color="auto" w:fill="auto"/>
            <w:noWrap/>
            <w:vAlign w:val="bottom"/>
            <w:hideMark/>
          </w:tcPr>
          <w:p w14:paraId="45702BB9" w14:textId="77777777" w:rsidR="00F851CC" w:rsidRPr="00521799" w:rsidRDefault="00F851CC" w:rsidP="007A6126">
            <w:pPr>
              <w:pStyle w:val="Brezrazmikov"/>
              <w:rPr>
                <w:b/>
                <w:bCs/>
              </w:rPr>
            </w:pPr>
            <w:r w:rsidRPr="00521799">
              <w:rPr>
                <w:b/>
                <w:bCs/>
              </w:rPr>
              <w:t>1.239</w:t>
            </w:r>
          </w:p>
        </w:tc>
        <w:tc>
          <w:tcPr>
            <w:tcW w:w="653" w:type="pct"/>
            <w:tcBorders>
              <w:top w:val="single" w:sz="12" w:space="0" w:color="auto"/>
              <w:left w:val="nil"/>
              <w:bottom w:val="single" w:sz="12" w:space="0" w:color="auto"/>
              <w:right w:val="nil"/>
            </w:tcBorders>
            <w:shd w:val="clear" w:color="auto" w:fill="auto"/>
            <w:noWrap/>
            <w:vAlign w:val="bottom"/>
            <w:hideMark/>
          </w:tcPr>
          <w:p w14:paraId="7B4A1FFC" w14:textId="77777777" w:rsidR="00F851CC" w:rsidRPr="00521799" w:rsidRDefault="00F851CC" w:rsidP="007A6126">
            <w:pPr>
              <w:pStyle w:val="Brezrazmikov"/>
              <w:rPr>
                <w:b/>
                <w:bCs/>
              </w:rPr>
            </w:pPr>
            <w:r w:rsidRPr="00521799">
              <w:rPr>
                <w:b/>
                <w:bCs/>
              </w:rPr>
              <w:t>-7.988</w:t>
            </w:r>
          </w:p>
        </w:tc>
        <w:tc>
          <w:tcPr>
            <w:tcW w:w="653" w:type="pct"/>
            <w:tcBorders>
              <w:top w:val="single" w:sz="12" w:space="0" w:color="auto"/>
              <w:left w:val="nil"/>
              <w:bottom w:val="single" w:sz="12" w:space="0" w:color="auto"/>
              <w:right w:val="nil"/>
            </w:tcBorders>
            <w:shd w:val="clear" w:color="auto" w:fill="auto"/>
            <w:noWrap/>
            <w:vAlign w:val="bottom"/>
            <w:hideMark/>
          </w:tcPr>
          <w:p w14:paraId="65BA0732" w14:textId="77777777" w:rsidR="00F851CC" w:rsidRPr="00521799" w:rsidRDefault="00F851CC" w:rsidP="007A6126">
            <w:pPr>
              <w:pStyle w:val="Brezrazmikov"/>
              <w:rPr>
                <w:b/>
                <w:bCs/>
              </w:rPr>
            </w:pPr>
            <w:r w:rsidRPr="00521799">
              <w:rPr>
                <w:b/>
                <w:bCs/>
              </w:rPr>
              <w:t>8.430</w:t>
            </w:r>
          </w:p>
        </w:tc>
        <w:tc>
          <w:tcPr>
            <w:tcW w:w="654" w:type="pct"/>
            <w:tcBorders>
              <w:top w:val="single" w:sz="12" w:space="0" w:color="auto"/>
              <w:left w:val="nil"/>
              <w:bottom w:val="single" w:sz="12" w:space="0" w:color="auto"/>
              <w:right w:val="nil"/>
            </w:tcBorders>
            <w:shd w:val="clear" w:color="auto" w:fill="auto"/>
            <w:noWrap/>
            <w:vAlign w:val="bottom"/>
            <w:hideMark/>
          </w:tcPr>
          <w:p w14:paraId="2CB304B9" w14:textId="77777777" w:rsidR="00F851CC" w:rsidRPr="00521799" w:rsidRDefault="00F851CC" w:rsidP="007A6126">
            <w:pPr>
              <w:pStyle w:val="Brezrazmikov"/>
              <w:rPr>
                <w:b/>
                <w:bCs/>
              </w:rPr>
            </w:pPr>
            <w:r w:rsidRPr="00521799">
              <w:rPr>
                <w:b/>
                <w:bCs/>
              </w:rPr>
              <w:t>1.341</w:t>
            </w:r>
          </w:p>
        </w:tc>
      </w:tr>
    </w:tbl>
    <w:p w14:paraId="3A65A875" w14:textId="77777777" w:rsidR="00F851CC" w:rsidRDefault="00F851CC" w:rsidP="00F851CC"/>
    <w:p w14:paraId="68FC6DF0" w14:textId="77777777" w:rsidR="00F851CC" w:rsidRDefault="00F851CC" w:rsidP="00F851CC">
      <w:r>
        <w:br w:type="page"/>
      </w:r>
    </w:p>
    <w:p w14:paraId="37127D6F" w14:textId="6EE8B85A" w:rsidR="00F851CC" w:rsidRDefault="00F851CC" w:rsidP="00F851CC">
      <w:pPr>
        <w:pStyle w:val="Napis"/>
        <w:keepNext/>
      </w:pPr>
      <w:bookmarkStart w:id="102" w:name="_Toc18965043"/>
      <w:r>
        <w:lastRenderedPageBreak/>
        <w:t xml:space="preserve">Priloga </w:t>
      </w:r>
      <w:fldSimple w:instr=" SEQ Priloga \* ARABIC ">
        <w:r w:rsidR="00325440">
          <w:rPr>
            <w:noProof/>
          </w:rPr>
          <w:t>3</w:t>
        </w:r>
      </w:fldSimple>
      <w:r>
        <w:t>: Napoved poslovnega izida za obdobje 2018–2022</w:t>
      </w:r>
      <w:bookmarkEnd w:id="102"/>
    </w:p>
    <w:tbl>
      <w:tblPr>
        <w:tblW w:w="5000" w:type="pct"/>
        <w:tblLayout w:type="fixed"/>
        <w:tblLook w:val="04A0" w:firstRow="1" w:lastRow="0" w:firstColumn="1" w:lastColumn="0" w:noHBand="0" w:noVBand="1"/>
      </w:tblPr>
      <w:tblGrid>
        <w:gridCol w:w="3120"/>
        <w:gridCol w:w="1256"/>
        <w:gridCol w:w="1257"/>
        <w:gridCol w:w="1257"/>
        <w:gridCol w:w="1257"/>
        <w:gridCol w:w="1259"/>
      </w:tblGrid>
      <w:tr w:rsidR="0008500D" w:rsidRPr="00521799" w14:paraId="23D34C58" w14:textId="77777777" w:rsidTr="007A6126">
        <w:trPr>
          <w:trHeight w:val="324"/>
        </w:trPr>
        <w:tc>
          <w:tcPr>
            <w:tcW w:w="1659" w:type="pct"/>
            <w:tcBorders>
              <w:top w:val="nil"/>
              <w:left w:val="nil"/>
              <w:bottom w:val="single" w:sz="12" w:space="0" w:color="auto"/>
              <w:right w:val="nil"/>
            </w:tcBorders>
            <w:shd w:val="clear" w:color="auto" w:fill="auto"/>
            <w:noWrap/>
            <w:vAlign w:val="bottom"/>
            <w:hideMark/>
          </w:tcPr>
          <w:p w14:paraId="5B62DEB8" w14:textId="77777777" w:rsidR="0008500D" w:rsidRPr="00521799" w:rsidRDefault="0008500D" w:rsidP="0008500D">
            <w:pPr>
              <w:pStyle w:val="Brezrazmikov"/>
              <w:jc w:val="left"/>
              <w:rPr>
                <w:b/>
                <w:bCs/>
              </w:rPr>
            </w:pPr>
            <w:r w:rsidRPr="00521799">
              <w:rPr>
                <w:b/>
                <w:bCs/>
              </w:rPr>
              <w:t>v 1000 EUR</w:t>
            </w:r>
          </w:p>
        </w:tc>
        <w:tc>
          <w:tcPr>
            <w:tcW w:w="668" w:type="pct"/>
            <w:tcBorders>
              <w:top w:val="nil"/>
              <w:left w:val="nil"/>
              <w:bottom w:val="single" w:sz="12" w:space="0" w:color="auto"/>
              <w:right w:val="nil"/>
            </w:tcBorders>
            <w:shd w:val="clear" w:color="auto" w:fill="auto"/>
            <w:noWrap/>
            <w:vAlign w:val="bottom"/>
            <w:hideMark/>
          </w:tcPr>
          <w:p w14:paraId="7B07190C" w14:textId="77777777" w:rsidR="0008500D" w:rsidRPr="00521799" w:rsidRDefault="0008500D" w:rsidP="0008500D">
            <w:pPr>
              <w:pStyle w:val="Brezrazmikov"/>
              <w:rPr>
                <w:b/>
                <w:bCs/>
              </w:rPr>
            </w:pPr>
            <w:r w:rsidRPr="00521799">
              <w:rPr>
                <w:b/>
                <w:bCs/>
              </w:rPr>
              <w:t>2018</w:t>
            </w:r>
          </w:p>
        </w:tc>
        <w:tc>
          <w:tcPr>
            <w:tcW w:w="668" w:type="pct"/>
            <w:tcBorders>
              <w:top w:val="nil"/>
              <w:left w:val="nil"/>
              <w:bottom w:val="single" w:sz="12" w:space="0" w:color="auto"/>
              <w:right w:val="nil"/>
            </w:tcBorders>
            <w:shd w:val="clear" w:color="auto" w:fill="auto"/>
            <w:noWrap/>
            <w:vAlign w:val="bottom"/>
            <w:hideMark/>
          </w:tcPr>
          <w:p w14:paraId="5A58EA41" w14:textId="77777777" w:rsidR="0008500D" w:rsidRPr="00521799" w:rsidRDefault="0008500D" w:rsidP="0008500D">
            <w:pPr>
              <w:pStyle w:val="Brezrazmikov"/>
              <w:rPr>
                <w:b/>
                <w:bCs/>
              </w:rPr>
            </w:pPr>
            <w:r w:rsidRPr="00521799">
              <w:rPr>
                <w:b/>
                <w:bCs/>
              </w:rPr>
              <w:t>2019</w:t>
            </w:r>
          </w:p>
        </w:tc>
        <w:tc>
          <w:tcPr>
            <w:tcW w:w="668" w:type="pct"/>
            <w:tcBorders>
              <w:top w:val="nil"/>
              <w:left w:val="nil"/>
              <w:bottom w:val="single" w:sz="12" w:space="0" w:color="auto"/>
              <w:right w:val="nil"/>
            </w:tcBorders>
            <w:shd w:val="clear" w:color="auto" w:fill="auto"/>
            <w:noWrap/>
            <w:vAlign w:val="bottom"/>
            <w:hideMark/>
          </w:tcPr>
          <w:p w14:paraId="201F940F" w14:textId="77777777" w:rsidR="0008500D" w:rsidRPr="00160E85" w:rsidRDefault="0008500D" w:rsidP="0008500D">
            <w:pPr>
              <w:pStyle w:val="Brezrazmikov"/>
              <w:rPr>
                <w:b/>
                <w:bCs/>
              </w:rPr>
            </w:pPr>
            <w:r w:rsidRPr="00160E85">
              <w:rPr>
                <w:b/>
                <w:bCs/>
              </w:rPr>
              <w:t>2020</w:t>
            </w:r>
          </w:p>
        </w:tc>
        <w:tc>
          <w:tcPr>
            <w:tcW w:w="668" w:type="pct"/>
            <w:tcBorders>
              <w:top w:val="nil"/>
              <w:left w:val="nil"/>
              <w:bottom w:val="single" w:sz="12" w:space="0" w:color="auto"/>
              <w:right w:val="nil"/>
            </w:tcBorders>
            <w:shd w:val="clear" w:color="auto" w:fill="auto"/>
            <w:noWrap/>
            <w:vAlign w:val="bottom"/>
            <w:hideMark/>
          </w:tcPr>
          <w:p w14:paraId="767FD21F" w14:textId="77777777" w:rsidR="0008500D" w:rsidRPr="00160E85" w:rsidRDefault="0008500D" w:rsidP="0008500D">
            <w:pPr>
              <w:pStyle w:val="Brezrazmikov"/>
              <w:rPr>
                <w:b/>
                <w:bCs/>
              </w:rPr>
            </w:pPr>
            <w:r w:rsidRPr="00160E85">
              <w:rPr>
                <w:b/>
                <w:bCs/>
              </w:rPr>
              <w:t>2021</w:t>
            </w:r>
          </w:p>
        </w:tc>
        <w:tc>
          <w:tcPr>
            <w:tcW w:w="669" w:type="pct"/>
            <w:tcBorders>
              <w:top w:val="nil"/>
              <w:left w:val="nil"/>
              <w:bottom w:val="single" w:sz="12" w:space="0" w:color="auto"/>
              <w:right w:val="nil"/>
            </w:tcBorders>
            <w:shd w:val="clear" w:color="auto" w:fill="auto"/>
            <w:noWrap/>
            <w:vAlign w:val="bottom"/>
            <w:hideMark/>
          </w:tcPr>
          <w:p w14:paraId="20ACE4D4" w14:textId="77777777" w:rsidR="0008500D" w:rsidRPr="00160E85" w:rsidRDefault="0008500D" w:rsidP="0008500D">
            <w:pPr>
              <w:pStyle w:val="Brezrazmikov"/>
              <w:rPr>
                <w:b/>
                <w:bCs/>
              </w:rPr>
            </w:pPr>
            <w:r w:rsidRPr="00160E85">
              <w:rPr>
                <w:b/>
                <w:bCs/>
              </w:rPr>
              <w:t>2022</w:t>
            </w:r>
          </w:p>
        </w:tc>
      </w:tr>
      <w:tr w:rsidR="0008500D" w:rsidRPr="00521799" w14:paraId="5C64B322" w14:textId="77777777" w:rsidTr="007A6126">
        <w:trPr>
          <w:trHeight w:val="324"/>
        </w:trPr>
        <w:tc>
          <w:tcPr>
            <w:tcW w:w="1659" w:type="pct"/>
            <w:tcBorders>
              <w:top w:val="single" w:sz="12" w:space="0" w:color="auto"/>
              <w:left w:val="nil"/>
              <w:bottom w:val="single" w:sz="12" w:space="0" w:color="auto"/>
              <w:right w:val="nil"/>
            </w:tcBorders>
            <w:shd w:val="clear" w:color="auto" w:fill="auto"/>
            <w:noWrap/>
            <w:vAlign w:val="bottom"/>
            <w:hideMark/>
          </w:tcPr>
          <w:p w14:paraId="7C248FB3" w14:textId="77777777" w:rsidR="0008500D" w:rsidRPr="00521799" w:rsidRDefault="0008500D" w:rsidP="0008500D">
            <w:pPr>
              <w:pStyle w:val="Brezrazmikov"/>
              <w:jc w:val="left"/>
              <w:rPr>
                <w:b/>
                <w:bCs/>
              </w:rPr>
            </w:pPr>
            <w:r w:rsidRPr="00521799">
              <w:rPr>
                <w:b/>
                <w:bCs/>
              </w:rPr>
              <w:t xml:space="preserve">Prihodki od prodaje     </w:t>
            </w:r>
          </w:p>
        </w:tc>
        <w:tc>
          <w:tcPr>
            <w:tcW w:w="668" w:type="pct"/>
            <w:tcBorders>
              <w:top w:val="single" w:sz="12" w:space="0" w:color="auto"/>
              <w:left w:val="nil"/>
              <w:bottom w:val="single" w:sz="12" w:space="0" w:color="auto"/>
              <w:right w:val="nil"/>
            </w:tcBorders>
            <w:shd w:val="clear" w:color="auto" w:fill="auto"/>
            <w:noWrap/>
            <w:vAlign w:val="bottom"/>
            <w:hideMark/>
          </w:tcPr>
          <w:p w14:paraId="21A9CE06" w14:textId="77777777" w:rsidR="0008500D" w:rsidRPr="00521799" w:rsidRDefault="0008500D" w:rsidP="0008500D">
            <w:pPr>
              <w:pStyle w:val="Brezrazmikov"/>
              <w:rPr>
                <w:b/>
                <w:bCs/>
              </w:rPr>
            </w:pPr>
            <w:r w:rsidRPr="00521799">
              <w:rPr>
                <w:b/>
                <w:bCs/>
              </w:rPr>
              <w:t>1.328.271</w:t>
            </w:r>
          </w:p>
        </w:tc>
        <w:tc>
          <w:tcPr>
            <w:tcW w:w="668" w:type="pct"/>
            <w:tcBorders>
              <w:top w:val="single" w:sz="12" w:space="0" w:color="auto"/>
              <w:left w:val="nil"/>
              <w:bottom w:val="single" w:sz="12" w:space="0" w:color="auto"/>
              <w:right w:val="nil"/>
            </w:tcBorders>
            <w:shd w:val="clear" w:color="auto" w:fill="auto"/>
            <w:noWrap/>
            <w:vAlign w:val="bottom"/>
            <w:hideMark/>
          </w:tcPr>
          <w:p w14:paraId="0A5189BC" w14:textId="77777777" w:rsidR="0008500D" w:rsidRPr="00521799" w:rsidRDefault="0008500D" w:rsidP="0008500D">
            <w:pPr>
              <w:pStyle w:val="Brezrazmikov"/>
              <w:rPr>
                <w:b/>
                <w:bCs/>
              </w:rPr>
            </w:pPr>
            <w:r w:rsidRPr="00521799">
              <w:rPr>
                <w:b/>
                <w:bCs/>
              </w:rPr>
              <w:t>1.344.210</w:t>
            </w:r>
          </w:p>
        </w:tc>
        <w:tc>
          <w:tcPr>
            <w:tcW w:w="668" w:type="pct"/>
            <w:tcBorders>
              <w:top w:val="single" w:sz="12" w:space="0" w:color="auto"/>
              <w:left w:val="nil"/>
              <w:bottom w:val="single" w:sz="12" w:space="0" w:color="auto"/>
              <w:right w:val="nil"/>
            </w:tcBorders>
            <w:shd w:val="clear" w:color="auto" w:fill="auto"/>
            <w:noWrap/>
            <w:vAlign w:val="bottom"/>
            <w:hideMark/>
          </w:tcPr>
          <w:p w14:paraId="751DA4B2" w14:textId="77777777" w:rsidR="0008500D" w:rsidRPr="00160E85" w:rsidRDefault="0008500D" w:rsidP="0008500D">
            <w:pPr>
              <w:pStyle w:val="Brezrazmikov"/>
              <w:rPr>
                <w:b/>
                <w:bCs/>
              </w:rPr>
            </w:pPr>
            <w:r w:rsidRPr="00160E85">
              <w:rPr>
                <w:b/>
                <w:bCs/>
              </w:rPr>
              <w:t>1.358.997</w:t>
            </w:r>
          </w:p>
        </w:tc>
        <w:tc>
          <w:tcPr>
            <w:tcW w:w="668" w:type="pct"/>
            <w:tcBorders>
              <w:top w:val="single" w:sz="12" w:space="0" w:color="auto"/>
              <w:left w:val="nil"/>
              <w:bottom w:val="single" w:sz="12" w:space="0" w:color="auto"/>
              <w:right w:val="nil"/>
            </w:tcBorders>
            <w:shd w:val="clear" w:color="auto" w:fill="auto"/>
            <w:noWrap/>
            <w:vAlign w:val="bottom"/>
            <w:hideMark/>
          </w:tcPr>
          <w:p w14:paraId="0D4431BC" w14:textId="77777777" w:rsidR="0008500D" w:rsidRPr="00160E85" w:rsidRDefault="0008500D" w:rsidP="0008500D">
            <w:pPr>
              <w:pStyle w:val="Brezrazmikov"/>
              <w:rPr>
                <w:b/>
                <w:bCs/>
              </w:rPr>
            </w:pPr>
            <w:r w:rsidRPr="00160E85">
              <w:rPr>
                <w:b/>
                <w:bCs/>
              </w:rPr>
              <w:t>1.373.946</w:t>
            </w:r>
          </w:p>
        </w:tc>
        <w:tc>
          <w:tcPr>
            <w:tcW w:w="669" w:type="pct"/>
            <w:tcBorders>
              <w:top w:val="single" w:sz="12" w:space="0" w:color="auto"/>
              <w:left w:val="nil"/>
              <w:bottom w:val="single" w:sz="12" w:space="0" w:color="auto"/>
              <w:right w:val="nil"/>
            </w:tcBorders>
            <w:shd w:val="clear" w:color="auto" w:fill="auto"/>
            <w:noWrap/>
            <w:vAlign w:val="bottom"/>
            <w:hideMark/>
          </w:tcPr>
          <w:p w14:paraId="0C34B086" w14:textId="77777777" w:rsidR="0008500D" w:rsidRPr="00160E85" w:rsidRDefault="0008500D" w:rsidP="0008500D">
            <w:pPr>
              <w:pStyle w:val="Brezrazmikov"/>
              <w:rPr>
                <w:b/>
                <w:bCs/>
              </w:rPr>
            </w:pPr>
            <w:r w:rsidRPr="00160E85">
              <w:rPr>
                <w:b/>
                <w:bCs/>
              </w:rPr>
              <w:t>1.387.685</w:t>
            </w:r>
          </w:p>
        </w:tc>
      </w:tr>
      <w:tr w:rsidR="0008500D" w:rsidRPr="00521799" w14:paraId="59ED5ED7" w14:textId="77777777" w:rsidTr="007A6126">
        <w:trPr>
          <w:trHeight w:val="312"/>
        </w:trPr>
        <w:tc>
          <w:tcPr>
            <w:tcW w:w="1659" w:type="pct"/>
            <w:tcBorders>
              <w:top w:val="single" w:sz="12" w:space="0" w:color="auto"/>
              <w:left w:val="nil"/>
              <w:bottom w:val="nil"/>
              <w:right w:val="nil"/>
            </w:tcBorders>
            <w:shd w:val="clear" w:color="auto" w:fill="auto"/>
            <w:noWrap/>
            <w:vAlign w:val="bottom"/>
            <w:hideMark/>
          </w:tcPr>
          <w:p w14:paraId="1E3910DF" w14:textId="77777777" w:rsidR="0008500D" w:rsidRPr="00521799" w:rsidRDefault="0008500D" w:rsidP="0008500D">
            <w:pPr>
              <w:pStyle w:val="Brezrazmikov"/>
              <w:jc w:val="left"/>
            </w:pPr>
            <w:r w:rsidRPr="00521799">
              <w:t>Rast v %</w:t>
            </w:r>
          </w:p>
        </w:tc>
        <w:tc>
          <w:tcPr>
            <w:tcW w:w="668" w:type="pct"/>
            <w:tcBorders>
              <w:top w:val="single" w:sz="12" w:space="0" w:color="auto"/>
              <w:left w:val="nil"/>
              <w:bottom w:val="nil"/>
              <w:right w:val="nil"/>
            </w:tcBorders>
            <w:shd w:val="clear" w:color="auto" w:fill="auto"/>
            <w:noWrap/>
            <w:vAlign w:val="bottom"/>
            <w:hideMark/>
          </w:tcPr>
          <w:p w14:paraId="0E48F59C" w14:textId="77777777" w:rsidR="0008500D" w:rsidRPr="00521799" w:rsidRDefault="0008500D" w:rsidP="0008500D">
            <w:pPr>
              <w:pStyle w:val="Brezrazmikov"/>
            </w:pPr>
            <w:r w:rsidRPr="00521799">
              <w:t>1,40%</w:t>
            </w:r>
          </w:p>
        </w:tc>
        <w:tc>
          <w:tcPr>
            <w:tcW w:w="668" w:type="pct"/>
            <w:tcBorders>
              <w:top w:val="single" w:sz="12" w:space="0" w:color="auto"/>
              <w:left w:val="nil"/>
              <w:bottom w:val="nil"/>
              <w:right w:val="nil"/>
            </w:tcBorders>
            <w:shd w:val="clear" w:color="auto" w:fill="auto"/>
            <w:noWrap/>
            <w:vAlign w:val="bottom"/>
            <w:hideMark/>
          </w:tcPr>
          <w:p w14:paraId="200316CC" w14:textId="77777777" w:rsidR="0008500D" w:rsidRPr="00521799" w:rsidRDefault="0008500D" w:rsidP="0008500D">
            <w:pPr>
              <w:pStyle w:val="Brezrazmikov"/>
            </w:pPr>
            <w:r w:rsidRPr="00521799">
              <w:t>1,20%</w:t>
            </w:r>
          </w:p>
        </w:tc>
        <w:tc>
          <w:tcPr>
            <w:tcW w:w="668" w:type="pct"/>
            <w:tcBorders>
              <w:top w:val="single" w:sz="12" w:space="0" w:color="auto"/>
              <w:left w:val="nil"/>
              <w:bottom w:val="nil"/>
              <w:right w:val="nil"/>
            </w:tcBorders>
            <w:shd w:val="clear" w:color="auto" w:fill="auto"/>
            <w:noWrap/>
            <w:vAlign w:val="bottom"/>
            <w:hideMark/>
          </w:tcPr>
          <w:p w14:paraId="318E61A2" w14:textId="77777777" w:rsidR="0008500D" w:rsidRPr="00160E85" w:rsidRDefault="0008500D" w:rsidP="0008500D">
            <w:pPr>
              <w:pStyle w:val="Brezrazmikov"/>
            </w:pPr>
            <w:r w:rsidRPr="00160E85">
              <w:t>1,10%</w:t>
            </w:r>
          </w:p>
        </w:tc>
        <w:tc>
          <w:tcPr>
            <w:tcW w:w="668" w:type="pct"/>
            <w:tcBorders>
              <w:top w:val="single" w:sz="12" w:space="0" w:color="auto"/>
              <w:left w:val="nil"/>
              <w:bottom w:val="nil"/>
              <w:right w:val="nil"/>
            </w:tcBorders>
            <w:shd w:val="clear" w:color="auto" w:fill="auto"/>
            <w:noWrap/>
            <w:vAlign w:val="bottom"/>
            <w:hideMark/>
          </w:tcPr>
          <w:p w14:paraId="3E444F4E" w14:textId="77777777" w:rsidR="0008500D" w:rsidRPr="00160E85" w:rsidRDefault="0008500D" w:rsidP="0008500D">
            <w:pPr>
              <w:pStyle w:val="Brezrazmikov"/>
            </w:pPr>
            <w:r w:rsidRPr="00160E85">
              <w:t>1,10%</w:t>
            </w:r>
          </w:p>
        </w:tc>
        <w:tc>
          <w:tcPr>
            <w:tcW w:w="669" w:type="pct"/>
            <w:tcBorders>
              <w:top w:val="single" w:sz="12" w:space="0" w:color="auto"/>
              <w:left w:val="nil"/>
              <w:bottom w:val="nil"/>
              <w:right w:val="nil"/>
            </w:tcBorders>
            <w:shd w:val="clear" w:color="auto" w:fill="auto"/>
            <w:noWrap/>
            <w:vAlign w:val="bottom"/>
            <w:hideMark/>
          </w:tcPr>
          <w:p w14:paraId="5DA339CD" w14:textId="77777777" w:rsidR="0008500D" w:rsidRPr="00160E85" w:rsidRDefault="0008500D" w:rsidP="0008500D">
            <w:pPr>
              <w:pStyle w:val="Brezrazmikov"/>
            </w:pPr>
            <w:r w:rsidRPr="00160E85">
              <w:t>1,00%</w:t>
            </w:r>
          </w:p>
        </w:tc>
      </w:tr>
      <w:tr w:rsidR="0008500D" w:rsidRPr="00521799" w14:paraId="001A0048" w14:textId="77777777" w:rsidTr="007A6126">
        <w:trPr>
          <w:trHeight w:val="312"/>
        </w:trPr>
        <w:tc>
          <w:tcPr>
            <w:tcW w:w="1659" w:type="pct"/>
            <w:tcBorders>
              <w:top w:val="nil"/>
              <w:left w:val="nil"/>
              <w:bottom w:val="nil"/>
              <w:right w:val="nil"/>
            </w:tcBorders>
            <w:shd w:val="clear" w:color="auto" w:fill="auto"/>
            <w:noWrap/>
            <w:vAlign w:val="bottom"/>
            <w:hideMark/>
          </w:tcPr>
          <w:p w14:paraId="025C3121" w14:textId="77777777" w:rsidR="0008500D" w:rsidRPr="00521799" w:rsidRDefault="0008500D" w:rsidP="0008500D">
            <w:pPr>
              <w:pStyle w:val="Brezrazmikov"/>
              <w:jc w:val="left"/>
            </w:pPr>
            <w:r w:rsidRPr="00521799">
              <w:t xml:space="preserve">Sprememba vrednosti zalog </w:t>
            </w:r>
          </w:p>
          <w:p w14:paraId="25D57C5B" w14:textId="77777777" w:rsidR="0008500D" w:rsidRPr="00521799" w:rsidRDefault="0008500D" w:rsidP="0008500D">
            <w:pPr>
              <w:pStyle w:val="Brezrazmikov"/>
              <w:jc w:val="left"/>
            </w:pPr>
          </w:p>
        </w:tc>
        <w:tc>
          <w:tcPr>
            <w:tcW w:w="668" w:type="pct"/>
            <w:tcBorders>
              <w:top w:val="nil"/>
              <w:left w:val="nil"/>
              <w:bottom w:val="nil"/>
              <w:right w:val="nil"/>
            </w:tcBorders>
            <w:shd w:val="clear" w:color="auto" w:fill="auto"/>
            <w:noWrap/>
            <w:vAlign w:val="bottom"/>
            <w:hideMark/>
          </w:tcPr>
          <w:p w14:paraId="0A107FD6" w14:textId="77777777" w:rsidR="0008500D" w:rsidRPr="00521799" w:rsidRDefault="0008500D" w:rsidP="0008500D">
            <w:pPr>
              <w:pStyle w:val="Brezrazmikov"/>
            </w:pPr>
            <w:r w:rsidRPr="00521799">
              <w:t>13.653</w:t>
            </w:r>
          </w:p>
        </w:tc>
        <w:tc>
          <w:tcPr>
            <w:tcW w:w="668" w:type="pct"/>
            <w:tcBorders>
              <w:top w:val="nil"/>
              <w:left w:val="nil"/>
              <w:bottom w:val="nil"/>
              <w:right w:val="nil"/>
            </w:tcBorders>
            <w:shd w:val="clear" w:color="auto" w:fill="auto"/>
            <w:noWrap/>
            <w:vAlign w:val="bottom"/>
            <w:hideMark/>
          </w:tcPr>
          <w:p w14:paraId="3604F7E1" w14:textId="77777777" w:rsidR="0008500D" w:rsidRPr="00521799" w:rsidRDefault="0008500D" w:rsidP="0008500D">
            <w:pPr>
              <w:pStyle w:val="Brezrazmikov"/>
            </w:pPr>
            <w:r w:rsidRPr="00521799">
              <w:t>-8.200</w:t>
            </w:r>
          </w:p>
        </w:tc>
        <w:tc>
          <w:tcPr>
            <w:tcW w:w="668" w:type="pct"/>
            <w:tcBorders>
              <w:top w:val="nil"/>
              <w:left w:val="nil"/>
              <w:bottom w:val="nil"/>
              <w:right w:val="nil"/>
            </w:tcBorders>
            <w:shd w:val="clear" w:color="auto" w:fill="auto"/>
            <w:noWrap/>
            <w:vAlign w:val="bottom"/>
            <w:hideMark/>
          </w:tcPr>
          <w:p w14:paraId="77A642FC" w14:textId="77777777" w:rsidR="0008500D" w:rsidRPr="00160E85" w:rsidRDefault="0008500D" w:rsidP="0008500D">
            <w:pPr>
              <w:pStyle w:val="Brezrazmikov"/>
            </w:pPr>
            <w:r w:rsidRPr="00160E85">
              <w:t>13.421</w:t>
            </w:r>
          </w:p>
        </w:tc>
        <w:tc>
          <w:tcPr>
            <w:tcW w:w="668" w:type="pct"/>
            <w:tcBorders>
              <w:top w:val="nil"/>
              <w:left w:val="nil"/>
              <w:bottom w:val="nil"/>
              <w:right w:val="nil"/>
            </w:tcBorders>
            <w:shd w:val="clear" w:color="auto" w:fill="auto"/>
            <w:noWrap/>
            <w:vAlign w:val="bottom"/>
            <w:hideMark/>
          </w:tcPr>
          <w:p w14:paraId="4064ABFE" w14:textId="77777777" w:rsidR="0008500D" w:rsidRPr="00160E85" w:rsidRDefault="0008500D" w:rsidP="0008500D">
            <w:pPr>
              <w:pStyle w:val="Brezrazmikov"/>
            </w:pPr>
            <w:r w:rsidRPr="00160E85">
              <w:t>19.721</w:t>
            </w:r>
          </w:p>
        </w:tc>
        <w:tc>
          <w:tcPr>
            <w:tcW w:w="669" w:type="pct"/>
            <w:tcBorders>
              <w:top w:val="nil"/>
              <w:left w:val="nil"/>
              <w:bottom w:val="nil"/>
              <w:right w:val="nil"/>
            </w:tcBorders>
            <w:shd w:val="clear" w:color="auto" w:fill="auto"/>
            <w:noWrap/>
            <w:vAlign w:val="bottom"/>
            <w:hideMark/>
          </w:tcPr>
          <w:p w14:paraId="7126FF38" w14:textId="77777777" w:rsidR="0008500D" w:rsidRPr="00160E85" w:rsidRDefault="0008500D" w:rsidP="0008500D">
            <w:pPr>
              <w:pStyle w:val="Brezrazmikov"/>
            </w:pPr>
            <w:r w:rsidRPr="00160E85">
              <w:t>12.456</w:t>
            </w:r>
          </w:p>
        </w:tc>
      </w:tr>
      <w:tr w:rsidR="0008500D" w:rsidRPr="00521799" w14:paraId="5510AB3C" w14:textId="77777777" w:rsidTr="007A6126">
        <w:trPr>
          <w:trHeight w:val="324"/>
        </w:trPr>
        <w:tc>
          <w:tcPr>
            <w:tcW w:w="1659" w:type="pct"/>
            <w:tcBorders>
              <w:top w:val="nil"/>
              <w:left w:val="nil"/>
              <w:right w:val="nil"/>
            </w:tcBorders>
            <w:shd w:val="clear" w:color="auto" w:fill="auto"/>
            <w:noWrap/>
            <w:vAlign w:val="bottom"/>
            <w:hideMark/>
          </w:tcPr>
          <w:p w14:paraId="0089843B" w14:textId="77777777" w:rsidR="0008500D" w:rsidRPr="00521799" w:rsidRDefault="0008500D" w:rsidP="0008500D">
            <w:pPr>
              <w:pStyle w:val="Brezrazmikov"/>
              <w:jc w:val="left"/>
            </w:pPr>
            <w:r w:rsidRPr="00521799">
              <w:t xml:space="preserve">Drugi poslovni prihodki     </w:t>
            </w:r>
          </w:p>
        </w:tc>
        <w:tc>
          <w:tcPr>
            <w:tcW w:w="668" w:type="pct"/>
            <w:tcBorders>
              <w:top w:val="nil"/>
              <w:left w:val="nil"/>
              <w:right w:val="nil"/>
            </w:tcBorders>
            <w:shd w:val="clear" w:color="auto" w:fill="auto"/>
            <w:noWrap/>
            <w:vAlign w:val="bottom"/>
            <w:hideMark/>
          </w:tcPr>
          <w:p w14:paraId="36A27625" w14:textId="77777777" w:rsidR="0008500D" w:rsidRPr="00521799" w:rsidRDefault="0008500D" w:rsidP="0008500D">
            <w:pPr>
              <w:pStyle w:val="Brezrazmikov"/>
            </w:pPr>
            <w:r w:rsidRPr="00521799">
              <w:t>25.636</w:t>
            </w:r>
          </w:p>
        </w:tc>
        <w:tc>
          <w:tcPr>
            <w:tcW w:w="668" w:type="pct"/>
            <w:tcBorders>
              <w:top w:val="nil"/>
              <w:left w:val="nil"/>
              <w:right w:val="nil"/>
            </w:tcBorders>
            <w:shd w:val="clear" w:color="auto" w:fill="auto"/>
            <w:noWrap/>
            <w:vAlign w:val="bottom"/>
            <w:hideMark/>
          </w:tcPr>
          <w:p w14:paraId="119B3FD3" w14:textId="77777777" w:rsidR="0008500D" w:rsidRPr="00521799" w:rsidRDefault="0008500D" w:rsidP="0008500D">
            <w:pPr>
              <w:pStyle w:val="Brezrazmikov"/>
            </w:pPr>
            <w:r w:rsidRPr="00521799">
              <w:t>28.605</w:t>
            </w:r>
          </w:p>
        </w:tc>
        <w:tc>
          <w:tcPr>
            <w:tcW w:w="668" w:type="pct"/>
            <w:tcBorders>
              <w:top w:val="nil"/>
              <w:left w:val="nil"/>
              <w:right w:val="nil"/>
            </w:tcBorders>
            <w:shd w:val="clear" w:color="auto" w:fill="auto"/>
            <w:noWrap/>
            <w:vAlign w:val="bottom"/>
            <w:hideMark/>
          </w:tcPr>
          <w:p w14:paraId="0BEC3A4D" w14:textId="77777777" w:rsidR="0008500D" w:rsidRPr="00160E85" w:rsidRDefault="0008500D" w:rsidP="0008500D">
            <w:pPr>
              <w:pStyle w:val="Brezrazmikov"/>
            </w:pPr>
            <w:r w:rsidRPr="00160E85">
              <w:t>28.771</w:t>
            </w:r>
          </w:p>
        </w:tc>
        <w:tc>
          <w:tcPr>
            <w:tcW w:w="668" w:type="pct"/>
            <w:tcBorders>
              <w:top w:val="nil"/>
              <w:left w:val="nil"/>
              <w:right w:val="nil"/>
            </w:tcBorders>
            <w:shd w:val="clear" w:color="auto" w:fill="auto"/>
            <w:noWrap/>
            <w:vAlign w:val="bottom"/>
            <w:hideMark/>
          </w:tcPr>
          <w:p w14:paraId="00855BBE" w14:textId="77777777" w:rsidR="0008500D" w:rsidRPr="00160E85" w:rsidRDefault="0008500D" w:rsidP="0008500D">
            <w:pPr>
              <w:pStyle w:val="Brezrazmikov"/>
            </w:pPr>
            <w:r w:rsidRPr="00160E85">
              <w:t>26.935</w:t>
            </w:r>
          </w:p>
        </w:tc>
        <w:tc>
          <w:tcPr>
            <w:tcW w:w="669" w:type="pct"/>
            <w:tcBorders>
              <w:top w:val="nil"/>
              <w:left w:val="nil"/>
              <w:right w:val="nil"/>
            </w:tcBorders>
            <w:shd w:val="clear" w:color="auto" w:fill="auto"/>
            <w:noWrap/>
            <w:vAlign w:val="bottom"/>
            <w:hideMark/>
          </w:tcPr>
          <w:p w14:paraId="171D2B3E" w14:textId="77777777" w:rsidR="0008500D" w:rsidRPr="00160E85" w:rsidRDefault="0008500D" w:rsidP="0008500D">
            <w:pPr>
              <w:pStyle w:val="Brezrazmikov"/>
            </w:pPr>
            <w:r w:rsidRPr="00160E85">
              <w:t>33.609</w:t>
            </w:r>
          </w:p>
        </w:tc>
      </w:tr>
      <w:tr w:rsidR="0008500D" w:rsidRPr="00521799" w14:paraId="3CEEFE92" w14:textId="77777777" w:rsidTr="007A6126">
        <w:trPr>
          <w:trHeight w:val="324"/>
        </w:trPr>
        <w:tc>
          <w:tcPr>
            <w:tcW w:w="1659" w:type="pct"/>
            <w:tcBorders>
              <w:top w:val="nil"/>
              <w:left w:val="nil"/>
              <w:bottom w:val="single" w:sz="12" w:space="0" w:color="auto"/>
              <w:right w:val="nil"/>
            </w:tcBorders>
            <w:shd w:val="clear" w:color="auto" w:fill="auto"/>
            <w:noWrap/>
            <w:vAlign w:val="bottom"/>
            <w:hideMark/>
          </w:tcPr>
          <w:p w14:paraId="7B860D99" w14:textId="77777777" w:rsidR="0008500D" w:rsidRPr="00521799" w:rsidRDefault="0008500D" w:rsidP="0008500D">
            <w:pPr>
              <w:pStyle w:val="Brezrazmikov"/>
              <w:jc w:val="left"/>
            </w:pPr>
            <w:r w:rsidRPr="00521799">
              <w:t>Rast v %</w:t>
            </w:r>
          </w:p>
        </w:tc>
        <w:tc>
          <w:tcPr>
            <w:tcW w:w="668" w:type="pct"/>
            <w:tcBorders>
              <w:top w:val="nil"/>
              <w:left w:val="nil"/>
              <w:bottom w:val="single" w:sz="12" w:space="0" w:color="auto"/>
              <w:right w:val="nil"/>
            </w:tcBorders>
            <w:shd w:val="clear" w:color="auto" w:fill="auto"/>
            <w:noWrap/>
            <w:vAlign w:val="bottom"/>
            <w:hideMark/>
          </w:tcPr>
          <w:p w14:paraId="60C4A536" w14:textId="77777777" w:rsidR="0008500D" w:rsidRPr="00521799" w:rsidRDefault="0008500D" w:rsidP="0008500D">
            <w:pPr>
              <w:pStyle w:val="Brezrazmikov"/>
            </w:pPr>
            <w:r w:rsidRPr="00521799">
              <w:t>-35,00%</w:t>
            </w:r>
          </w:p>
        </w:tc>
        <w:tc>
          <w:tcPr>
            <w:tcW w:w="668" w:type="pct"/>
            <w:tcBorders>
              <w:top w:val="nil"/>
              <w:left w:val="nil"/>
              <w:bottom w:val="single" w:sz="12" w:space="0" w:color="auto"/>
              <w:right w:val="nil"/>
            </w:tcBorders>
            <w:shd w:val="clear" w:color="auto" w:fill="auto"/>
            <w:noWrap/>
            <w:vAlign w:val="bottom"/>
            <w:hideMark/>
          </w:tcPr>
          <w:p w14:paraId="7302E18E" w14:textId="77777777" w:rsidR="0008500D" w:rsidRPr="00521799" w:rsidRDefault="0008500D" w:rsidP="0008500D">
            <w:pPr>
              <w:pStyle w:val="Brezrazmikov"/>
            </w:pPr>
            <w:r w:rsidRPr="00521799">
              <w:t>11,58%</w:t>
            </w:r>
          </w:p>
        </w:tc>
        <w:tc>
          <w:tcPr>
            <w:tcW w:w="668" w:type="pct"/>
            <w:tcBorders>
              <w:top w:val="nil"/>
              <w:left w:val="nil"/>
              <w:bottom w:val="single" w:sz="12" w:space="0" w:color="auto"/>
              <w:right w:val="nil"/>
            </w:tcBorders>
            <w:shd w:val="clear" w:color="auto" w:fill="auto"/>
            <w:noWrap/>
            <w:vAlign w:val="bottom"/>
            <w:hideMark/>
          </w:tcPr>
          <w:p w14:paraId="5093F5BA" w14:textId="77777777" w:rsidR="0008500D" w:rsidRPr="00160E85" w:rsidRDefault="0008500D" w:rsidP="0008500D">
            <w:pPr>
              <w:pStyle w:val="Brezrazmikov"/>
            </w:pPr>
            <w:r w:rsidRPr="00160E85">
              <w:t>0,58%</w:t>
            </w:r>
          </w:p>
        </w:tc>
        <w:tc>
          <w:tcPr>
            <w:tcW w:w="668" w:type="pct"/>
            <w:tcBorders>
              <w:top w:val="nil"/>
              <w:left w:val="nil"/>
              <w:bottom w:val="single" w:sz="12" w:space="0" w:color="auto"/>
              <w:right w:val="nil"/>
            </w:tcBorders>
            <w:shd w:val="clear" w:color="auto" w:fill="auto"/>
            <w:noWrap/>
            <w:vAlign w:val="bottom"/>
            <w:hideMark/>
          </w:tcPr>
          <w:p w14:paraId="5746C533" w14:textId="77777777" w:rsidR="0008500D" w:rsidRPr="00160E85" w:rsidRDefault="0008500D" w:rsidP="0008500D">
            <w:pPr>
              <w:pStyle w:val="Brezrazmikov"/>
            </w:pPr>
            <w:r w:rsidRPr="00160E85">
              <w:t>-6,38%</w:t>
            </w:r>
          </w:p>
        </w:tc>
        <w:tc>
          <w:tcPr>
            <w:tcW w:w="669" w:type="pct"/>
            <w:tcBorders>
              <w:top w:val="nil"/>
              <w:left w:val="nil"/>
              <w:bottom w:val="single" w:sz="12" w:space="0" w:color="auto"/>
              <w:right w:val="nil"/>
            </w:tcBorders>
            <w:shd w:val="clear" w:color="auto" w:fill="auto"/>
            <w:noWrap/>
            <w:vAlign w:val="bottom"/>
            <w:hideMark/>
          </w:tcPr>
          <w:p w14:paraId="51080D31" w14:textId="77777777" w:rsidR="0008500D" w:rsidRPr="00160E85" w:rsidRDefault="0008500D" w:rsidP="0008500D">
            <w:pPr>
              <w:pStyle w:val="Brezrazmikov"/>
            </w:pPr>
            <w:r w:rsidRPr="00160E85">
              <w:t>24,78%</w:t>
            </w:r>
          </w:p>
        </w:tc>
      </w:tr>
      <w:tr w:rsidR="0008500D" w:rsidRPr="00521799" w14:paraId="283BB668" w14:textId="77777777" w:rsidTr="007A6126">
        <w:trPr>
          <w:trHeight w:val="324"/>
        </w:trPr>
        <w:tc>
          <w:tcPr>
            <w:tcW w:w="1659" w:type="pct"/>
            <w:tcBorders>
              <w:top w:val="single" w:sz="12" w:space="0" w:color="auto"/>
              <w:left w:val="nil"/>
              <w:bottom w:val="single" w:sz="12" w:space="0" w:color="auto"/>
              <w:right w:val="nil"/>
            </w:tcBorders>
            <w:shd w:val="clear" w:color="auto" w:fill="auto"/>
            <w:noWrap/>
            <w:vAlign w:val="bottom"/>
            <w:hideMark/>
          </w:tcPr>
          <w:p w14:paraId="37A904DA" w14:textId="77777777" w:rsidR="0008500D" w:rsidRPr="00521799" w:rsidRDefault="0008500D" w:rsidP="0008500D">
            <w:pPr>
              <w:pStyle w:val="Brezrazmikov"/>
              <w:jc w:val="left"/>
              <w:rPr>
                <w:b/>
                <w:bCs/>
              </w:rPr>
            </w:pPr>
            <w:r w:rsidRPr="00521799">
              <w:rPr>
                <w:b/>
                <w:bCs/>
              </w:rPr>
              <w:t xml:space="preserve">Kosmati donos iz poslovanja    </w:t>
            </w:r>
          </w:p>
        </w:tc>
        <w:tc>
          <w:tcPr>
            <w:tcW w:w="668" w:type="pct"/>
            <w:tcBorders>
              <w:top w:val="single" w:sz="12" w:space="0" w:color="auto"/>
              <w:left w:val="nil"/>
              <w:bottom w:val="single" w:sz="12" w:space="0" w:color="auto"/>
              <w:right w:val="nil"/>
            </w:tcBorders>
            <w:shd w:val="clear" w:color="auto" w:fill="auto"/>
            <w:noWrap/>
            <w:vAlign w:val="bottom"/>
            <w:hideMark/>
          </w:tcPr>
          <w:p w14:paraId="6A2BE28E" w14:textId="77777777" w:rsidR="0008500D" w:rsidRPr="00521799" w:rsidRDefault="0008500D" w:rsidP="0008500D">
            <w:pPr>
              <w:pStyle w:val="Brezrazmikov"/>
              <w:rPr>
                <w:b/>
                <w:bCs/>
              </w:rPr>
            </w:pPr>
            <w:r w:rsidRPr="00521799">
              <w:rPr>
                <w:b/>
                <w:bCs/>
              </w:rPr>
              <w:t>1.367.560</w:t>
            </w:r>
          </w:p>
        </w:tc>
        <w:tc>
          <w:tcPr>
            <w:tcW w:w="668" w:type="pct"/>
            <w:tcBorders>
              <w:top w:val="single" w:sz="12" w:space="0" w:color="auto"/>
              <w:left w:val="nil"/>
              <w:bottom w:val="single" w:sz="12" w:space="0" w:color="auto"/>
              <w:right w:val="nil"/>
            </w:tcBorders>
            <w:shd w:val="clear" w:color="auto" w:fill="auto"/>
            <w:noWrap/>
            <w:vAlign w:val="bottom"/>
            <w:hideMark/>
          </w:tcPr>
          <w:p w14:paraId="309F46BE" w14:textId="77777777" w:rsidR="0008500D" w:rsidRPr="00521799" w:rsidRDefault="0008500D" w:rsidP="0008500D">
            <w:pPr>
              <w:pStyle w:val="Brezrazmikov"/>
              <w:rPr>
                <w:b/>
                <w:bCs/>
              </w:rPr>
            </w:pPr>
            <w:r w:rsidRPr="00521799">
              <w:rPr>
                <w:b/>
                <w:bCs/>
              </w:rPr>
              <w:t>1.364.615</w:t>
            </w:r>
          </w:p>
        </w:tc>
        <w:tc>
          <w:tcPr>
            <w:tcW w:w="668" w:type="pct"/>
            <w:tcBorders>
              <w:top w:val="single" w:sz="12" w:space="0" w:color="auto"/>
              <w:left w:val="nil"/>
              <w:bottom w:val="single" w:sz="12" w:space="0" w:color="auto"/>
              <w:right w:val="nil"/>
            </w:tcBorders>
            <w:shd w:val="clear" w:color="auto" w:fill="auto"/>
            <w:noWrap/>
            <w:vAlign w:val="bottom"/>
            <w:hideMark/>
          </w:tcPr>
          <w:p w14:paraId="6969A2BD" w14:textId="77777777" w:rsidR="0008500D" w:rsidRPr="00160E85" w:rsidRDefault="0008500D" w:rsidP="0008500D">
            <w:pPr>
              <w:pStyle w:val="Brezrazmikov"/>
              <w:rPr>
                <w:b/>
                <w:bCs/>
              </w:rPr>
            </w:pPr>
            <w:r w:rsidRPr="00160E85">
              <w:rPr>
                <w:b/>
                <w:bCs/>
              </w:rPr>
              <w:t>1.401.188</w:t>
            </w:r>
          </w:p>
        </w:tc>
        <w:tc>
          <w:tcPr>
            <w:tcW w:w="668" w:type="pct"/>
            <w:tcBorders>
              <w:top w:val="single" w:sz="12" w:space="0" w:color="auto"/>
              <w:left w:val="nil"/>
              <w:bottom w:val="single" w:sz="12" w:space="0" w:color="auto"/>
              <w:right w:val="nil"/>
            </w:tcBorders>
            <w:shd w:val="clear" w:color="auto" w:fill="auto"/>
            <w:noWrap/>
            <w:vAlign w:val="bottom"/>
            <w:hideMark/>
          </w:tcPr>
          <w:p w14:paraId="149523F3" w14:textId="77777777" w:rsidR="0008500D" w:rsidRPr="00160E85" w:rsidRDefault="0008500D" w:rsidP="0008500D">
            <w:pPr>
              <w:pStyle w:val="Brezrazmikov"/>
              <w:rPr>
                <w:b/>
                <w:bCs/>
              </w:rPr>
            </w:pPr>
            <w:r w:rsidRPr="00160E85">
              <w:rPr>
                <w:b/>
                <w:bCs/>
              </w:rPr>
              <w:t>1.420.602</w:t>
            </w:r>
          </w:p>
        </w:tc>
        <w:tc>
          <w:tcPr>
            <w:tcW w:w="669" w:type="pct"/>
            <w:tcBorders>
              <w:top w:val="single" w:sz="12" w:space="0" w:color="auto"/>
              <w:left w:val="nil"/>
              <w:bottom w:val="single" w:sz="12" w:space="0" w:color="auto"/>
              <w:right w:val="nil"/>
            </w:tcBorders>
            <w:shd w:val="clear" w:color="auto" w:fill="auto"/>
            <w:noWrap/>
            <w:vAlign w:val="bottom"/>
            <w:hideMark/>
          </w:tcPr>
          <w:p w14:paraId="3890DB59" w14:textId="77777777" w:rsidR="0008500D" w:rsidRPr="00160E85" w:rsidRDefault="0008500D" w:rsidP="0008500D">
            <w:pPr>
              <w:pStyle w:val="Brezrazmikov"/>
              <w:rPr>
                <w:b/>
                <w:bCs/>
              </w:rPr>
            </w:pPr>
            <w:r w:rsidRPr="00160E85">
              <w:rPr>
                <w:b/>
                <w:bCs/>
              </w:rPr>
              <w:t>1.433.751</w:t>
            </w:r>
          </w:p>
        </w:tc>
      </w:tr>
      <w:tr w:rsidR="0008500D" w:rsidRPr="00521799" w14:paraId="47383BCC" w14:textId="77777777" w:rsidTr="007A6126">
        <w:trPr>
          <w:trHeight w:val="324"/>
        </w:trPr>
        <w:tc>
          <w:tcPr>
            <w:tcW w:w="1659" w:type="pct"/>
            <w:tcBorders>
              <w:top w:val="single" w:sz="12" w:space="0" w:color="auto"/>
              <w:left w:val="nil"/>
              <w:bottom w:val="nil"/>
              <w:right w:val="nil"/>
            </w:tcBorders>
            <w:shd w:val="clear" w:color="auto" w:fill="auto"/>
            <w:noWrap/>
            <w:vAlign w:val="bottom"/>
            <w:hideMark/>
          </w:tcPr>
          <w:p w14:paraId="15D17BCA" w14:textId="77777777" w:rsidR="0008500D" w:rsidRPr="00521799" w:rsidRDefault="0008500D" w:rsidP="0008500D">
            <w:pPr>
              <w:pStyle w:val="Brezrazmikov"/>
              <w:jc w:val="left"/>
            </w:pPr>
            <w:r w:rsidRPr="00521799">
              <w:t xml:space="preserve">Stroški blaga, materiala in storitev   </w:t>
            </w:r>
          </w:p>
        </w:tc>
        <w:tc>
          <w:tcPr>
            <w:tcW w:w="668" w:type="pct"/>
            <w:tcBorders>
              <w:top w:val="single" w:sz="12" w:space="0" w:color="auto"/>
              <w:left w:val="nil"/>
              <w:bottom w:val="nil"/>
              <w:right w:val="nil"/>
            </w:tcBorders>
            <w:shd w:val="clear" w:color="auto" w:fill="auto"/>
            <w:noWrap/>
            <w:vAlign w:val="bottom"/>
            <w:hideMark/>
          </w:tcPr>
          <w:p w14:paraId="2086BD37" w14:textId="77777777" w:rsidR="0008500D" w:rsidRPr="00521799" w:rsidRDefault="0008500D" w:rsidP="0008500D">
            <w:pPr>
              <w:pStyle w:val="Brezrazmikov"/>
            </w:pPr>
            <w:r w:rsidRPr="00521799">
              <w:t>-988.234</w:t>
            </w:r>
          </w:p>
        </w:tc>
        <w:tc>
          <w:tcPr>
            <w:tcW w:w="668" w:type="pct"/>
            <w:tcBorders>
              <w:top w:val="single" w:sz="12" w:space="0" w:color="auto"/>
              <w:left w:val="nil"/>
              <w:bottom w:val="nil"/>
              <w:right w:val="nil"/>
            </w:tcBorders>
            <w:shd w:val="clear" w:color="auto" w:fill="auto"/>
            <w:noWrap/>
            <w:vAlign w:val="bottom"/>
            <w:hideMark/>
          </w:tcPr>
          <w:p w14:paraId="6C15AFBC" w14:textId="77777777" w:rsidR="0008500D" w:rsidRPr="00521799" w:rsidRDefault="0008500D" w:rsidP="0008500D">
            <w:pPr>
              <w:pStyle w:val="Brezrazmikov"/>
            </w:pPr>
            <w:r w:rsidRPr="00521799">
              <w:t>-1.000.765</w:t>
            </w:r>
          </w:p>
        </w:tc>
        <w:tc>
          <w:tcPr>
            <w:tcW w:w="668" w:type="pct"/>
            <w:tcBorders>
              <w:top w:val="single" w:sz="12" w:space="0" w:color="auto"/>
              <w:left w:val="nil"/>
              <w:bottom w:val="nil"/>
              <w:right w:val="nil"/>
            </w:tcBorders>
            <w:shd w:val="clear" w:color="auto" w:fill="auto"/>
            <w:noWrap/>
            <w:vAlign w:val="bottom"/>
            <w:hideMark/>
          </w:tcPr>
          <w:p w14:paraId="1703A773" w14:textId="77777777" w:rsidR="0008500D" w:rsidRPr="00160E85" w:rsidRDefault="0008500D" w:rsidP="0008500D">
            <w:pPr>
              <w:pStyle w:val="Brezrazmikov"/>
            </w:pPr>
            <w:r w:rsidRPr="00160E85">
              <w:t>-1.011.773</w:t>
            </w:r>
          </w:p>
        </w:tc>
        <w:tc>
          <w:tcPr>
            <w:tcW w:w="668" w:type="pct"/>
            <w:tcBorders>
              <w:top w:val="single" w:sz="12" w:space="0" w:color="auto"/>
              <w:left w:val="nil"/>
              <w:bottom w:val="nil"/>
              <w:right w:val="nil"/>
            </w:tcBorders>
            <w:shd w:val="clear" w:color="auto" w:fill="auto"/>
            <w:noWrap/>
            <w:vAlign w:val="bottom"/>
            <w:hideMark/>
          </w:tcPr>
          <w:p w14:paraId="023BACD7" w14:textId="77777777" w:rsidR="0008500D" w:rsidRPr="00160E85" w:rsidRDefault="0008500D" w:rsidP="0008500D">
            <w:pPr>
              <w:pStyle w:val="Brezrazmikov"/>
            </w:pPr>
            <w:r w:rsidRPr="00160E85">
              <w:t>-1.025.650</w:t>
            </w:r>
          </w:p>
        </w:tc>
        <w:tc>
          <w:tcPr>
            <w:tcW w:w="669" w:type="pct"/>
            <w:tcBorders>
              <w:top w:val="single" w:sz="12" w:space="0" w:color="auto"/>
              <w:left w:val="nil"/>
              <w:bottom w:val="nil"/>
              <w:right w:val="nil"/>
            </w:tcBorders>
            <w:shd w:val="clear" w:color="auto" w:fill="auto"/>
            <w:noWrap/>
            <w:vAlign w:val="bottom"/>
            <w:hideMark/>
          </w:tcPr>
          <w:p w14:paraId="46626136" w14:textId="77777777" w:rsidR="0008500D" w:rsidRPr="00160E85" w:rsidRDefault="0008500D" w:rsidP="0008500D">
            <w:pPr>
              <w:pStyle w:val="Brezrazmikov"/>
            </w:pPr>
            <w:r w:rsidRPr="00160E85">
              <w:t>-1.035.907</w:t>
            </w:r>
          </w:p>
        </w:tc>
      </w:tr>
      <w:tr w:rsidR="0008500D" w:rsidRPr="00521799" w14:paraId="4A2DA39B" w14:textId="77777777" w:rsidTr="007A6126">
        <w:trPr>
          <w:trHeight w:val="312"/>
        </w:trPr>
        <w:tc>
          <w:tcPr>
            <w:tcW w:w="1659" w:type="pct"/>
            <w:tcBorders>
              <w:top w:val="nil"/>
              <w:left w:val="nil"/>
              <w:bottom w:val="nil"/>
              <w:right w:val="nil"/>
            </w:tcBorders>
            <w:shd w:val="clear" w:color="auto" w:fill="auto"/>
            <w:noWrap/>
            <w:vAlign w:val="bottom"/>
            <w:hideMark/>
          </w:tcPr>
          <w:p w14:paraId="535AD028" w14:textId="77777777" w:rsidR="0008500D" w:rsidRPr="00521799" w:rsidRDefault="0008500D" w:rsidP="0008500D">
            <w:pPr>
              <w:pStyle w:val="Brezrazmikov"/>
              <w:jc w:val="left"/>
            </w:pPr>
            <w:r w:rsidRPr="00521799">
              <w:t>% od kosmatega donosa</w:t>
            </w:r>
          </w:p>
        </w:tc>
        <w:tc>
          <w:tcPr>
            <w:tcW w:w="668" w:type="pct"/>
            <w:tcBorders>
              <w:top w:val="nil"/>
              <w:left w:val="nil"/>
              <w:bottom w:val="nil"/>
              <w:right w:val="nil"/>
            </w:tcBorders>
            <w:shd w:val="clear" w:color="auto" w:fill="auto"/>
            <w:noWrap/>
            <w:vAlign w:val="bottom"/>
            <w:hideMark/>
          </w:tcPr>
          <w:p w14:paraId="5DF08092" w14:textId="77777777" w:rsidR="0008500D" w:rsidRPr="00521799" w:rsidRDefault="0008500D" w:rsidP="0008500D">
            <w:pPr>
              <w:pStyle w:val="Brezrazmikov"/>
            </w:pPr>
            <w:r w:rsidRPr="00521799">
              <w:t>-74,40%</w:t>
            </w:r>
          </w:p>
        </w:tc>
        <w:tc>
          <w:tcPr>
            <w:tcW w:w="668" w:type="pct"/>
            <w:tcBorders>
              <w:top w:val="nil"/>
              <w:left w:val="nil"/>
              <w:bottom w:val="nil"/>
              <w:right w:val="nil"/>
            </w:tcBorders>
            <w:shd w:val="clear" w:color="auto" w:fill="auto"/>
            <w:noWrap/>
            <w:vAlign w:val="bottom"/>
            <w:hideMark/>
          </w:tcPr>
          <w:p w14:paraId="6E814C69" w14:textId="77777777" w:rsidR="0008500D" w:rsidRPr="00521799" w:rsidRDefault="0008500D" w:rsidP="0008500D">
            <w:pPr>
              <w:pStyle w:val="Brezrazmikov"/>
            </w:pPr>
            <w:r w:rsidRPr="00521799">
              <w:t>-74,45%</w:t>
            </w:r>
          </w:p>
        </w:tc>
        <w:tc>
          <w:tcPr>
            <w:tcW w:w="668" w:type="pct"/>
            <w:tcBorders>
              <w:top w:val="nil"/>
              <w:left w:val="nil"/>
              <w:bottom w:val="nil"/>
              <w:right w:val="nil"/>
            </w:tcBorders>
            <w:shd w:val="clear" w:color="auto" w:fill="auto"/>
            <w:noWrap/>
            <w:vAlign w:val="bottom"/>
            <w:hideMark/>
          </w:tcPr>
          <w:p w14:paraId="715D3D25" w14:textId="77777777" w:rsidR="0008500D" w:rsidRPr="00160E85" w:rsidRDefault="0008500D" w:rsidP="0008500D">
            <w:pPr>
              <w:pStyle w:val="Brezrazmikov"/>
            </w:pPr>
            <w:r w:rsidRPr="00160E85">
              <w:t>-74,45%</w:t>
            </w:r>
          </w:p>
        </w:tc>
        <w:tc>
          <w:tcPr>
            <w:tcW w:w="668" w:type="pct"/>
            <w:tcBorders>
              <w:top w:val="nil"/>
              <w:left w:val="nil"/>
              <w:bottom w:val="nil"/>
              <w:right w:val="nil"/>
            </w:tcBorders>
            <w:shd w:val="clear" w:color="auto" w:fill="auto"/>
            <w:noWrap/>
            <w:vAlign w:val="bottom"/>
            <w:hideMark/>
          </w:tcPr>
          <w:p w14:paraId="20FFAEF4" w14:textId="77777777" w:rsidR="0008500D" w:rsidRPr="00160E85" w:rsidRDefault="0008500D" w:rsidP="0008500D">
            <w:pPr>
              <w:pStyle w:val="Brezrazmikov"/>
            </w:pPr>
            <w:r w:rsidRPr="00160E85">
              <w:t>-74,65%</w:t>
            </w:r>
          </w:p>
        </w:tc>
        <w:tc>
          <w:tcPr>
            <w:tcW w:w="669" w:type="pct"/>
            <w:tcBorders>
              <w:top w:val="nil"/>
              <w:left w:val="nil"/>
              <w:bottom w:val="nil"/>
              <w:right w:val="nil"/>
            </w:tcBorders>
            <w:shd w:val="clear" w:color="auto" w:fill="auto"/>
            <w:noWrap/>
            <w:vAlign w:val="bottom"/>
            <w:hideMark/>
          </w:tcPr>
          <w:p w14:paraId="0BE77985" w14:textId="77777777" w:rsidR="0008500D" w:rsidRPr="00160E85" w:rsidRDefault="0008500D" w:rsidP="0008500D">
            <w:pPr>
              <w:pStyle w:val="Brezrazmikov"/>
            </w:pPr>
            <w:r w:rsidRPr="00160E85">
              <w:t>-74,65%</w:t>
            </w:r>
          </w:p>
        </w:tc>
      </w:tr>
      <w:tr w:rsidR="0008500D" w:rsidRPr="00521799" w14:paraId="0D2EB2EA" w14:textId="77777777" w:rsidTr="007A6126">
        <w:trPr>
          <w:trHeight w:val="312"/>
        </w:trPr>
        <w:tc>
          <w:tcPr>
            <w:tcW w:w="1659" w:type="pct"/>
            <w:tcBorders>
              <w:top w:val="nil"/>
              <w:left w:val="nil"/>
              <w:bottom w:val="nil"/>
              <w:right w:val="nil"/>
            </w:tcBorders>
            <w:shd w:val="clear" w:color="auto" w:fill="auto"/>
            <w:noWrap/>
            <w:vAlign w:val="bottom"/>
            <w:hideMark/>
          </w:tcPr>
          <w:p w14:paraId="53EA454D" w14:textId="77777777" w:rsidR="0008500D" w:rsidRPr="00521799" w:rsidRDefault="0008500D" w:rsidP="0008500D">
            <w:pPr>
              <w:pStyle w:val="Brezrazmikov"/>
              <w:jc w:val="left"/>
            </w:pPr>
            <w:r w:rsidRPr="00521799">
              <w:t xml:space="preserve">Stroški dela      </w:t>
            </w:r>
          </w:p>
        </w:tc>
        <w:tc>
          <w:tcPr>
            <w:tcW w:w="668" w:type="pct"/>
            <w:tcBorders>
              <w:top w:val="nil"/>
              <w:left w:val="nil"/>
              <w:bottom w:val="nil"/>
              <w:right w:val="nil"/>
            </w:tcBorders>
            <w:shd w:val="clear" w:color="auto" w:fill="auto"/>
            <w:noWrap/>
            <w:vAlign w:val="bottom"/>
            <w:hideMark/>
          </w:tcPr>
          <w:p w14:paraId="5D718C90" w14:textId="77777777" w:rsidR="0008500D" w:rsidRPr="00521799" w:rsidRDefault="0008500D" w:rsidP="0008500D">
            <w:pPr>
              <w:pStyle w:val="Brezrazmikov"/>
            </w:pPr>
            <w:r w:rsidRPr="00521799">
              <w:t>-251.513</w:t>
            </w:r>
          </w:p>
        </w:tc>
        <w:tc>
          <w:tcPr>
            <w:tcW w:w="668" w:type="pct"/>
            <w:tcBorders>
              <w:top w:val="nil"/>
              <w:left w:val="nil"/>
              <w:bottom w:val="nil"/>
              <w:right w:val="nil"/>
            </w:tcBorders>
            <w:shd w:val="clear" w:color="auto" w:fill="auto"/>
            <w:noWrap/>
            <w:vAlign w:val="bottom"/>
            <w:hideMark/>
          </w:tcPr>
          <w:p w14:paraId="682A583C" w14:textId="77777777" w:rsidR="0008500D" w:rsidRPr="00521799" w:rsidRDefault="0008500D" w:rsidP="0008500D">
            <w:pPr>
              <w:pStyle w:val="Brezrazmikov"/>
            </w:pPr>
            <w:r w:rsidRPr="00521799">
              <w:t>-248.738</w:t>
            </w:r>
          </w:p>
        </w:tc>
        <w:tc>
          <w:tcPr>
            <w:tcW w:w="668" w:type="pct"/>
            <w:tcBorders>
              <w:top w:val="nil"/>
              <w:left w:val="nil"/>
              <w:bottom w:val="nil"/>
              <w:right w:val="nil"/>
            </w:tcBorders>
            <w:shd w:val="clear" w:color="auto" w:fill="auto"/>
            <w:noWrap/>
            <w:vAlign w:val="bottom"/>
            <w:hideMark/>
          </w:tcPr>
          <w:p w14:paraId="3B87F387" w14:textId="77777777" w:rsidR="0008500D" w:rsidRPr="00160E85" w:rsidRDefault="0008500D" w:rsidP="0008500D">
            <w:pPr>
              <w:pStyle w:val="Brezrazmikov"/>
            </w:pPr>
            <w:r w:rsidRPr="00160E85">
              <w:t>-254.658</w:t>
            </w:r>
          </w:p>
        </w:tc>
        <w:tc>
          <w:tcPr>
            <w:tcW w:w="668" w:type="pct"/>
            <w:tcBorders>
              <w:top w:val="nil"/>
              <w:left w:val="nil"/>
              <w:bottom w:val="nil"/>
              <w:right w:val="nil"/>
            </w:tcBorders>
            <w:shd w:val="clear" w:color="auto" w:fill="auto"/>
            <w:noWrap/>
            <w:vAlign w:val="bottom"/>
            <w:hideMark/>
          </w:tcPr>
          <w:p w14:paraId="699653F0" w14:textId="77777777" w:rsidR="0008500D" w:rsidRPr="00160E85" w:rsidRDefault="0008500D" w:rsidP="0008500D">
            <w:pPr>
              <w:pStyle w:val="Brezrazmikov"/>
            </w:pPr>
            <w:r w:rsidRPr="00160E85">
              <w:t>-258.397</w:t>
            </w:r>
          </w:p>
        </w:tc>
        <w:tc>
          <w:tcPr>
            <w:tcW w:w="669" w:type="pct"/>
            <w:tcBorders>
              <w:top w:val="nil"/>
              <w:left w:val="nil"/>
              <w:bottom w:val="nil"/>
              <w:right w:val="nil"/>
            </w:tcBorders>
            <w:shd w:val="clear" w:color="auto" w:fill="auto"/>
            <w:noWrap/>
            <w:vAlign w:val="bottom"/>
            <w:hideMark/>
          </w:tcPr>
          <w:p w14:paraId="471F0C7B" w14:textId="77777777" w:rsidR="0008500D" w:rsidRPr="00160E85" w:rsidRDefault="0008500D" w:rsidP="0008500D">
            <w:pPr>
              <w:pStyle w:val="Brezrazmikov"/>
            </w:pPr>
            <w:r w:rsidRPr="00160E85">
              <w:t>-261.001</w:t>
            </w:r>
          </w:p>
        </w:tc>
      </w:tr>
      <w:tr w:rsidR="0008500D" w:rsidRPr="00521799" w14:paraId="584AB7B5" w14:textId="77777777" w:rsidTr="007A6126">
        <w:trPr>
          <w:trHeight w:val="312"/>
        </w:trPr>
        <w:tc>
          <w:tcPr>
            <w:tcW w:w="1659" w:type="pct"/>
            <w:tcBorders>
              <w:top w:val="nil"/>
              <w:left w:val="nil"/>
              <w:bottom w:val="nil"/>
              <w:right w:val="nil"/>
            </w:tcBorders>
            <w:shd w:val="clear" w:color="auto" w:fill="auto"/>
            <w:noWrap/>
            <w:vAlign w:val="bottom"/>
            <w:hideMark/>
          </w:tcPr>
          <w:p w14:paraId="53926185" w14:textId="77777777" w:rsidR="0008500D" w:rsidRPr="00521799" w:rsidRDefault="0008500D" w:rsidP="0008500D">
            <w:pPr>
              <w:pStyle w:val="Brezrazmikov"/>
              <w:jc w:val="left"/>
            </w:pPr>
            <w:r w:rsidRPr="00521799">
              <w:t xml:space="preserve">Amortizacija       </w:t>
            </w:r>
          </w:p>
        </w:tc>
        <w:tc>
          <w:tcPr>
            <w:tcW w:w="668" w:type="pct"/>
            <w:tcBorders>
              <w:top w:val="nil"/>
              <w:left w:val="nil"/>
              <w:bottom w:val="nil"/>
              <w:right w:val="nil"/>
            </w:tcBorders>
            <w:shd w:val="clear" w:color="auto" w:fill="auto"/>
            <w:noWrap/>
            <w:vAlign w:val="bottom"/>
            <w:hideMark/>
          </w:tcPr>
          <w:p w14:paraId="31B41318" w14:textId="77777777" w:rsidR="0008500D" w:rsidRPr="00521799" w:rsidRDefault="0008500D" w:rsidP="0008500D">
            <w:pPr>
              <w:pStyle w:val="Brezrazmikov"/>
            </w:pPr>
            <w:r w:rsidRPr="00521799">
              <w:t>-54.552</w:t>
            </w:r>
          </w:p>
        </w:tc>
        <w:tc>
          <w:tcPr>
            <w:tcW w:w="668" w:type="pct"/>
            <w:tcBorders>
              <w:top w:val="nil"/>
              <w:left w:val="nil"/>
              <w:bottom w:val="nil"/>
              <w:right w:val="nil"/>
            </w:tcBorders>
            <w:shd w:val="clear" w:color="auto" w:fill="auto"/>
            <w:noWrap/>
            <w:vAlign w:val="bottom"/>
            <w:hideMark/>
          </w:tcPr>
          <w:p w14:paraId="644D4926" w14:textId="77777777" w:rsidR="0008500D" w:rsidRPr="00521799" w:rsidRDefault="0008500D" w:rsidP="0008500D">
            <w:pPr>
              <w:pStyle w:val="Brezrazmikov"/>
            </w:pPr>
            <w:r w:rsidRPr="00521799">
              <w:t>-54.004</w:t>
            </w:r>
          </w:p>
        </w:tc>
        <w:tc>
          <w:tcPr>
            <w:tcW w:w="668" w:type="pct"/>
            <w:tcBorders>
              <w:top w:val="nil"/>
              <w:left w:val="nil"/>
              <w:bottom w:val="nil"/>
              <w:right w:val="nil"/>
            </w:tcBorders>
            <w:shd w:val="clear" w:color="auto" w:fill="auto"/>
            <w:noWrap/>
            <w:vAlign w:val="bottom"/>
            <w:hideMark/>
          </w:tcPr>
          <w:p w14:paraId="03FC10F3" w14:textId="77777777" w:rsidR="0008500D" w:rsidRPr="00160E85" w:rsidRDefault="0008500D" w:rsidP="0008500D">
            <w:pPr>
              <w:pStyle w:val="Brezrazmikov"/>
            </w:pPr>
            <w:r w:rsidRPr="00160E85">
              <w:t>-51.452</w:t>
            </w:r>
          </w:p>
        </w:tc>
        <w:tc>
          <w:tcPr>
            <w:tcW w:w="668" w:type="pct"/>
            <w:tcBorders>
              <w:top w:val="nil"/>
              <w:left w:val="nil"/>
              <w:bottom w:val="nil"/>
              <w:right w:val="nil"/>
            </w:tcBorders>
            <w:shd w:val="clear" w:color="auto" w:fill="auto"/>
            <w:noWrap/>
            <w:vAlign w:val="bottom"/>
            <w:hideMark/>
          </w:tcPr>
          <w:p w14:paraId="7822DB18" w14:textId="77777777" w:rsidR="0008500D" w:rsidRPr="00160E85" w:rsidRDefault="0008500D" w:rsidP="0008500D">
            <w:pPr>
              <w:pStyle w:val="Brezrazmikov"/>
            </w:pPr>
            <w:r w:rsidRPr="00160E85">
              <w:t>-52.018</w:t>
            </w:r>
          </w:p>
        </w:tc>
        <w:tc>
          <w:tcPr>
            <w:tcW w:w="669" w:type="pct"/>
            <w:tcBorders>
              <w:top w:val="nil"/>
              <w:left w:val="nil"/>
              <w:bottom w:val="nil"/>
              <w:right w:val="nil"/>
            </w:tcBorders>
            <w:shd w:val="clear" w:color="auto" w:fill="auto"/>
            <w:noWrap/>
            <w:vAlign w:val="bottom"/>
            <w:hideMark/>
          </w:tcPr>
          <w:p w14:paraId="6C3C16FC" w14:textId="77777777" w:rsidR="0008500D" w:rsidRPr="00160E85" w:rsidRDefault="0008500D" w:rsidP="0008500D">
            <w:pPr>
              <w:pStyle w:val="Brezrazmikov"/>
            </w:pPr>
            <w:r w:rsidRPr="00160E85">
              <w:t>-52.465</w:t>
            </w:r>
          </w:p>
        </w:tc>
      </w:tr>
      <w:tr w:rsidR="0008500D" w:rsidRPr="00521799" w14:paraId="7E0E9E8E" w14:textId="77777777" w:rsidTr="007A6126">
        <w:trPr>
          <w:trHeight w:val="324"/>
        </w:trPr>
        <w:tc>
          <w:tcPr>
            <w:tcW w:w="1659" w:type="pct"/>
            <w:tcBorders>
              <w:top w:val="nil"/>
              <w:left w:val="nil"/>
              <w:right w:val="nil"/>
            </w:tcBorders>
            <w:shd w:val="clear" w:color="auto" w:fill="auto"/>
            <w:noWrap/>
            <w:vAlign w:val="bottom"/>
            <w:hideMark/>
          </w:tcPr>
          <w:p w14:paraId="457685D4" w14:textId="77777777" w:rsidR="0008500D" w:rsidRPr="00521799" w:rsidRDefault="0008500D" w:rsidP="0008500D">
            <w:pPr>
              <w:pStyle w:val="Brezrazmikov"/>
              <w:jc w:val="left"/>
            </w:pPr>
            <w:r w:rsidRPr="00521799">
              <w:t xml:space="preserve">Drugi poslovni odhodki     </w:t>
            </w:r>
          </w:p>
        </w:tc>
        <w:tc>
          <w:tcPr>
            <w:tcW w:w="668" w:type="pct"/>
            <w:tcBorders>
              <w:top w:val="nil"/>
              <w:left w:val="nil"/>
              <w:right w:val="nil"/>
            </w:tcBorders>
            <w:shd w:val="clear" w:color="auto" w:fill="auto"/>
            <w:noWrap/>
            <w:vAlign w:val="bottom"/>
            <w:hideMark/>
          </w:tcPr>
          <w:p w14:paraId="6EF8DF25" w14:textId="77777777" w:rsidR="0008500D" w:rsidRPr="00521799" w:rsidRDefault="0008500D" w:rsidP="0008500D">
            <w:pPr>
              <w:pStyle w:val="Brezrazmikov"/>
            </w:pPr>
            <w:r w:rsidRPr="00521799">
              <w:t>-24.616</w:t>
            </w:r>
          </w:p>
        </w:tc>
        <w:tc>
          <w:tcPr>
            <w:tcW w:w="668" w:type="pct"/>
            <w:tcBorders>
              <w:top w:val="nil"/>
              <w:left w:val="nil"/>
              <w:right w:val="nil"/>
            </w:tcBorders>
            <w:shd w:val="clear" w:color="auto" w:fill="auto"/>
            <w:noWrap/>
            <w:vAlign w:val="bottom"/>
            <w:hideMark/>
          </w:tcPr>
          <w:p w14:paraId="5C957312" w14:textId="77777777" w:rsidR="0008500D" w:rsidRPr="00521799" w:rsidRDefault="0008500D" w:rsidP="0008500D">
            <w:pPr>
              <w:pStyle w:val="Brezrazmikov"/>
            </w:pPr>
            <w:r w:rsidRPr="00521799">
              <w:t>-24.563</w:t>
            </w:r>
          </w:p>
        </w:tc>
        <w:tc>
          <w:tcPr>
            <w:tcW w:w="668" w:type="pct"/>
            <w:tcBorders>
              <w:top w:val="nil"/>
              <w:left w:val="nil"/>
              <w:right w:val="nil"/>
            </w:tcBorders>
            <w:shd w:val="clear" w:color="auto" w:fill="auto"/>
            <w:noWrap/>
            <w:vAlign w:val="bottom"/>
            <w:hideMark/>
          </w:tcPr>
          <w:p w14:paraId="6C6C5147" w14:textId="77777777" w:rsidR="0008500D" w:rsidRPr="00160E85" w:rsidRDefault="0008500D" w:rsidP="0008500D">
            <w:pPr>
              <w:pStyle w:val="Brezrazmikov"/>
            </w:pPr>
            <w:r w:rsidRPr="00160E85">
              <w:t>-25.221</w:t>
            </w:r>
          </w:p>
        </w:tc>
        <w:tc>
          <w:tcPr>
            <w:tcW w:w="668" w:type="pct"/>
            <w:tcBorders>
              <w:top w:val="nil"/>
              <w:left w:val="nil"/>
              <w:right w:val="nil"/>
            </w:tcBorders>
            <w:shd w:val="clear" w:color="auto" w:fill="auto"/>
            <w:noWrap/>
            <w:vAlign w:val="bottom"/>
            <w:hideMark/>
          </w:tcPr>
          <w:p w14:paraId="12770589" w14:textId="77777777" w:rsidR="0008500D" w:rsidRPr="00160E85" w:rsidRDefault="0008500D" w:rsidP="0008500D">
            <w:pPr>
              <w:pStyle w:val="Brezrazmikov"/>
            </w:pPr>
            <w:r w:rsidRPr="00160E85">
              <w:t>-25.571</w:t>
            </w:r>
          </w:p>
        </w:tc>
        <w:tc>
          <w:tcPr>
            <w:tcW w:w="669" w:type="pct"/>
            <w:tcBorders>
              <w:top w:val="nil"/>
              <w:left w:val="nil"/>
              <w:right w:val="nil"/>
            </w:tcBorders>
            <w:shd w:val="clear" w:color="auto" w:fill="auto"/>
            <w:noWrap/>
            <w:vAlign w:val="bottom"/>
            <w:hideMark/>
          </w:tcPr>
          <w:p w14:paraId="7B1C0C3E" w14:textId="77777777" w:rsidR="0008500D" w:rsidRPr="00160E85" w:rsidRDefault="0008500D" w:rsidP="0008500D">
            <w:pPr>
              <w:pStyle w:val="Brezrazmikov"/>
            </w:pPr>
            <w:r w:rsidRPr="00160E85">
              <w:t>-25.808</w:t>
            </w:r>
          </w:p>
        </w:tc>
      </w:tr>
      <w:tr w:rsidR="0008500D" w:rsidRPr="00521799" w14:paraId="267A6343" w14:textId="77777777" w:rsidTr="007A6126">
        <w:trPr>
          <w:trHeight w:val="324"/>
        </w:trPr>
        <w:tc>
          <w:tcPr>
            <w:tcW w:w="1659" w:type="pct"/>
            <w:tcBorders>
              <w:top w:val="nil"/>
              <w:left w:val="nil"/>
              <w:bottom w:val="single" w:sz="4" w:space="0" w:color="auto"/>
              <w:right w:val="nil"/>
            </w:tcBorders>
            <w:shd w:val="clear" w:color="auto" w:fill="auto"/>
            <w:noWrap/>
            <w:vAlign w:val="bottom"/>
            <w:hideMark/>
          </w:tcPr>
          <w:p w14:paraId="11E5AD7E" w14:textId="77777777" w:rsidR="0008500D" w:rsidRPr="00521799" w:rsidRDefault="0008500D" w:rsidP="0008500D">
            <w:pPr>
              <w:pStyle w:val="Brezrazmikov"/>
              <w:jc w:val="left"/>
            </w:pPr>
            <w:r w:rsidRPr="00521799">
              <w:t>% od kosmatega donosa</w:t>
            </w:r>
          </w:p>
        </w:tc>
        <w:tc>
          <w:tcPr>
            <w:tcW w:w="668" w:type="pct"/>
            <w:tcBorders>
              <w:top w:val="nil"/>
              <w:left w:val="nil"/>
              <w:bottom w:val="single" w:sz="4" w:space="0" w:color="auto"/>
              <w:right w:val="nil"/>
            </w:tcBorders>
            <w:shd w:val="clear" w:color="auto" w:fill="auto"/>
            <w:noWrap/>
            <w:vAlign w:val="bottom"/>
            <w:hideMark/>
          </w:tcPr>
          <w:p w14:paraId="333D70A6" w14:textId="77777777" w:rsidR="0008500D" w:rsidRPr="00521799" w:rsidRDefault="0008500D" w:rsidP="0008500D">
            <w:pPr>
              <w:pStyle w:val="Brezrazmikov"/>
            </w:pPr>
            <w:r w:rsidRPr="00521799">
              <w:t>-1,80%</w:t>
            </w:r>
          </w:p>
        </w:tc>
        <w:tc>
          <w:tcPr>
            <w:tcW w:w="668" w:type="pct"/>
            <w:tcBorders>
              <w:top w:val="nil"/>
              <w:left w:val="nil"/>
              <w:bottom w:val="single" w:sz="4" w:space="0" w:color="auto"/>
              <w:right w:val="nil"/>
            </w:tcBorders>
            <w:shd w:val="clear" w:color="auto" w:fill="auto"/>
            <w:noWrap/>
            <w:vAlign w:val="bottom"/>
            <w:hideMark/>
          </w:tcPr>
          <w:p w14:paraId="57175AC8" w14:textId="77777777" w:rsidR="0008500D" w:rsidRPr="00521799" w:rsidRDefault="0008500D" w:rsidP="0008500D">
            <w:pPr>
              <w:pStyle w:val="Brezrazmikov"/>
            </w:pPr>
            <w:r w:rsidRPr="00521799">
              <w:t>-1,80%</w:t>
            </w:r>
          </w:p>
        </w:tc>
        <w:tc>
          <w:tcPr>
            <w:tcW w:w="668" w:type="pct"/>
            <w:tcBorders>
              <w:top w:val="nil"/>
              <w:left w:val="nil"/>
              <w:bottom w:val="single" w:sz="4" w:space="0" w:color="auto"/>
              <w:right w:val="nil"/>
            </w:tcBorders>
            <w:shd w:val="clear" w:color="auto" w:fill="auto"/>
            <w:noWrap/>
            <w:vAlign w:val="bottom"/>
            <w:hideMark/>
          </w:tcPr>
          <w:p w14:paraId="360299A0" w14:textId="77777777" w:rsidR="0008500D" w:rsidRPr="00160E85" w:rsidRDefault="0008500D" w:rsidP="0008500D">
            <w:pPr>
              <w:pStyle w:val="Brezrazmikov"/>
            </w:pPr>
            <w:r w:rsidRPr="00160E85">
              <w:t>-1,80%</w:t>
            </w:r>
          </w:p>
        </w:tc>
        <w:tc>
          <w:tcPr>
            <w:tcW w:w="668" w:type="pct"/>
            <w:tcBorders>
              <w:top w:val="nil"/>
              <w:left w:val="nil"/>
              <w:bottom w:val="single" w:sz="4" w:space="0" w:color="auto"/>
              <w:right w:val="nil"/>
            </w:tcBorders>
            <w:shd w:val="clear" w:color="auto" w:fill="auto"/>
            <w:noWrap/>
            <w:vAlign w:val="bottom"/>
            <w:hideMark/>
          </w:tcPr>
          <w:p w14:paraId="1CCC6957" w14:textId="77777777" w:rsidR="0008500D" w:rsidRPr="00160E85" w:rsidRDefault="0008500D" w:rsidP="0008500D">
            <w:pPr>
              <w:pStyle w:val="Brezrazmikov"/>
            </w:pPr>
            <w:r w:rsidRPr="00160E85">
              <w:t>-1,80%</w:t>
            </w:r>
          </w:p>
        </w:tc>
        <w:tc>
          <w:tcPr>
            <w:tcW w:w="669" w:type="pct"/>
            <w:tcBorders>
              <w:top w:val="nil"/>
              <w:left w:val="nil"/>
              <w:bottom w:val="single" w:sz="4" w:space="0" w:color="auto"/>
              <w:right w:val="nil"/>
            </w:tcBorders>
            <w:shd w:val="clear" w:color="auto" w:fill="auto"/>
            <w:noWrap/>
            <w:vAlign w:val="bottom"/>
            <w:hideMark/>
          </w:tcPr>
          <w:p w14:paraId="68F1FCC1" w14:textId="77777777" w:rsidR="0008500D" w:rsidRPr="00160E85" w:rsidRDefault="0008500D" w:rsidP="0008500D">
            <w:pPr>
              <w:pStyle w:val="Brezrazmikov"/>
            </w:pPr>
            <w:r w:rsidRPr="00160E85">
              <w:t>-1,80%</w:t>
            </w:r>
          </w:p>
        </w:tc>
      </w:tr>
      <w:tr w:rsidR="0008500D" w:rsidRPr="00521799" w14:paraId="0A683BA9" w14:textId="77777777" w:rsidTr="007A6126">
        <w:trPr>
          <w:trHeight w:val="312"/>
        </w:trPr>
        <w:tc>
          <w:tcPr>
            <w:tcW w:w="1659" w:type="pct"/>
            <w:tcBorders>
              <w:top w:val="single" w:sz="4" w:space="0" w:color="auto"/>
              <w:left w:val="nil"/>
              <w:bottom w:val="single" w:sz="4" w:space="0" w:color="auto"/>
              <w:right w:val="nil"/>
            </w:tcBorders>
            <w:shd w:val="clear" w:color="auto" w:fill="auto"/>
            <w:noWrap/>
            <w:vAlign w:val="bottom"/>
            <w:hideMark/>
          </w:tcPr>
          <w:p w14:paraId="403ED170" w14:textId="77777777" w:rsidR="0008500D" w:rsidRPr="00521799" w:rsidRDefault="0008500D" w:rsidP="0008500D">
            <w:pPr>
              <w:pStyle w:val="Brezrazmikov"/>
              <w:jc w:val="left"/>
              <w:rPr>
                <w:b/>
                <w:bCs/>
              </w:rPr>
            </w:pPr>
            <w:r w:rsidRPr="00521799">
              <w:rPr>
                <w:b/>
                <w:bCs/>
              </w:rPr>
              <w:t>Stroški skupaj:</w:t>
            </w:r>
          </w:p>
        </w:tc>
        <w:tc>
          <w:tcPr>
            <w:tcW w:w="668" w:type="pct"/>
            <w:tcBorders>
              <w:top w:val="single" w:sz="4" w:space="0" w:color="auto"/>
              <w:left w:val="nil"/>
              <w:bottom w:val="single" w:sz="4" w:space="0" w:color="auto"/>
              <w:right w:val="nil"/>
            </w:tcBorders>
            <w:shd w:val="clear" w:color="auto" w:fill="auto"/>
            <w:noWrap/>
            <w:vAlign w:val="bottom"/>
            <w:hideMark/>
          </w:tcPr>
          <w:p w14:paraId="44F59632" w14:textId="77777777" w:rsidR="0008500D" w:rsidRPr="00521799" w:rsidRDefault="0008500D" w:rsidP="0008500D">
            <w:pPr>
              <w:pStyle w:val="Brezrazmikov"/>
              <w:rPr>
                <w:b/>
                <w:bCs/>
              </w:rPr>
            </w:pPr>
            <w:r w:rsidRPr="00521799">
              <w:rPr>
                <w:b/>
                <w:bCs/>
              </w:rPr>
              <w:t>-1.318.915</w:t>
            </w:r>
          </w:p>
        </w:tc>
        <w:tc>
          <w:tcPr>
            <w:tcW w:w="668" w:type="pct"/>
            <w:tcBorders>
              <w:top w:val="single" w:sz="4" w:space="0" w:color="auto"/>
              <w:left w:val="nil"/>
              <w:bottom w:val="single" w:sz="4" w:space="0" w:color="auto"/>
              <w:right w:val="nil"/>
            </w:tcBorders>
            <w:shd w:val="clear" w:color="auto" w:fill="auto"/>
            <w:noWrap/>
            <w:vAlign w:val="bottom"/>
            <w:hideMark/>
          </w:tcPr>
          <w:p w14:paraId="1C8FD435" w14:textId="77777777" w:rsidR="0008500D" w:rsidRPr="00521799" w:rsidRDefault="0008500D" w:rsidP="0008500D">
            <w:pPr>
              <w:pStyle w:val="Brezrazmikov"/>
              <w:rPr>
                <w:b/>
                <w:bCs/>
              </w:rPr>
            </w:pPr>
            <w:r w:rsidRPr="00521799">
              <w:rPr>
                <w:b/>
                <w:bCs/>
              </w:rPr>
              <w:t>-1.328.069</w:t>
            </w:r>
          </w:p>
        </w:tc>
        <w:tc>
          <w:tcPr>
            <w:tcW w:w="668" w:type="pct"/>
            <w:tcBorders>
              <w:top w:val="single" w:sz="4" w:space="0" w:color="auto"/>
              <w:left w:val="nil"/>
              <w:bottom w:val="single" w:sz="4" w:space="0" w:color="auto"/>
              <w:right w:val="nil"/>
            </w:tcBorders>
            <w:shd w:val="clear" w:color="auto" w:fill="auto"/>
            <w:noWrap/>
            <w:vAlign w:val="bottom"/>
            <w:hideMark/>
          </w:tcPr>
          <w:p w14:paraId="54CCB923" w14:textId="77777777" w:rsidR="0008500D" w:rsidRPr="00160E85" w:rsidRDefault="0008500D" w:rsidP="0008500D">
            <w:pPr>
              <w:pStyle w:val="Brezrazmikov"/>
              <w:rPr>
                <w:b/>
                <w:bCs/>
              </w:rPr>
            </w:pPr>
            <w:r w:rsidRPr="00160E85">
              <w:rPr>
                <w:b/>
                <w:bCs/>
              </w:rPr>
              <w:t>-1.343.104</w:t>
            </w:r>
          </w:p>
        </w:tc>
        <w:tc>
          <w:tcPr>
            <w:tcW w:w="668" w:type="pct"/>
            <w:tcBorders>
              <w:top w:val="single" w:sz="4" w:space="0" w:color="auto"/>
              <w:left w:val="nil"/>
              <w:bottom w:val="single" w:sz="4" w:space="0" w:color="auto"/>
              <w:right w:val="nil"/>
            </w:tcBorders>
            <w:shd w:val="clear" w:color="auto" w:fill="auto"/>
            <w:noWrap/>
            <w:vAlign w:val="bottom"/>
            <w:hideMark/>
          </w:tcPr>
          <w:p w14:paraId="4CE76348" w14:textId="77777777" w:rsidR="0008500D" w:rsidRPr="00160E85" w:rsidRDefault="0008500D" w:rsidP="0008500D">
            <w:pPr>
              <w:pStyle w:val="Brezrazmikov"/>
              <w:rPr>
                <w:b/>
                <w:bCs/>
              </w:rPr>
            </w:pPr>
            <w:r w:rsidRPr="00160E85">
              <w:rPr>
                <w:b/>
                <w:bCs/>
              </w:rPr>
              <w:t>-1.361.635</w:t>
            </w:r>
          </w:p>
        </w:tc>
        <w:tc>
          <w:tcPr>
            <w:tcW w:w="669" w:type="pct"/>
            <w:tcBorders>
              <w:top w:val="single" w:sz="4" w:space="0" w:color="auto"/>
              <w:left w:val="nil"/>
              <w:bottom w:val="single" w:sz="4" w:space="0" w:color="auto"/>
              <w:right w:val="nil"/>
            </w:tcBorders>
            <w:shd w:val="clear" w:color="auto" w:fill="auto"/>
            <w:noWrap/>
            <w:vAlign w:val="bottom"/>
            <w:hideMark/>
          </w:tcPr>
          <w:p w14:paraId="63D8ACC0" w14:textId="77777777" w:rsidR="0008500D" w:rsidRPr="00160E85" w:rsidRDefault="0008500D" w:rsidP="0008500D">
            <w:pPr>
              <w:pStyle w:val="Brezrazmikov"/>
              <w:rPr>
                <w:b/>
                <w:bCs/>
              </w:rPr>
            </w:pPr>
            <w:r w:rsidRPr="00160E85">
              <w:rPr>
                <w:b/>
                <w:bCs/>
              </w:rPr>
              <w:t>-1.375.180</w:t>
            </w:r>
          </w:p>
        </w:tc>
      </w:tr>
      <w:tr w:rsidR="0008500D" w:rsidRPr="00521799" w14:paraId="4DB8E49F" w14:textId="77777777" w:rsidTr="007A6126">
        <w:trPr>
          <w:trHeight w:val="312"/>
        </w:trPr>
        <w:tc>
          <w:tcPr>
            <w:tcW w:w="1659" w:type="pct"/>
            <w:tcBorders>
              <w:top w:val="single" w:sz="4" w:space="0" w:color="auto"/>
              <w:left w:val="nil"/>
              <w:bottom w:val="nil"/>
              <w:right w:val="nil"/>
            </w:tcBorders>
            <w:shd w:val="clear" w:color="auto" w:fill="auto"/>
            <w:noWrap/>
            <w:vAlign w:val="bottom"/>
            <w:hideMark/>
          </w:tcPr>
          <w:p w14:paraId="5BC58A2D" w14:textId="77777777" w:rsidR="0008500D" w:rsidRPr="00521799" w:rsidRDefault="0008500D" w:rsidP="0008500D">
            <w:pPr>
              <w:pStyle w:val="Brezrazmikov"/>
              <w:jc w:val="left"/>
            </w:pPr>
            <w:r w:rsidRPr="00521799">
              <w:t>% od kosmatega donosa</w:t>
            </w:r>
          </w:p>
        </w:tc>
        <w:tc>
          <w:tcPr>
            <w:tcW w:w="668" w:type="pct"/>
            <w:tcBorders>
              <w:top w:val="single" w:sz="4" w:space="0" w:color="auto"/>
              <w:left w:val="nil"/>
              <w:bottom w:val="nil"/>
              <w:right w:val="nil"/>
            </w:tcBorders>
            <w:shd w:val="clear" w:color="auto" w:fill="auto"/>
            <w:noWrap/>
            <w:vAlign w:val="bottom"/>
            <w:hideMark/>
          </w:tcPr>
          <w:p w14:paraId="4452BAA3" w14:textId="77777777" w:rsidR="0008500D" w:rsidRPr="00521799" w:rsidRDefault="0008500D" w:rsidP="0008500D">
            <w:pPr>
              <w:pStyle w:val="Brezrazmikov"/>
            </w:pPr>
            <w:r w:rsidRPr="00521799">
              <w:t>-99,30%</w:t>
            </w:r>
          </w:p>
        </w:tc>
        <w:tc>
          <w:tcPr>
            <w:tcW w:w="668" w:type="pct"/>
            <w:tcBorders>
              <w:top w:val="single" w:sz="4" w:space="0" w:color="auto"/>
              <w:left w:val="nil"/>
              <w:bottom w:val="nil"/>
              <w:right w:val="nil"/>
            </w:tcBorders>
            <w:shd w:val="clear" w:color="auto" w:fill="auto"/>
            <w:noWrap/>
            <w:vAlign w:val="bottom"/>
            <w:hideMark/>
          </w:tcPr>
          <w:p w14:paraId="34CED456" w14:textId="77777777" w:rsidR="0008500D" w:rsidRPr="00521799" w:rsidRDefault="0008500D" w:rsidP="0008500D">
            <w:pPr>
              <w:pStyle w:val="Brezrazmikov"/>
            </w:pPr>
            <w:r w:rsidRPr="00521799">
              <w:t>-98,80%</w:t>
            </w:r>
          </w:p>
        </w:tc>
        <w:tc>
          <w:tcPr>
            <w:tcW w:w="668" w:type="pct"/>
            <w:tcBorders>
              <w:top w:val="single" w:sz="4" w:space="0" w:color="auto"/>
              <w:left w:val="nil"/>
              <w:bottom w:val="nil"/>
              <w:right w:val="nil"/>
            </w:tcBorders>
            <w:shd w:val="clear" w:color="auto" w:fill="auto"/>
            <w:noWrap/>
            <w:vAlign w:val="bottom"/>
            <w:hideMark/>
          </w:tcPr>
          <w:p w14:paraId="7DB4A7E7" w14:textId="77777777" w:rsidR="0008500D" w:rsidRPr="00160E85" w:rsidRDefault="0008500D" w:rsidP="0008500D">
            <w:pPr>
              <w:pStyle w:val="Brezrazmikov"/>
            </w:pPr>
            <w:r w:rsidRPr="00160E85">
              <w:t>-98,83%</w:t>
            </w:r>
          </w:p>
        </w:tc>
        <w:tc>
          <w:tcPr>
            <w:tcW w:w="668" w:type="pct"/>
            <w:tcBorders>
              <w:top w:val="single" w:sz="4" w:space="0" w:color="auto"/>
              <w:left w:val="nil"/>
              <w:bottom w:val="nil"/>
              <w:right w:val="nil"/>
            </w:tcBorders>
            <w:shd w:val="clear" w:color="auto" w:fill="auto"/>
            <w:noWrap/>
            <w:vAlign w:val="bottom"/>
            <w:hideMark/>
          </w:tcPr>
          <w:p w14:paraId="169A3FC2" w14:textId="77777777" w:rsidR="0008500D" w:rsidRPr="00160E85" w:rsidRDefault="0008500D" w:rsidP="0008500D">
            <w:pPr>
              <w:pStyle w:val="Brezrazmikov"/>
            </w:pPr>
            <w:r w:rsidRPr="00160E85">
              <w:t>-99,10%</w:t>
            </w:r>
          </w:p>
        </w:tc>
        <w:tc>
          <w:tcPr>
            <w:tcW w:w="669" w:type="pct"/>
            <w:tcBorders>
              <w:top w:val="single" w:sz="4" w:space="0" w:color="auto"/>
              <w:left w:val="nil"/>
              <w:bottom w:val="nil"/>
              <w:right w:val="nil"/>
            </w:tcBorders>
            <w:shd w:val="clear" w:color="auto" w:fill="auto"/>
            <w:noWrap/>
            <w:vAlign w:val="bottom"/>
            <w:hideMark/>
          </w:tcPr>
          <w:p w14:paraId="368CAC40" w14:textId="77777777" w:rsidR="0008500D" w:rsidRPr="00160E85" w:rsidRDefault="0008500D" w:rsidP="0008500D">
            <w:pPr>
              <w:pStyle w:val="Brezrazmikov"/>
            </w:pPr>
            <w:r w:rsidRPr="00160E85">
              <w:t>-99,10%</w:t>
            </w:r>
          </w:p>
        </w:tc>
      </w:tr>
      <w:tr w:rsidR="0008500D" w:rsidRPr="00E41BC3" w14:paraId="63DA64FB" w14:textId="77777777" w:rsidTr="007A6126">
        <w:trPr>
          <w:trHeight w:val="324"/>
        </w:trPr>
        <w:tc>
          <w:tcPr>
            <w:tcW w:w="1659" w:type="pct"/>
            <w:tcBorders>
              <w:top w:val="nil"/>
              <w:left w:val="nil"/>
              <w:bottom w:val="nil"/>
              <w:right w:val="nil"/>
            </w:tcBorders>
            <w:shd w:val="clear" w:color="auto" w:fill="auto"/>
            <w:noWrap/>
            <w:vAlign w:val="bottom"/>
            <w:hideMark/>
          </w:tcPr>
          <w:p w14:paraId="49278BA4" w14:textId="77777777" w:rsidR="0008500D" w:rsidRPr="00E41BC3" w:rsidRDefault="0008500D" w:rsidP="0008500D">
            <w:pPr>
              <w:pStyle w:val="Brezrazmikov"/>
              <w:jc w:val="left"/>
              <w:rPr>
                <w:b/>
                <w:bCs/>
              </w:rPr>
            </w:pPr>
            <w:r w:rsidRPr="00E41BC3">
              <w:rPr>
                <w:b/>
                <w:bCs/>
              </w:rPr>
              <w:t xml:space="preserve">Poslovni izid iz poslovanja    </w:t>
            </w:r>
          </w:p>
        </w:tc>
        <w:tc>
          <w:tcPr>
            <w:tcW w:w="668" w:type="pct"/>
            <w:tcBorders>
              <w:top w:val="nil"/>
              <w:left w:val="nil"/>
              <w:bottom w:val="nil"/>
              <w:right w:val="nil"/>
            </w:tcBorders>
            <w:shd w:val="clear" w:color="auto" w:fill="auto"/>
            <w:noWrap/>
            <w:vAlign w:val="bottom"/>
            <w:hideMark/>
          </w:tcPr>
          <w:p w14:paraId="0D24F14A" w14:textId="77777777" w:rsidR="0008500D" w:rsidRPr="00E41BC3" w:rsidRDefault="0008500D" w:rsidP="0008500D">
            <w:pPr>
              <w:pStyle w:val="Brezrazmikov"/>
              <w:rPr>
                <w:b/>
                <w:bCs/>
              </w:rPr>
            </w:pPr>
            <w:r w:rsidRPr="00E41BC3">
              <w:rPr>
                <w:b/>
                <w:bCs/>
              </w:rPr>
              <w:t>48.645</w:t>
            </w:r>
          </w:p>
        </w:tc>
        <w:tc>
          <w:tcPr>
            <w:tcW w:w="668" w:type="pct"/>
            <w:tcBorders>
              <w:top w:val="nil"/>
              <w:left w:val="nil"/>
              <w:bottom w:val="nil"/>
              <w:right w:val="nil"/>
            </w:tcBorders>
            <w:shd w:val="clear" w:color="auto" w:fill="auto"/>
            <w:noWrap/>
            <w:vAlign w:val="bottom"/>
            <w:hideMark/>
          </w:tcPr>
          <w:p w14:paraId="5D496E23" w14:textId="77777777" w:rsidR="0008500D" w:rsidRPr="00E41BC3" w:rsidRDefault="0008500D" w:rsidP="0008500D">
            <w:pPr>
              <w:pStyle w:val="Brezrazmikov"/>
              <w:rPr>
                <w:b/>
                <w:bCs/>
              </w:rPr>
            </w:pPr>
            <w:r w:rsidRPr="00E41BC3">
              <w:rPr>
                <w:b/>
                <w:bCs/>
              </w:rPr>
              <w:t>36.546</w:t>
            </w:r>
          </w:p>
        </w:tc>
        <w:tc>
          <w:tcPr>
            <w:tcW w:w="668" w:type="pct"/>
            <w:tcBorders>
              <w:top w:val="nil"/>
              <w:left w:val="nil"/>
              <w:bottom w:val="nil"/>
              <w:right w:val="nil"/>
            </w:tcBorders>
            <w:shd w:val="clear" w:color="auto" w:fill="auto"/>
            <w:noWrap/>
            <w:vAlign w:val="bottom"/>
            <w:hideMark/>
          </w:tcPr>
          <w:p w14:paraId="65130EC7" w14:textId="77777777" w:rsidR="0008500D" w:rsidRPr="00160E85" w:rsidRDefault="0008500D" w:rsidP="0008500D">
            <w:pPr>
              <w:pStyle w:val="Brezrazmikov"/>
              <w:rPr>
                <w:b/>
                <w:bCs/>
              </w:rPr>
            </w:pPr>
            <w:r w:rsidRPr="00160E85">
              <w:rPr>
                <w:b/>
                <w:bCs/>
              </w:rPr>
              <w:t>58.085</w:t>
            </w:r>
          </w:p>
        </w:tc>
        <w:tc>
          <w:tcPr>
            <w:tcW w:w="668" w:type="pct"/>
            <w:tcBorders>
              <w:top w:val="nil"/>
              <w:left w:val="nil"/>
              <w:bottom w:val="nil"/>
              <w:right w:val="nil"/>
            </w:tcBorders>
            <w:shd w:val="clear" w:color="auto" w:fill="auto"/>
            <w:noWrap/>
            <w:vAlign w:val="bottom"/>
            <w:hideMark/>
          </w:tcPr>
          <w:p w14:paraId="272ACEDF" w14:textId="77777777" w:rsidR="0008500D" w:rsidRPr="00160E85" w:rsidRDefault="0008500D" w:rsidP="0008500D">
            <w:pPr>
              <w:pStyle w:val="Brezrazmikov"/>
              <w:rPr>
                <w:b/>
                <w:bCs/>
              </w:rPr>
            </w:pPr>
            <w:r w:rsidRPr="00160E85">
              <w:rPr>
                <w:b/>
                <w:bCs/>
              </w:rPr>
              <w:t>58.966</w:t>
            </w:r>
          </w:p>
        </w:tc>
        <w:tc>
          <w:tcPr>
            <w:tcW w:w="669" w:type="pct"/>
            <w:tcBorders>
              <w:top w:val="nil"/>
              <w:left w:val="nil"/>
              <w:bottom w:val="nil"/>
              <w:right w:val="nil"/>
            </w:tcBorders>
            <w:shd w:val="clear" w:color="auto" w:fill="auto"/>
            <w:noWrap/>
            <w:vAlign w:val="bottom"/>
            <w:hideMark/>
          </w:tcPr>
          <w:p w14:paraId="304F0E0A" w14:textId="77777777" w:rsidR="0008500D" w:rsidRPr="00160E85" w:rsidRDefault="0008500D" w:rsidP="0008500D">
            <w:pPr>
              <w:pStyle w:val="Brezrazmikov"/>
              <w:rPr>
                <w:b/>
                <w:bCs/>
              </w:rPr>
            </w:pPr>
            <w:r w:rsidRPr="00160E85">
              <w:rPr>
                <w:b/>
                <w:bCs/>
              </w:rPr>
              <w:t>58.570</w:t>
            </w:r>
          </w:p>
        </w:tc>
      </w:tr>
      <w:tr w:rsidR="0008500D" w:rsidRPr="00521799" w14:paraId="0434D7D8" w14:textId="77777777" w:rsidTr="007A6126">
        <w:trPr>
          <w:trHeight w:val="324"/>
        </w:trPr>
        <w:tc>
          <w:tcPr>
            <w:tcW w:w="1659" w:type="pct"/>
            <w:tcBorders>
              <w:top w:val="nil"/>
              <w:left w:val="nil"/>
              <w:right w:val="nil"/>
            </w:tcBorders>
            <w:shd w:val="clear" w:color="auto" w:fill="auto"/>
            <w:noWrap/>
            <w:vAlign w:val="bottom"/>
            <w:hideMark/>
          </w:tcPr>
          <w:p w14:paraId="4C60D8BC" w14:textId="77777777" w:rsidR="0008500D" w:rsidRPr="00521799" w:rsidRDefault="0008500D" w:rsidP="0008500D">
            <w:pPr>
              <w:pStyle w:val="Brezrazmikov"/>
              <w:jc w:val="left"/>
            </w:pPr>
            <w:r w:rsidRPr="00521799">
              <w:t xml:space="preserve">Finančni prihodki      </w:t>
            </w:r>
          </w:p>
        </w:tc>
        <w:tc>
          <w:tcPr>
            <w:tcW w:w="668" w:type="pct"/>
            <w:tcBorders>
              <w:top w:val="nil"/>
              <w:left w:val="nil"/>
              <w:right w:val="nil"/>
            </w:tcBorders>
            <w:shd w:val="clear" w:color="auto" w:fill="auto"/>
            <w:noWrap/>
            <w:vAlign w:val="bottom"/>
            <w:hideMark/>
          </w:tcPr>
          <w:p w14:paraId="3A677F30" w14:textId="77777777" w:rsidR="0008500D" w:rsidRPr="00521799" w:rsidRDefault="0008500D" w:rsidP="0008500D">
            <w:pPr>
              <w:pStyle w:val="Brezrazmikov"/>
            </w:pPr>
            <w:r w:rsidRPr="00521799">
              <w:t>4.513</w:t>
            </w:r>
          </w:p>
        </w:tc>
        <w:tc>
          <w:tcPr>
            <w:tcW w:w="668" w:type="pct"/>
            <w:tcBorders>
              <w:top w:val="nil"/>
              <w:left w:val="nil"/>
              <w:right w:val="nil"/>
            </w:tcBorders>
            <w:shd w:val="clear" w:color="auto" w:fill="auto"/>
            <w:noWrap/>
            <w:vAlign w:val="bottom"/>
            <w:hideMark/>
          </w:tcPr>
          <w:p w14:paraId="2F871494" w14:textId="77777777" w:rsidR="0008500D" w:rsidRPr="00521799" w:rsidRDefault="0008500D" w:rsidP="0008500D">
            <w:pPr>
              <w:pStyle w:val="Brezrazmikov"/>
            </w:pPr>
            <w:r w:rsidRPr="00521799">
              <w:t>5.049</w:t>
            </w:r>
          </w:p>
        </w:tc>
        <w:tc>
          <w:tcPr>
            <w:tcW w:w="668" w:type="pct"/>
            <w:tcBorders>
              <w:top w:val="nil"/>
              <w:left w:val="nil"/>
              <w:right w:val="nil"/>
            </w:tcBorders>
            <w:shd w:val="clear" w:color="auto" w:fill="auto"/>
            <w:noWrap/>
            <w:vAlign w:val="bottom"/>
            <w:hideMark/>
          </w:tcPr>
          <w:p w14:paraId="6C2D37D2" w14:textId="77777777" w:rsidR="0008500D" w:rsidRPr="00160E85" w:rsidRDefault="0008500D" w:rsidP="0008500D">
            <w:pPr>
              <w:pStyle w:val="Brezrazmikov"/>
            </w:pPr>
            <w:r w:rsidRPr="00160E85">
              <w:t>5.745</w:t>
            </w:r>
          </w:p>
        </w:tc>
        <w:tc>
          <w:tcPr>
            <w:tcW w:w="668" w:type="pct"/>
            <w:tcBorders>
              <w:top w:val="nil"/>
              <w:left w:val="nil"/>
              <w:right w:val="nil"/>
            </w:tcBorders>
            <w:shd w:val="clear" w:color="auto" w:fill="auto"/>
            <w:noWrap/>
            <w:vAlign w:val="bottom"/>
            <w:hideMark/>
          </w:tcPr>
          <w:p w14:paraId="1DC36D20" w14:textId="77777777" w:rsidR="0008500D" w:rsidRPr="00160E85" w:rsidRDefault="0008500D" w:rsidP="0008500D">
            <w:pPr>
              <w:pStyle w:val="Brezrazmikov"/>
            </w:pPr>
            <w:r w:rsidRPr="00160E85">
              <w:t>5.824</w:t>
            </w:r>
          </w:p>
        </w:tc>
        <w:tc>
          <w:tcPr>
            <w:tcW w:w="669" w:type="pct"/>
            <w:tcBorders>
              <w:top w:val="nil"/>
              <w:left w:val="nil"/>
              <w:right w:val="nil"/>
            </w:tcBorders>
            <w:shd w:val="clear" w:color="auto" w:fill="auto"/>
            <w:noWrap/>
            <w:vAlign w:val="bottom"/>
            <w:hideMark/>
          </w:tcPr>
          <w:p w14:paraId="6D3E2596" w14:textId="77777777" w:rsidR="0008500D" w:rsidRPr="00160E85" w:rsidRDefault="0008500D" w:rsidP="0008500D">
            <w:pPr>
              <w:pStyle w:val="Brezrazmikov"/>
            </w:pPr>
            <w:r w:rsidRPr="00160E85">
              <w:t>5.878</w:t>
            </w:r>
          </w:p>
        </w:tc>
      </w:tr>
      <w:tr w:rsidR="0008500D" w:rsidRPr="00521799" w14:paraId="32349F6F" w14:textId="77777777" w:rsidTr="007A6126">
        <w:trPr>
          <w:trHeight w:val="324"/>
        </w:trPr>
        <w:tc>
          <w:tcPr>
            <w:tcW w:w="1659" w:type="pct"/>
            <w:tcBorders>
              <w:top w:val="nil"/>
              <w:left w:val="nil"/>
              <w:bottom w:val="single" w:sz="4" w:space="0" w:color="auto"/>
              <w:right w:val="nil"/>
            </w:tcBorders>
            <w:shd w:val="clear" w:color="auto" w:fill="auto"/>
            <w:noWrap/>
            <w:vAlign w:val="bottom"/>
            <w:hideMark/>
          </w:tcPr>
          <w:p w14:paraId="7A491FC1" w14:textId="77777777" w:rsidR="0008500D" w:rsidRPr="00521799" w:rsidRDefault="0008500D" w:rsidP="0008500D">
            <w:pPr>
              <w:pStyle w:val="Brezrazmikov"/>
              <w:jc w:val="left"/>
            </w:pPr>
            <w:r w:rsidRPr="00521799">
              <w:t xml:space="preserve">Finančni odhodki      </w:t>
            </w:r>
          </w:p>
        </w:tc>
        <w:tc>
          <w:tcPr>
            <w:tcW w:w="668" w:type="pct"/>
            <w:tcBorders>
              <w:top w:val="nil"/>
              <w:left w:val="nil"/>
              <w:bottom w:val="single" w:sz="4" w:space="0" w:color="auto"/>
              <w:right w:val="nil"/>
            </w:tcBorders>
            <w:shd w:val="clear" w:color="auto" w:fill="auto"/>
            <w:noWrap/>
            <w:vAlign w:val="bottom"/>
            <w:hideMark/>
          </w:tcPr>
          <w:p w14:paraId="62542858" w14:textId="77777777" w:rsidR="0008500D" w:rsidRPr="00521799" w:rsidRDefault="0008500D" w:rsidP="0008500D">
            <w:pPr>
              <w:pStyle w:val="Brezrazmikov"/>
            </w:pPr>
            <w:r w:rsidRPr="00521799">
              <w:t>-21.197</w:t>
            </w:r>
          </w:p>
        </w:tc>
        <w:tc>
          <w:tcPr>
            <w:tcW w:w="668" w:type="pct"/>
            <w:tcBorders>
              <w:top w:val="nil"/>
              <w:left w:val="nil"/>
              <w:bottom w:val="single" w:sz="4" w:space="0" w:color="auto"/>
              <w:right w:val="nil"/>
            </w:tcBorders>
            <w:shd w:val="clear" w:color="auto" w:fill="auto"/>
            <w:noWrap/>
            <w:vAlign w:val="bottom"/>
            <w:hideMark/>
          </w:tcPr>
          <w:p w14:paraId="519CB446" w14:textId="77777777" w:rsidR="0008500D" w:rsidRPr="00521799" w:rsidRDefault="0008500D" w:rsidP="0008500D">
            <w:pPr>
              <w:pStyle w:val="Brezrazmikov"/>
            </w:pPr>
            <w:r w:rsidRPr="00521799">
              <w:t>-20.469</w:t>
            </w:r>
          </w:p>
        </w:tc>
        <w:tc>
          <w:tcPr>
            <w:tcW w:w="668" w:type="pct"/>
            <w:tcBorders>
              <w:top w:val="nil"/>
              <w:left w:val="nil"/>
              <w:bottom w:val="single" w:sz="4" w:space="0" w:color="auto"/>
              <w:right w:val="nil"/>
            </w:tcBorders>
            <w:shd w:val="clear" w:color="auto" w:fill="auto"/>
            <w:noWrap/>
            <w:vAlign w:val="bottom"/>
            <w:hideMark/>
          </w:tcPr>
          <w:p w14:paraId="03BCC863" w14:textId="77777777" w:rsidR="0008500D" w:rsidRPr="00160E85" w:rsidRDefault="0008500D" w:rsidP="0008500D">
            <w:pPr>
              <w:pStyle w:val="Brezrazmikov"/>
            </w:pPr>
            <w:r w:rsidRPr="00160E85">
              <w:t>-21.999</w:t>
            </w:r>
          </w:p>
        </w:tc>
        <w:tc>
          <w:tcPr>
            <w:tcW w:w="668" w:type="pct"/>
            <w:tcBorders>
              <w:top w:val="nil"/>
              <w:left w:val="nil"/>
              <w:bottom w:val="single" w:sz="4" w:space="0" w:color="auto"/>
              <w:right w:val="nil"/>
            </w:tcBorders>
            <w:shd w:val="clear" w:color="auto" w:fill="auto"/>
            <w:noWrap/>
            <w:vAlign w:val="bottom"/>
            <w:hideMark/>
          </w:tcPr>
          <w:p w14:paraId="7C60211A" w14:textId="77777777" w:rsidR="0008500D" w:rsidRPr="00160E85" w:rsidRDefault="0008500D" w:rsidP="0008500D">
            <w:pPr>
              <w:pStyle w:val="Brezrazmikov"/>
            </w:pPr>
            <w:r w:rsidRPr="00160E85">
              <w:t>-22.730</w:t>
            </w:r>
          </w:p>
        </w:tc>
        <w:tc>
          <w:tcPr>
            <w:tcW w:w="669" w:type="pct"/>
            <w:tcBorders>
              <w:top w:val="nil"/>
              <w:left w:val="nil"/>
              <w:bottom w:val="single" w:sz="4" w:space="0" w:color="auto"/>
              <w:right w:val="nil"/>
            </w:tcBorders>
            <w:shd w:val="clear" w:color="auto" w:fill="auto"/>
            <w:noWrap/>
            <w:vAlign w:val="bottom"/>
            <w:hideMark/>
          </w:tcPr>
          <w:p w14:paraId="0EE2E9EB" w14:textId="77777777" w:rsidR="0008500D" w:rsidRPr="00160E85" w:rsidRDefault="0008500D" w:rsidP="0008500D">
            <w:pPr>
              <w:pStyle w:val="Brezrazmikov"/>
            </w:pPr>
            <w:r w:rsidRPr="00160E85">
              <w:t>-22.940</w:t>
            </w:r>
          </w:p>
        </w:tc>
      </w:tr>
      <w:tr w:rsidR="0008500D" w:rsidRPr="00521799" w14:paraId="5AE07136" w14:textId="77777777" w:rsidTr="007A6126">
        <w:trPr>
          <w:trHeight w:val="324"/>
        </w:trPr>
        <w:tc>
          <w:tcPr>
            <w:tcW w:w="1659" w:type="pct"/>
            <w:tcBorders>
              <w:top w:val="single" w:sz="4" w:space="0" w:color="auto"/>
              <w:left w:val="nil"/>
              <w:bottom w:val="single" w:sz="4" w:space="0" w:color="auto"/>
              <w:right w:val="nil"/>
            </w:tcBorders>
            <w:shd w:val="clear" w:color="auto" w:fill="auto"/>
            <w:noWrap/>
            <w:vAlign w:val="bottom"/>
            <w:hideMark/>
          </w:tcPr>
          <w:p w14:paraId="27D52E9B" w14:textId="77777777" w:rsidR="0008500D" w:rsidRPr="00521799" w:rsidRDefault="0008500D" w:rsidP="0008500D">
            <w:pPr>
              <w:pStyle w:val="Brezrazmikov"/>
              <w:jc w:val="left"/>
            </w:pPr>
            <w:r w:rsidRPr="00521799">
              <w:t>Neto finančni odhodki</w:t>
            </w:r>
          </w:p>
        </w:tc>
        <w:tc>
          <w:tcPr>
            <w:tcW w:w="668" w:type="pct"/>
            <w:tcBorders>
              <w:top w:val="single" w:sz="4" w:space="0" w:color="auto"/>
              <w:left w:val="nil"/>
              <w:bottom w:val="single" w:sz="4" w:space="0" w:color="auto"/>
              <w:right w:val="nil"/>
            </w:tcBorders>
            <w:shd w:val="clear" w:color="auto" w:fill="auto"/>
            <w:noWrap/>
            <w:vAlign w:val="bottom"/>
            <w:hideMark/>
          </w:tcPr>
          <w:p w14:paraId="3869BC83" w14:textId="77777777" w:rsidR="0008500D" w:rsidRPr="00521799" w:rsidRDefault="0008500D" w:rsidP="0008500D">
            <w:pPr>
              <w:pStyle w:val="Brezrazmikov"/>
            </w:pPr>
            <w:r w:rsidRPr="00521799">
              <w:t>-16.684</w:t>
            </w:r>
          </w:p>
        </w:tc>
        <w:tc>
          <w:tcPr>
            <w:tcW w:w="668" w:type="pct"/>
            <w:tcBorders>
              <w:top w:val="single" w:sz="4" w:space="0" w:color="auto"/>
              <w:left w:val="nil"/>
              <w:bottom w:val="single" w:sz="4" w:space="0" w:color="auto"/>
              <w:right w:val="nil"/>
            </w:tcBorders>
            <w:shd w:val="clear" w:color="auto" w:fill="auto"/>
            <w:noWrap/>
            <w:vAlign w:val="bottom"/>
            <w:hideMark/>
          </w:tcPr>
          <w:p w14:paraId="4B71BD03" w14:textId="77777777" w:rsidR="0008500D" w:rsidRPr="00521799" w:rsidRDefault="0008500D" w:rsidP="0008500D">
            <w:pPr>
              <w:pStyle w:val="Brezrazmikov"/>
            </w:pPr>
            <w:r w:rsidRPr="00521799">
              <w:t>-15.420</w:t>
            </w:r>
          </w:p>
        </w:tc>
        <w:tc>
          <w:tcPr>
            <w:tcW w:w="668" w:type="pct"/>
            <w:tcBorders>
              <w:top w:val="single" w:sz="4" w:space="0" w:color="auto"/>
              <w:left w:val="nil"/>
              <w:bottom w:val="single" w:sz="4" w:space="0" w:color="auto"/>
              <w:right w:val="nil"/>
            </w:tcBorders>
            <w:shd w:val="clear" w:color="auto" w:fill="auto"/>
            <w:noWrap/>
            <w:vAlign w:val="bottom"/>
            <w:hideMark/>
          </w:tcPr>
          <w:p w14:paraId="656D0A9B" w14:textId="77777777" w:rsidR="0008500D" w:rsidRPr="00160E85" w:rsidRDefault="0008500D" w:rsidP="0008500D">
            <w:pPr>
              <w:pStyle w:val="Brezrazmikov"/>
            </w:pPr>
            <w:r w:rsidRPr="00160E85">
              <w:t>-16.254</w:t>
            </w:r>
          </w:p>
        </w:tc>
        <w:tc>
          <w:tcPr>
            <w:tcW w:w="668" w:type="pct"/>
            <w:tcBorders>
              <w:top w:val="single" w:sz="4" w:space="0" w:color="auto"/>
              <w:left w:val="nil"/>
              <w:bottom w:val="single" w:sz="4" w:space="0" w:color="auto"/>
              <w:right w:val="nil"/>
            </w:tcBorders>
            <w:shd w:val="clear" w:color="auto" w:fill="auto"/>
            <w:noWrap/>
            <w:vAlign w:val="bottom"/>
            <w:hideMark/>
          </w:tcPr>
          <w:p w14:paraId="233CD971" w14:textId="77777777" w:rsidR="0008500D" w:rsidRPr="00160E85" w:rsidRDefault="0008500D" w:rsidP="0008500D">
            <w:pPr>
              <w:pStyle w:val="Brezrazmikov"/>
            </w:pPr>
            <w:r w:rsidRPr="00160E85">
              <w:t>-16.905</w:t>
            </w:r>
          </w:p>
        </w:tc>
        <w:tc>
          <w:tcPr>
            <w:tcW w:w="669" w:type="pct"/>
            <w:tcBorders>
              <w:top w:val="single" w:sz="4" w:space="0" w:color="auto"/>
              <w:left w:val="nil"/>
              <w:bottom w:val="single" w:sz="4" w:space="0" w:color="auto"/>
              <w:right w:val="nil"/>
            </w:tcBorders>
            <w:shd w:val="clear" w:color="auto" w:fill="auto"/>
            <w:noWrap/>
            <w:vAlign w:val="bottom"/>
            <w:hideMark/>
          </w:tcPr>
          <w:p w14:paraId="706E8490" w14:textId="77777777" w:rsidR="0008500D" w:rsidRPr="00160E85" w:rsidRDefault="0008500D" w:rsidP="0008500D">
            <w:pPr>
              <w:pStyle w:val="Brezrazmikov"/>
            </w:pPr>
            <w:r w:rsidRPr="00160E85">
              <w:t>-17.062</w:t>
            </w:r>
          </w:p>
        </w:tc>
      </w:tr>
      <w:tr w:rsidR="0008500D" w:rsidRPr="00E41BC3" w14:paraId="5EFF0817" w14:textId="77777777" w:rsidTr="007A6126">
        <w:trPr>
          <w:trHeight w:val="312"/>
        </w:trPr>
        <w:tc>
          <w:tcPr>
            <w:tcW w:w="1659" w:type="pct"/>
            <w:tcBorders>
              <w:top w:val="single" w:sz="4" w:space="0" w:color="auto"/>
              <w:left w:val="nil"/>
              <w:bottom w:val="single" w:sz="4" w:space="0" w:color="auto"/>
              <w:right w:val="nil"/>
            </w:tcBorders>
            <w:shd w:val="clear" w:color="auto" w:fill="auto"/>
            <w:noWrap/>
            <w:vAlign w:val="bottom"/>
            <w:hideMark/>
          </w:tcPr>
          <w:p w14:paraId="6F6409D8" w14:textId="77777777" w:rsidR="0008500D" w:rsidRPr="00E41BC3" w:rsidRDefault="0008500D" w:rsidP="0008500D">
            <w:pPr>
              <w:pStyle w:val="Brezrazmikov"/>
              <w:jc w:val="left"/>
              <w:rPr>
                <w:b/>
                <w:bCs/>
              </w:rPr>
            </w:pPr>
            <w:r w:rsidRPr="00E41BC3">
              <w:rPr>
                <w:b/>
                <w:bCs/>
              </w:rPr>
              <w:t xml:space="preserve">Poslovni izid pred davki </w:t>
            </w:r>
          </w:p>
        </w:tc>
        <w:tc>
          <w:tcPr>
            <w:tcW w:w="668" w:type="pct"/>
            <w:tcBorders>
              <w:top w:val="single" w:sz="4" w:space="0" w:color="auto"/>
              <w:left w:val="nil"/>
              <w:bottom w:val="single" w:sz="4" w:space="0" w:color="auto"/>
              <w:right w:val="nil"/>
            </w:tcBorders>
            <w:shd w:val="clear" w:color="auto" w:fill="auto"/>
            <w:noWrap/>
            <w:vAlign w:val="bottom"/>
            <w:hideMark/>
          </w:tcPr>
          <w:p w14:paraId="6BDA8C84" w14:textId="77777777" w:rsidR="0008500D" w:rsidRPr="00E41BC3" w:rsidRDefault="0008500D" w:rsidP="0008500D">
            <w:pPr>
              <w:pStyle w:val="Brezrazmikov"/>
              <w:rPr>
                <w:b/>
                <w:bCs/>
              </w:rPr>
            </w:pPr>
            <w:r w:rsidRPr="00E41BC3">
              <w:rPr>
                <w:b/>
                <w:bCs/>
              </w:rPr>
              <w:t>31.961</w:t>
            </w:r>
          </w:p>
        </w:tc>
        <w:tc>
          <w:tcPr>
            <w:tcW w:w="668" w:type="pct"/>
            <w:tcBorders>
              <w:top w:val="single" w:sz="4" w:space="0" w:color="auto"/>
              <w:left w:val="nil"/>
              <w:bottom w:val="single" w:sz="4" w:space="0" w:color="auto"/>
              <w:right w:val="nil"/>
            </w:tcBorders>
            <w:shd w:val="clear" w:color="auto" w:fill="auto"/>
            <w:noWrap/>
            <w:vAlign w:val="bottom"/>
            <w:hideMark/>
          </w:tcPr>
          <w:p w14:paraId="3A4D9745" w14:textId="77777777" w:rsidR="0008500D" w:rsidRPr="00E41BC3" w:rsidRDefault="0008500D" w:rsidP="0008500D">
            <w:pPr>
              <w:pStyle w:val="Brezrazmikov"/>
              <w:rPr>
                <w:b/>
                <w:bCs/>
              </w:rPr>
            </w:pPr>
            <w:r w:rsidRPr="00E41BC3">
              <w:rPr>
                <w:b/>
                <w:bCs/>
              </w:rPr>
              <w:t>21.126</w:t>
            </w:r>
          </w:p>
        </w:tc>
        <w:tc>
          <w:tcPr>
            <w:tcW w:w="668" w:type="pct"/>
            <w:tcBorders>
              <w:top w:val="single" w:sz="4" w:space="0" w:color="auto"/>
              <w:left w:val="nil"/>
              <w:bottom w:val="single" w:sz="4" w:space="0" w:color="auto"/>
              <w:right w:val="nil"/>
            </w:tcBorders>
            <w:shd w:val="clear" w:color="auto" w:fill="auto"/>
            <w:noWrap/>
            <w:vAlign w:val="bottom"/>
            <w:hideMark/>
          </w:tcPr>
          <w:p w14:paraId="4DB0FA86" w14:textId="77777777" w:rsidR="0008500D" w:rsidRPr="00160E85" w:rsidRDefault="0008500D" w:rsidP="0008500D">
            <w:pPr>
              <w:pStyle w:val="Brezrazmikov"/>
              <w:rPr>
                <w:b/>
                <w:bCs/>
              </w:rPr>
            </w:pPr>
            <w:r w:rsidRPr="00160E85">
              <w:rPr>
                <w:b/>
                <w:bCs/>
              </w:rPr>
              <w:t>41.831</w:t>
            </w:r>
          </w:p>
        </w:tc>
        <w:tc>
          <w:tcPr>
            <w:tcW w:w="668" w:type="pct"/>
            <w:tcBorders>
              <w:top w:val="single" w:sz="4" w:space="0" w:color="auto"/>
              <w:left w:val="nil"/>
              <w:bottom w:val="single" w:sz="4" w:space="0" w:color="auto"/>
              <w:right w:val="nil"/>
            </w:tcBorders>
            <w:shd w:val="clear" w:color="auto" w:fill="auto"/>
            <w:noWrap/>
            <w:vAlign w:val="bottom"/>
            <w:hideMark/>
          </w:tcPr>
          <w:p w14:paraId="1987B2F6" w14:textId="77777777" w:rsidR="0008500D" w:rsidRPr="00160E85" w:rsidRDefault="0008500D" w:rsidP="0008500D">
            <w:pPr>
              <w:pStyle w:val="Brezrazmikov"/>
              <w:rPr>
                <w:b/>
                <w:bCs/>
              </w:rPr>
            </w:pPr>
            <w:r w:rsidRPr="00160E85">
              <w:rPr>
                <w:b/>
                <w:bCs/>
              </w:rPr>
              <w:t>42.061</w:t>
            </w:r>
          </w:p>
        </w:tc>
        <w:tc>
          <w:tcPr>
            <w:tcW w:w="669" w:type="pct"/>
            <w:tcBorders>
              <w:top w:val="single" w:sz="4" w:space="0" w:color="auto"/>
              <w:left w:val="nil"/>
              <w:bottom w:val="single" w:sz="4" w:space="0" w:color="auto"/>
              <w:right w:val="nil"/>
            </w:tcBorders>
            <w:shd w:val="clear" w:color="auto" w:fill="auto"/>
            <w:noWrap/>
            <w:vAlign w:val="bottom"/>
            <w:hideMark/>
          </w:tcPr>
          <w:p w14:paraId="05E93766" w14:textId="77777777" w:rsidR="0008500D" w:rsidRPr="00160E85" w:rsidRDefault="0008500D" w:rsidP="0008500D">
            <w:pPr>
              <w:pStyle w:val="Brezrazmikov"/>
              <w:rPr>
                <w:b/>
                <w:bCs/>
              </w:rPr>
            </w:pPr>
            <w:r w:rsidRPr="00160E85">
              <w:rPr>
                <w:b/>
                <w:bCs/>
              </w:rPr>
              <w:t>41.508</w:t>
            </w:r>
          </w:p>
        </w:tc>
      </w:tr>
      <w:tr w:rsidR="0008500D" w:rsidRPr="00521799" w14:paraId="390A4A2D" w14:textId="77777777" w:rsidTr="007A6126">
        <w:trPr>
          <w:trHeight w:val="312"/>
        </w:trPr>
        <w:tc>
          <w:tcPr>
            <w:tcW w:w="1659" w:type="pct"/>
            <w:tcBorders>
              <w:top w:val="single" w:sz="4" w:space="0" w:color="auto"/>
              <w:left w:val="nil"/>
              <w:bottom w:val="nil"/>
              <w:right w:val="nil"/>
            </w:tcBorders>
            <w:shd w:val="clear" w:color="auto" w:fill="auto"/>
            <w:noWrap/>
            <w:vAlign w:val="bottom"/>
            <w:hideMark/>
          </w:tcPr>
          <w:p w14:paraId="78E6317E" w14:textId="77777777" w:rsidR="0008500D" w:rsidRPr="00521799" w:rsidRDefault="0008500D" w:rsidP="0008500D">
            <w:pPr>
              <w:pStyle w:val="Brezrazmikov"/>
              <w:jc w:val="left"/>
            </w:pPr>
            <w:r w:rsidRPr="00521799">
              <w:t>Rast v %</w:t>
            </w:r>
          </w:p>
        </w:tc>
        <w:tc>
          <w:tcPr>
            <w:tcW w:w="668" w:type="pct"/>
            <w:tcBorders>
              <w:top w:val="single" w:sz="4" w:space="0" w:color="auto"/>
              <w:left w:val="nil"/>
              <w:bottom w:val="nil"/>
              <w:right w:val="nil"/>
            </w:tcBorders>
            <w:shd w:val="clear" w:color="auto" w:fill="auto"/>
            <w:noWrap/>
            <w:vAlign w:val="bottom"/>
            <w:hideMark/>
          </w:tcPr>
          <w:p w14:paraId="3205B87E" w14:textId="77777777" w:rsidR="0008500D" w:rsidRPr="00521799" w:rsidRDefault="0008500D" w:rsidP="0008500D">
            <w:pPr>
              <w:pStyle w:val="Brezrazmikov"/>
            </w:pPr>
            <w:r w:rsidRPr="00521799">
              <w:t>612,30%</w:t>
            </w:r>
          </w:p>
        </w:tc>
        <w:tc>
          <w:tcPr>
            <w:tcW w:w="668" w:type="pct"/>
            <w:tcBorders>
              <w:top w:val="single" w:sz="4" w:space="0" w:color="auto"/>
              <w:left w:val="nil"/>
              <w:bottom w:val="nil"/>
              <w:right w:val="nil"/>
            </w:tcBorders>
            <w:shd w:val="clear" w:color="auto" w:fill="auto"/>
            <w:noWrap/>
            <w:vAlign w:val="bottom"/>
            <w:hideMark/>
          </w:tcPr>
          <w:p w14:paraId="20838E38" w14:textId="77777777" w:rsidR="0008500D" w:rsidRPr="00521799" w:rsidRDefault="0008500D" w:rsidP="0008500D">
            <w:pPr>
              <w:pStyle w:val="Brezrazmikov"/>
            </w:pPr>
            <w:r w:rsidRPr="00521799">
              <w:t>-33,90%</w:t>
            </w:r>
          </w:p>
        </w:tc>
        <w:tc>
          <w:tcPr>
            <w:tcW w:w="668" w:type="pct"/>
            <w:tcBorders>
              <w:top w:val="single" w:sz="4" w:space="0" w:color="auto"/>
              <w:left w:val="nil"/>
              <w:bottom w:val="nil"/>
              <w:right w:val="nil"/>
            </w:tcBorders>
            <w:shd w:val="clear" w:color="auto" w:fill="auto"/>
            <w:noWrap/>
            <w:vAlign w:val="bottom"/>
            <w:hideMark/>
          </w:tcPr>
          <w:p w14:paraId="71F3C904" w14:textId="77777777" w:rsidR="0008500D" w:rsidRPr="00160E85" w:rsidRDefault="0008500D" w:rsidP="0008500D">
            <w:pPr>
              <w:pStyle w:val="Brezrazmikov"/>
            </w:pPr>
            <w:r w:rsidRPr="00160E85">
              <w:t>98,01%</w:t>
            </w:r>
          </w:p>
        </w:tc>
        <w:tc>
          <w:tcPr>
            <w:tcW w:w="668" w:type="pct"/>
            <w:tcBorders>
              <w:top w:val="single" w:sz="4" w:space="0" w:color="auto"/>
              <w:left w:val="nil"/>
              <w:bottom w:val="nil"/>
              <w:right w:val="nil"/>
            </w:tcBorders>
            <w:shd w:val="clear" w:color="auto" w:fill="auto"/>
            <w:noWrap/>
            <w:vAlign w:val="bottom"/>
            <w:hideMark/>
          </w:tcPr>
          <w:p w14:paraId="30739404" w14:textId="77777777" w:rsidR="0008500D" w:rsidRPr="00160E85" w:rsidRDefault="0008500D" w:rsidP="0008500D">
            <w:pPr>
              <w:pStyle w:val="Brezrazmikov"/>
            </w:pPr>
            <w:r w:rsidRPr="00160E85">
              <w:t>0,55%</w:t>
            </w:r>
          </w:p>
        </w:tc>
        <w:tc>
          <w:tcPr>
            <w:tcW w:w="669" w:type="pct"/>
            <w:tcBorders>
              <w:top w:val="single" w:sz="4" w:space="0" w:color="auto"/>
              <w:left w:val="nil"/>
              <w:bottom w:val="nil"/>
              <w:right w:val="nil"/>
            </w:tcBorders>
            <w:shd w:val="clear" w:color="auto" w:fill="auto"/>
            <w:noWrap/>
            <w:vAlign w:val="bottom"/>
            <w:hideMark/>
          </w:tcPr>
          <w:p w14:paraId="5D023724" w14:textId="77777777" w:rsidR="0008500D" w:rsidRPr="00160E85" w:rsidRDefault="0008500D" w:rsidP="0008500D">
            <w:pPr>
              <w:pStyle w:val="Brezrazmikov"/>
            </w:pPr>
            <w:r w:rsidRPr="00160E85">
              <w:t>-1,31%</w:t>
            </w:r>
          </w:p>
        </w:tc>
      </w:tr>
      <w:tr w:rsidR="0008500D" w:rsidRPr="00521799" w14:paraId="5A02C117" w14:textId="77777777" w:rsidTr="007A6126">
        <w:trPr>
          <w:trHeight w:val="312"/>
        </w:trPr>
        <w:tc>
          <w:tcPr>
            <w:tcW w:w="1659" w:type="pct"/>
            <w:tcBorders>
              <w:top w:val="nil"/>
              <w:left w:val="nil"/>
              <w:right w:val="nil"/>
            </w:tcBorders>
            <w:shd w:val="clear" w:color="auto" w:fill="auto"/>
            <w:noWrap/>
            <w:vAlign w:val="bottom"/>
            <w:hideMark/>
          </w:tcPr>
          <w:p w14:paraId="5ACC81FA" w14:textId="77777777" w:rsidR="0008500D" w:rsidRPr="00521799" w:rsidRDefault="0008500D" w:rsidP="0008500D">
            <w:pPr>
              <w:pStyle w:val="Brezrazmikov"/>
              <w:jc w:val="left"/>
            </w:pPr>
            <w:r w:rsidRPr="00521799">
              <w:t xml:space="preserve">Davek iz dobička     </w:t>
            </w:r>
          </w:p>
        </w:tc>
        <w:tc>
          <w:tcPr>
            <w:tcW w:w="668" w:type="pct"/>
            <w:tcBorders>
              <w:top w:val="nil"/>
              <w:left w:val="nil"/>
              <w:right w:val="nil"/>
            </w:tcBorders>
            <w:shd w:val="clear" w:color="auto" w:fill="auto"/>
            <w:noWrap/>
            <w:vAlign w:val="bottom"/>
            <w:hideMark/>
          </w:tcPr>
          <w:p w14:paraId="72A347A8" w14:textId="77777777" w:rsidR="0008500D" w:rsidRPr="00521799" w:rsidRDefault="0008500D" w:rsidP="0008500D">
            <w:pPr>
              <w:pStyle w:val="Brezrazmikov"/>
            </w:pPr>
            <w:r w:rsidRPr="00521799">
              <w:t>-6.073</w:t>
            </w:r>
          </w:p>
        </w:tc>
        <w:tc>
          <w:tcPr>
            <w:tcW w:w="668" w:type="pct"/>
            <w:tcBorders>
              <w:top w:val="nil"/>
              <w:left w:val="nil"/>
              <w:right w:val="nil"/>
            </w:tcBorders>
            <w:shd w:val="clear" w:color="auto" w:fill="auto"/>
            <w:noWrap/>
            <w:vAlign w:val="bottom"/>
            <w:hideMark/>
          </w:tcPr>
          <w:p w14:paraId="7D00F130" w14:textId="77777777" w:rsidR="0008500D" w:rsidRPr="00521799" w:rsidRDefault="0008500D" w:rsidP="0008500D">
            <w:pPr>
              <w:pStyle w:val="Brezrazmikov"/>
            </w:pPr>
            <w:r w:rsidRPr="00521799">
              <w:t>-4.014</w:t>
            </w:r>
          </w:p>
        </w:tc>
        <w:tc>
          <w:tcPr>
            <w:tcW w:w="668" w:type="pct"/>
            <w:tcBorders>
              <w:top w:val="nil"/>
              <w:left w:val="nil"/>
              <w:right w:val="nil"/>
            </w:tcBorders>
            <w:shd w:val="clear" w:color="auto" w:fill="auto"/>
            <w:noWrap/>
            <w:vAlign w:val="bottom"/>
            <w:hideMark/>
          </w:tcPr>
          <w:p w14:paraId="2831B3B4" w14:textId="77777777" w:rsidR="0008500D" w:rsidRPr="00160E85" w:rsidRDefault="0008500D" w:rsidP="0008500D">
            <w:pPr>
              <w:pStyle w:val="Brezrazmikov"/>
            </w:pPr>
            <w:r w:rsidRPr="00160E85">
              <w:t>-7.948</w:t>
            </w:r>
          </w:p>
        </w:tc>
        <w:tc>
          <w:tcPr>
            <w:tcW w:w="668" w:type="pct"/>
            <w:tcBorders>
              <w:top w:val="nil"/>
              <w:left w:val="nil"/>
              <w:right w:val="nil"/>
            </w:tcBorders>
            <w:shd w:val="clear" w:color="auto" w:fill="auto"/>
            <w:noWrap/>
            <w:vAlign w:val="bottom"/>
            <w:hideMark/>
          </w:tcPr>
          <w:p w14:paraId="15C7BE36" w14:textId="77777777" w:rsidR="0008500D" w:rsidRPr="00160E85" w:rsidRDefault="0008500D" w:rsidP="0008500D">
            <w:pPr>
              <w:pStyle w:val="Brezrazmikov"/>
            </w:pPr>
            <w:r w:rsidRPr="00160E85">
              <w:t>-7.992</w:t>
            </w:r>
          </w:p>
        </w:tc>
        <w:tc>
          <w:tcPr>
            <w:tcW w:w="669" w:type="pct"/>
            <w:tcBorders>
              <w:top w:val="nil"/>
              <w:left w:val="nil"/>
              <w:right w:val="nil"/>
            </w:tcBorders>
            <w:shd w:val="clear" w:color="auto" w:fill="auto"/>
            <w:noWrap/>
            <w:vAlign w:val="bottom"/>
            <w:hideMark/>
          </w:tcPr>
          <w:p w14:paraId="2AD8CB7A" w14:textId="77777777" w:rsidR="0008500D" w:rsidRPr="00160E85" w:rsidRDefault="0008500D" w:rsidP="0008500D">
            <w:pPr>
              <w:pStyle w:val="Brezrazmikov"/>
            </w:pPr>
            <w:r w:rsidRPr="00160E85">
              <w:t>-7.887</w:t>
            </w:r>
          </w:p>
        </w:tc>
      </w:tr>
      <w:tr w:rsidR="0008500D" w:rsidRPr="00521799" w14:paraId="46F331AE" w14:textId="77777777" w:rsidTr="007A6126">
        <w:trPr>
          <w:trHeight w:val="324"/>
        </w:trPr>
        <w:tc>
          <w:tcPr>
            <w:tcW w:w="1659" w:type="pct"/>
            <w:tcBorders>
              <w:top w:val="nil"/>
              <w:left w:val="nil"/>
              <w:bottom w:val="single" w:sz="12" w:space="0" w:color="auto"/>
              <w:right w:val="nil"/>
            </w:tcBorders>
            <w:shd w:val="clear" w:color="auto" w:fill="auto"/>
            <w:noWrap/>
            <w:vAlign w:val="bottom"/>
            <w:hideMark/>
          </w:tcPr>
          <w:p w14:paraId="36B66AEB" w14:textId="77777777" w:rsidR="0008500D" w:rsidRPr="00521799" w:rsidRDefault="0008500D" w:rsidP="0008500D">
            <w:pPr>
              <w:pStyle w:val="Brezrazmikov"/>
              <w:jc w:val="left"/>
            </w:pPr>
            <w:r w:rsidRPr="00521799">
              <w:t>Efektivna davčna stopnja</w:t>
            </w:r>
          </w:p>
        </w:tc>
        <w:tc>
          <w:tcPr>
            <w:tcW w:w="668" w:type="pct"/>
            <w:tcBorders>
              <w:top w:val="nil"/>
              <w:left w:val="nil"/>
              <w:bottom w:val="single" w:sz="12" w:space="0" w:color="auto"/>
              <w:right w:val="nil"/>
            </w:tcBorders>
            <w:shd w:val="clear" w:color="auto" w:fill="auto"/>
            <w:noWrap/>
            <w:vAlign w:val="bottom"/>
            <w:hideMark/>
          </w:tcPr>
          <w:p w14:paraId="0F3091DD" w14:textId="77777777" w:rsidR="0008500D" w:rsidRPr="00521799" w:rsidRDefault="0008500D" w:rsidP="0008500D">
            <w:pPr>
              <w:pStyle w:val="Brezrazmikov"/>
            </w:pPr>
            <w:r w:rsidRPr="00521799">
              <w:t>19,00%</w:t>
            </w:r>
          </w:p>
        </w:tc>
        <w:tc>
          <w:tcPr>
            <w:tcW w:w="668" w:type="pct"/>
            <w:tcBorders>
              <w:top w:val="nil"/>
              <w:left w:val="nil"/>
              <w:bottom w:val="single" w:sz="12" w:space="0" w:color="auto"/>
              <w:right w:val="nil"/>
            </w:tcBorders>
            <w:shd w:val="clear" w:color="auto" w:fill="auto"/>
            <w:noWrap/>
            <w:vAlign w:val="bottom"/>
            <w:hideMark/>
          </w:tcPr>
          <w:p w14:paraId="5558929E" w14:textId="77777777" w:rsidR="0008500D" w:rsidRPr="00521799" w:rsidRDefault="0008500D" w:rsidP="0008500D">
            <w:pPr>
              <w:pStyle w:val="Brezrazmikov"/>
            </w:pPr>
            <w:r w:rsidRPr="00521799">
              <w:t>19,00%</w:t>
            </w:r>
          </w:p>
        </w:tc>
        <w:tc>
          <w:tcPr>
            <w:tcW w:w="668" w:type="pct"/>
            <w:tcBorders>
              <w:top w:val="nil"/>
              <w:left w:val="nil"/>
              <w:bottom w:val="single" w:sz="12" w:space="0" w:color="auto"/>
              <w:right w:val="nil"/>
            </w:tcBorders>
            <w:shd w:val="clear" w:color="auto" w:fill="auto"/>
            <w:noWrap/>
            <w:vAlign w:val="bottom"/>
            <w:hideMark/>
          </w:tcPr>
          <w:p w14:paraId="41FD8E3E" w14:textId="77777777" w:rsidR="0008500D" w:rsidRPr="00160E85" w:rsidRDefault="0008500D" w:rsidP="0008500D">
            <w:pPr>
              <w:pStyle w:val="Brezrazmikov"/>
            </w:pPr>
            <w:r w:rsidRPr="00160E85">
              <w:t>19,00%</w:t>
            </w:r>
          </w:p>
        </w:tc>
        <w:tc>
          <w:tcPr>
            <w:tcW w:w="668" w:type="pct"/>
            <w:tcBorders>
              <w:top w:val="nil"/>
              <w:left w:val="nil"/>
              <w:bottom w:val="single" w:sz="12" w:space="0" w:color="auto"/>
              <w:right w:val="nil"/>
            </w:tcBorders>
            <w:shd w:val="clear" w:color="auto" w:fill="auto"/>
            <w:noWrap/>
            <w:vAlign w:val="bottom"/>
            <w:hideMark/>
          </w:tcPr>
          <w:p w14:paraId="3746A802" w14:textId="77777777" w:rsidR="0008500D" w:rsidRPr="00160E85" w:rsidRDefault="0008500D" w:rsidP="0008500D">
            <w:pPr>
              <w:pStyle w:val="Brezrazmikov"/>
            </w:pPr>
            <w:r w:rsidRPr="00160E85">
              <w:t>19,00%</w:t>
            </w:r>
          </w:p>
        </w:tc>
        <w:tc>
          <w:tcPr>
            <w:tcW w:w="669" w:type="pct"/>
            <w:tcBorders>
              <w:top w:val="nil"/>
              <w:left w:val="nil"/>
              <w:bottom w:val="single" w:sz="12" w:space="0" w:color="auto"/>
              <w:right w:val="nil"/>
            </w:tcBorders>
            <w:shd w:val="clear" w:color="auto" w:fill="auto"/>
            <w:noWrap/>
            <w:vAlign w:val="bottom"/>
            <w:hideMark/>
          </w:tcPr>
          <w:p w14:paraId="2CA81325" w14:textId="77777777" w:rsidR="0008500D" w:rsidRPr="00160E85" w:rsidRDefault="0008500D" w:rsidP="0008500D">
            <w:pPr>
              <w:pStyle w:val="Brezrazmikov"/>
            </w:pPr>
            <w:r w:rsidRPr="00160E85">
              <w:t>19,00%</w:t>
            </w:r>
          </w:p>
        </w:tc>
      </w:tr>
      <w:tr w:rsidR="0008500D" w:rsidRPr="00521799" w14:paraId="3F815E21" w14:textId="77777777" w:rsidTr="007A6126">
        <w:trPr>
          <w:trHeight w:val="324"/>
        </w:trPr>
        <w:tc>
          <w:tcPr>
            <w:tcW w:w="1659" w:type="pct"/>
            <w:tcBorders>
              <w:top w:val="single" w:sz="12" w:space="0" w:color="auto"/>
              <w:left w:val="nil"/>
              <w:bottom w:val="single" w:sz="12" w:space="0" w:color="auto"/>
              <w:right w:val="nil"/>
            </w:tcBorders>
            <w:shd w:val="clear" w:color="auto" w:fill="auto"/>
            <w:noWrap/>
            <w:vAlign w:val="bottom"/>
            <w:hideMark/>
          </w:tcPr>
          <w:p w14:paraId="7AC5C5BC" w14:textId="77777777" w:rsidR="0008500D" w:rsidRPr="00521799" w:rsidRDefault="0008500D" w:rsidP="0008500D">
            <w:pPr>
              <w:pStyle w:val="Brezrazmikov"/>
              <w:jc w:val="left"/>
              <w:rPr>
                <w:b/>
                <w:bCs/>
              </w:rPr>
            </w:pPr>
            <w:r w:rsidRPr="00521799">
              <w:rPr>
                <w:b/>
                <w:bCs/>
              </w:rPr>
              <w:t xml:space="preserve">Poslovni izid poslovnega  leta   </w:t>
            </w:r>
          </w:p>
        </w:tc>
        <w:tc>
          <w:tcPr>
            <w:tcW w:w="668" w:type="pct"/>
            <w:tcBorders>
              <w:top w:val="single" w:sz="12" w:space="0" w:color="auto"/>
              <w:left w:val="nil"/>
              <w:bottom w:val="single" w:sz="12" w:space="0" w:color="auto"/>
              <w:right w:val="nil"/>
            </w:tcBorders>
            <w:shd w:val="clear" w:color="auto" w:fill="auto"/>
            <w:noWrap/>
            <w:vAlign w:val="bottom"/>
            <w:hideMark/>
          </w:tcPr>
          <w:p w14:paraId="103FC239" w14:textId="77777777" w:rsidR="0008500D" w:rsidRPr="00521799" w:rsidRDefault="0008500D" w:rsidP="0008500D">
            <w:pPr>
              <w:pStyle w:val="Brezrazmikov"/>
              <w:rPr>
                <w:b/>
                <w:bCs/>
              </w:rPr>
            </w:pPr>
            <w:r w:rsidRPr="00521799">
              <w:rPr>
                <w:b/>
                <w:bCs/>
              </w:rPr>
              <w:t>25.888</w:t>
            </w:r>
          </w:p>
        </w:tc>
        <w:tc>
          <w:tcPr>
            <w:tcW w:w="668" w:type="pct"/>
            <w:tcBorders>
              <w:top w:val="single" w:sz="12" w:space="0" w:color="auto"/>
              <w:left w:val="nil"/>
              <w:bottom w:val="single" w:sz="12" w:space="0" w:color="auto"/>
              <w:right w:val="nil"/>
            </w:tcBorders>
            <w:shd w:val="clear" w:color="auto" w:fill="auto"/>
            <w:noWrap/>
            <w:vAlign w:val="bottom"/>
            <w:hideMark/>
          </w:tcPr>
          <w:p w14:paraId="790AC12C" w14:textId="77777777" w:rsidR="0008500D" w:rsidRPr="00521799" w:rsidRDefault="0008500D" w:rsidP="0008500D">
            <w:pPr>
              <w:pStyle w:val="Brezrazmikov"/>
              <w:rPr>
                <w:b/>
                <w:bCs/>
              </w:rPr>
            </w:pPr>
            <w:r w:rsidRPr="00521799">
              <w:rPr>
                <w:b/>
                <w:bCs/>
              </w:rPr>
              <w:t>17.112</w:t>
            </w:r>
          </w:p>
        </w:tc>
        <w:tc>
          <w:tcPr>
            <w:tcW w:w="668" w:type="pct"/>
            <w:tcBorders>
              <w:top w:val="single" w:sz="12" w:space="0" w:color="auto"/>
              <w:left w:val="nil"/>
              <w:bottom w:val="single" w:sz="12" w:space="0" w:color="auto"/>
              <w:right w:val="nil"/>
            </w:tcBorders>
            <w:shd w:val="clear" w:color="auto" w:fill="auto"/>
            <w:noWrap/>
            <w:vAlign w:val="bottom"/>
            <w:hideMark/>
          </w:tcPr>
          <w:p w14:paraId="2CA1A53A" w14:textId="77777777" w:rsidR="0008500D" w:rsidRPr="00160E85" w:rsidRDefault="0008500D" w:rsidP="0008500D">
            <w:pPr>
              <w:pStyle w:val="Brezrazmikov"/>
              <w:rPr>
                <w:b/>
                <w:bCs/>
              </w:rPr>
            </w:pPr>
            <w:r w:rsidRPr="00160E85">
              <w:rPr>
                <w:b/>
                <w:bCs/>
              </w:rPr>
              <w:t>33.883</w:t>
            </w:r>
          </w:p>
        </w:tc>
        <w:tc>
          <w:tcPr>
            <w:tcW w:w="668" w:type="pct"/>
            <w:tcBorders>
              <w:top w:val="single" w:sz="12" w:space="0" w:color="auto"/>
              <w:left w:val="nil"/>
              <w:bottom w:val="single" w:sz="12" w:space="0" w:color="auto"/>
              <w:right w:val="nil"/>
            </w:tcBorders>
            <w:shd w:val="clear" w:color="auto" w:fill="auto"/>
            <w:noWrap/>
            <w:vAlign w:val="bottom"/>
            <w:hideMark/>
          </w:tcPr>
          <w:p w14:paraId="504C7FCE" w14:textId="77777777" w:rsidR="0008500D" w:rsidRPr="00160E85" w:rsidRDefault="0008500D" w:rsidP="0008500D">
            <w:pPr>
              <w:pStyle w:val="Brezrazmikov"/>
              <w:rPr>
                <w:b/>
                <w:bCs/>
              </w:rPr>
            </w:pPr>
            <w:r w:rsidRPr="00160E85">
              <w:rPr>
                <w:b/>
                <w:bCs/>
              </w:rPr>
              <w:t>34.069</w:t>
            </w:r>
          </w:p>
        </w:tc>
        <w:tc>
          <w:tcPr>
            <w:tcW w:w="669" w:type="pct"/>
            <w:tcBorders>
              <w:top w:val="single" w:sz="12" w:space="0" w:color="auto"/>
              <w:left w:val="nil"/>
              <w:bottom w:val="single" w:sz="12" w:space="0" w:color="auto"/>
              <w:right w:val="nil"/>
            </w:tcBorders>
            <w:shd w:val="clear" w:color="auto" w:fill="auto"/>
            <w:noWrap/>
            <w:vAlign w:val="bottom"/>
            <w:hideMark/>
          </w:tcPr>
          <w:p w14:paraId="21CFE498" w14:textId="77777777" w:rsidR="0008500D" w:rsidRPr="00160E85" w:rsidRDefault="0008500D" w:rsidP="0008500D">
            <w:pPr>
              <w:pStyle w:val="Brezrazmikov"/>
              <w:rPr>
                <w:b/>
                <w:bCs/>
              </w:rPr>
            </w:pPr>
            <w:r w:rsidRPr="00160E85">
              <w:rPr>
                <w:b/>
                <w:bCs/>
              </w:rPr>
              <w:t>33.622</w:t>
            </w:r>
          </w:p>
        </w:tc>
      </w:tr>
      <w:tr w:rsidR="0008500D" w:rsidRPr="00521799" w14:paraId="26B8200F" w14:textId="77777777" w:rsidTr="007A6126">
        <w:trPr>
          <w:trHeight w:val="312"/>
        </w:trPr>
        <w:tc>
          <w:tcPr>
            <w:tcW w:w="1659" w:type="pct"/>
            <w:tcBorders>
              <w:top w:val="single" w:sz="12" w:space="0" w:color="auto"/>
              <w:left w:val="nil"/>
              <w:bottom w:val="nil"/>
              <w:right w:val="nil"/>
            </w:tcBorders>
            <w:shd w:val="clear" w:color="auto" w:fill="auto"/>
            <w:noWrap/>
            <w:vAlign w:val="bottom"/>
            <w:hideMark/>
          </w:tcPr>
          <w:p w14:paraId="6104F9B1" w14:textId="77777777" w:rsidR="0008500D" w:rsidRPr="00521799" w:rsidRDefault="0008500D" w:rsidP="0008500D">
            <w:pPr>
              <w:pStyle w:val="Brezrazmikov"/>
              <w:jc w:val="left"/>
            </w:pPr>
            <w:r w:rsidRPr="00521799">
              <w:t>Rast v %</w:t>
            </w:r>
          </w:p>
        </w:tc>
        <w:tc>
          <w:tcPr>
            <w:tcW w:w="668" w:type="pct"/>
            <w:tcBorders>
              <w:top w:val="single" w:sz="12" w:space="0" w:color="auto"/>
              <w:left w:val="nil"/>
              <w:bottom w:val="nil"/>
              <w:right w:val="nil"/>
            </w:tcBorders>
            <w:shd w:val="clear" w:color="auto" w:fill="auto"/>
            <w:noWrap/>
            <w:vAlign w:val="bottom"/>
            <w:hideMark/>
          </w:tcPr>
          <w:p w14:paraId="16EBF61C" w14:textId="77777777" w:rsidR="0008500D" w:rsidRPr="00521799" w:rsidRDefault="0008500D" w:rsidP="0008500D">
            <w:pPr>
              <w:pStyle w:val="Brezrazmikov"/>
            </w:pPr>
            <w:r w:rsidRPr="00521799">
              <w:t>1830,53%</w:t>
            </w:r>
          </w:p>
        </w:tc>
        <w:tc>
          <w:tcPr>
            <w:tcW w:w="668" w:type="pct"/>
            <w:tcBorders>
              <w:top w:val="single" w:sz="12" w:space="0" w:color="auto"/>
              <w:left w:val="nil"/>
              <w:bottom w:val="nil"/>
              <w:right w:val="nil"/>
            </w:tcBorders>
            <w:shd w:val="clear" w:color="auto" w:fill="auto"/>
            <w:noWrap/>
            <w:vAlign w:val="bottom"/>
            <w:hideMark/>
          </w:tcPr>
          <w:p w14:paraId="754D5ED8" w14:textId="77777777" w:rsidR="0008500D" w:rsidRPr="00521799" w:rsidRDefault="0008500D" w:rsidP="0008500D">
            <w:pPr>
              <w:pStyle w:val="Brezrazmikov"/>
            </w:pPr>
            <w:r w:rsidRPr="00521799">
              <w:t>-33,90%</w:t>
            </w:r>
          </w:p>
        </w:tc>
        <w:tc>
          <w:tcPr>
            <w:tcW w:w="668" w:type="pct"/>
            <w:tcBorders>
              <w:top w:val="single" w:sz="12" w:space="0" w:color="auto"/>
              <w:left w:val="nil"/>
              <w:bottom w:val="nil"/>
              <w:right w:val="nil"/>
            </w:tcBorders>
            <w:shd w:val="clear" w:color="auto" w:fill="auto"/>
            <w:noWrap/>
            <w:vAlign w:val="bottom"/>
            <w:hideMark/>
          </w:tcPr>
          <w:p w14:paraId="343C7A08" w14:textId="77777777" w:rsidR="0008500D" w:rsidRPr="00160E85" w:rsidRDefault="0008500D" w:rsidP="0008500D">
            <w:pPr>
              <w:pStyle w:val="Brezrazmikov"/>
            </w:pPr>
            <w:r w:rsidRPr="00160E85">
              <w:t>98,01%</w:t>
            </w:r>
          </w:p>
        </w:tc>
        <w:tc>
          <w:tcPr>
            <w:tcW w:w="668" w:type="pct"/>
            <w:tcBorders>
              <w:top w:val="single" w:sz="12" w:space="0" w:color="auto"/>
              <w:left w:val="nil"/>
              <w:bottom w:val="nil"/>
              <w:right w:val="nil"/>
            </w:tcBorders>
            <w:shd w:val="clear" w:color="auto" w:fill="auto"/>
            <w:noWrap/>
            <w:vAlign w:val="bottom"/>
            <w:hideMark/>
          </w:tcPr>
          <w:p w14:paraId="0F225E99" w14:textId="77777777" w:rsidR="0008500D" w:rsidRPr="00160E85" w:rsidRDefault="0008500D" w:rsidP="0008500D">
            <w:pPr>
              <w:pStyle w:val="Brezrazmikov"/>
            </w:pPr>
            <w:r w:rsidRPr="00160E85">
              <w:t>0,55%</w:t>
            </w:r>
          </w:p>
        </w:tc>
        <w:tc>
          <w:tcPr>
            <w:tcW w:w="669" w:type="pct"/>
            <w:tcBorders>
              <w:top w:val="single" w:sz="12" w:space="0" w:color="auto"/>
              <w:left w:val="nil"/>
              <w:bottom w:val="nil"/>
              <w:right w:val="nil"/>
            </w:tcBorders>
            <w:shd w:val="clear" w:color="auto" w:fill="auto"/>
            <w:noWrap/>
            <w:vAlign w:val="bottom"/>
            <w:hideMark/>
          </w:tcPr>
          <w:p w14:paraId="3493D751" w14:textId="77777777" w:rsidR="0008500D" w:rsidRPr="00160E85" w:rsidRDefault="0008500D" w:rsidP="0008500D">
            <w:pPr>
              <w:pStyle w:val="Brezrazmikov"/>
            </w:pPr>
            <w:r w:rsidRPr="00160E85">
              <w:t>-1,31%</w:t>
            </w:r>
          </w:p>
        </w:tc>
      </w:tr>
    </w:tbl>
    <w:p w14:paraId="00B2ACEE" w14:textId="77777777" w:rsidR="00F851CC" w:rsidRPr="00DA59D4" w:rsidRDefault="00F851CC" w:rsidP="00F851CC"/>
    <w:p w14:paraId="61A0D2E4" w14:textId="77777777" w:rsidR="007A6126" w:rsidRDefault="007A6126"/>
    <w:sectPr w:rsidR="007A6126" w:rsidSect="007A6126">
      <w:pgSz w:w="12242" w:h="15842" w:code="1"/>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16110" w14:textId="77777777" w:rsidR="00BB77EE" w:rsidRDefault="00BB77EE" w:rsidP="00F851CC">
      <w:pPr>
        <w:spacing w:after="0" w:line="240" w:lineRule="auto"/>
      </w:pPr>
      <w:r>
        <w:separator/>
      </w:r>
    </w:p>
  </w:endnote>
  <w:endnote w:type="continuationSeparator" w:id="0">
    <w:p w14:paraId="2CA67B9F" w14:textId="77777777" w:rsidR="00BB77EE" w:rsidRDefault="00BB77EE" w:rsidP="00F85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HelveticaNeueLTPro-Lt">
    <w:altName w:val="Arial"/>
    <w:panose1 w:val="00000000000000000000"/>
    <w:charset w:val="EE"/>
    <w:family w:val="swiss"/>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57354"/>
      <w:docPartObj>
        <w:docPartGallery w:val="Page Numbers (Bottom of Page)"/>
        <w:docPartUnique/>
      </w:docPartObj>
    </w:sdtPr>
    <w:sdtEndPr/>
    <w:sdtContent>
      <w:p w14:paraId="7BCDD154" w14:textId="77777777" w:rsidR="00452C28" w:rsidRDefault="00452C28" w:rsidP="007A6126">
        <w:pPr>
          <w:pStyle w:val="Noga"/>
          <w:jc w:val="center"/>
        </w:pPr>
        <w:r>
          <w:fldChar w:fldCharType="begin"/>
        </w:r>
        <w:r>
          <w:instrText>PAGE   \* MERGEFORMAT</w:instrText>
        </w:r>
        <w:r>
          <w:fldChar w:fldCharType="separate"/>
        </w:r>
        <w:r>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859496"/>
      <w:docPartObj>
        <w:docPartGallery w:val="Page Numbers (Bottom of Page)"/>
        <w:docPartUnique/>
      </w:docPartObj>
    </w:sdtPr>
    <w:sdtEndPr/>
    <w:sdtContent>
      <w:p w14:paraId="54A9D218" w14:textId="77777777" w:rsidR="00452C28" w:rsidRDefault="00452C28">
        <w:pPr>
          <w:pStyle w:val="Noga"/>
          <w:jc w:val="center"/>
        </w:pPr>
        <w:r>
          <w:fldChar w:fldCharType="begin"/>
        </w:r>
        <w:r>
          <w:instrText>PAGE   \* MERGEFORMAT</w:instrText>
        </w:r>
        <w:r>
          <w:fldChar w:fldCharType="separate"/>
        </w:r>
        <w:r>
          <w:rPr>
            <w:noProof/>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240829"/>
      <w:docPartObj>
        <w:docPartGallery w:val="Page Numbers (Bottom of Page)"/>
        <w:docPartUnique/>
      </w:docPartObj>
    </w:sdtPr>
    <w:sdtEndPr/>
    <w:sdtContent>
      <w:p w14:paraId="679B74CD" w14:textId="77777777" w:rsidR="00452C28" w:rsidRDefault="00452C28">
        <w:pPr>
          <w:pStyle w:val="Noga"/>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7918" w14:textId="77777777" w:rsidR="00BB77EE" w:rsidRDefault="00BB77EE" w:rsidP="00F851CC">
      <w:pPr>
        <w:spacing w:after="0" w:line="240" w:lineRule="auto"/>
      </w:pPr>
      <w:r>
        <w:separator/>
      </w:r>
    </w:p>
  </w:footnote>
  <w:footnote w:type="continuationSeparator" w:id="0">
    <w:p w14:paraId="11E3BA25" w14:textId="77777777" w:rsidR="00BB77EE" w:rsidRDefault="00BB77EE" w:rsidP="00F851CC">
      <w:pPr>
        <w:spacing w:after="0" w:line="240" w:lineRule="auto"/>
      </w:pPr>
      <w:r>
        <w:continuationSeparator/>
      </w:r>
    </w:p>
  </w:footnote>
  <w:footnote w:id="1">
    <w:p w14:paraId="550D0D3F" w14:textId="77777777" w:rsidR="00452C28" w:rsidRPr="00622A24" w:rsidRDefault="00452C28" w:rsidP="00F851CC">
      <w:pPr>
        <w:pStyle w:val="Sprotnaopomba-besedilo"/>
      </w:pPr>
      <w:r>
        <w:rPr>
          <w:rStyle w:val="Sprotnaopomba-sklic"/>
        </w:rPr>
        <w:footnoteRef/>
      </w:r>
      <w:r>
        <w:t xml:space="preserve"> </w:t>
      </w:r>
      <w:r w:rsidRPr="006A2CAE">
        <w:rPr>
          <w:rFonts w:cs="Times New Roman"/>
        </w:rPr>
        <w:t xml:space="preserve">FCFF – ang. </w:t>
      </w:r>
      <w:r w:rsidRPr="006A2CAE">
        <w:rPr>
          <w:rFonts w:cs="Times New Roman"/>
          <w:i/>
          <w:lang w:eastAsia="sl-SI"/>
        </w:rPr>
        <w:t>Free cash flow to the firm</w:t>
      </w:r>
    </w:p>
  </w:footnote>
  <w:footnote w:id="2">
    <w:p w14:paraId="70C1FB08" w14:textId="77777777" w:rsidR="00452C28" w:rsidRPr="009E2B69" w:rsidRDefault="00452C28" w:rsidP="00F851CC">
      <w:pPr>
        <w:pStyle w:val="Sprotnaopomba-besedilo"/>
        <w:rPr>
          <w:rFonts w:cs="Times New Roman"/>
        </w:rPr>
      </w:pPr>
      <w:r>
        <w:rPr>
          <w:rStyle w:val="Sprotnaopomba-sklic"/>
        </w:rPr>
        <w:footnoteRef/>
      </w:r>
      <w:r>
        <w:t xml:space="preserve"> </w:t>
      </w:r>
      <w:r w:rsidRPr="006A2CAE">
        <w:rPr>
          <w:rFonts w:cs="Times New Roman"/>
        </w:rPr>
        <w:t xml:space="preserve">EBIT – ang. </w:t>
      </w:r>
      <w:r w:rsidRPr="006A2CAE">
        <w:rPr>
          <w:rFonts w:cs="Times New Roman"/>
          <w:i/>
          <w:iCs/>
        </w:rPr>
        <w:t>Earnings before interest and taxes</w:t>
      </w:r>
    </w:p>
  </w:footnote>
  <w:footnote w:id="3">
    <w:p w14:paraId="5CC8573E" w14:textId="77777777" w:rsidR="00452C28" w:rsidRPr="006A2CAE" w:rsidRDefault="00452C28" w:rsidP="00F851CC">
      <w:pPr>
        <w:pStyle w:val="Sprotnaopomba-besedilo"/>
        <w:rPr>
          <w:rFonts w:cs="Times New Roman"/>
        </w:rPr>
      </w:pPr>
      <w:r w:rsidRPr="006A2CAE">
        <w:rPr>
          <w:rStyle w:val="Sprotnaopomba-sklic"/>
          <w:rFonts w:cs="Times New Roman"/>
        </w:rPr>
        <w:footnoteRef/>
      </w:r>
      <w:r w:rsidRPr="006A2CAE">
        <w:rPr>
          <w:rFonts w:cs="Times New Roman"/>
        </w:rPr>
        <w:t xml:space="preserve"> PV – ang. </w:t>
      </w:r>
      <w:r w:rsidRPr="006A2CAE">
        <w:rPr>
          <w:rFonts w:cs="Times New Roman"/>
          <w:i/>
          <w:iCs/>
        </w:rPr>
        <w:t>Present Value</w:t>
      </w:r>
    </w:p>
  </w:footnote>
  <w:footnote w:id="4">
    <w:p w14:paraId="0CC7D0C0" w14:textId="77777777" w:rsidR="00452C28" w:rsidRPr="008D5682" w:rsidRDefault="00452C28" w:rsidP="00F851CC">
      <w:pPr>
        <w:pStyle w:val="Sprotnaopomba-besedilo"/>
        <w:rPr>
          <w:rFonts w:cs="Times New Roman"/>
        </w:rPr>
      </w:pPr>
      <w:r w:rsidRPr="008D5682">
        <w:rPr>
          <w:rStyle w:val="Sprotnaopomba-sklic"/>
          <w:rFonts w:cs="Times New Roman"/>
        </w:rPr>
        <w:footnoteRef/>
      </w:r>
      <w:r w:rsidRPr="008D5682">
        <w:rPr>
          <w:rFonts w:cs="Times New Roman"/>
        </w:rPr>
        <w:t xml:space="preserve"> TV – ang.</w:t>
      </w:r>
      <w:r w:rsidRPr="008D5682">
        <w:rPr>
          <w:rFonts w:cs="Times New Roman"/>
          <w:lang w:eastAsia="sl-SI"/>
        </w:rPr>
        <w:t xml:space="preserve"> </w:t>
      </w:r>
      <w:r w:rsidRPr="008D5682">
        <w:rPr>
          <w:rFonts w:cs="Times New Roman"/>
          <w:i/>
          <w:lang w:eastAsia="sl-SI"/>
        </w:rPr>
        <w:t xml:space="preserve">Terminal </w:t>
      </w:r>
      <w:r w:rsidRPr="008D5682">
        <w:rPr>
          <w:rFonts w:cs="Times New Roman"/>
          <w:i/>
          <w:lang w:eastAsia="sl-SI"/>
        </w:rPr>
        <w:t>value</w:t>
      </w:r>
    </w:p>
  </w:footnote>
  <w:footnote w:id="5">
    <w:p w14:paraId="68A00674" w14:textId="77777777" w:rsidR="00452C28" w:rsidRPr="008D5682" w:rsidRDefault="00452C28" w:rsidP="00F851CC">
      <w:pPr>
        <w:pStyle w:val="Sprotnaopomba-besedilo"/>
        <w:rPr>
          <w:rFonts w:cs="Times New Roman"/>
        </w:rPr>
      </w:pPr>
      <w:r w:rsidRPr="008D5682">
        <w:rPr>
          <w:rStyle w:val="Sprotnaopomba-sklic"/>
          <w:rFonts w:cs="Times New Roman"/>
        </w:rPr>
        <w:footnoteRef/>
      </w:r>
      <w:r w:rsidRPr="008D5682">
        <w:rPr>
          <w:rFonts w:cs="Times New Roman"/>
        </w:rPr>
        <w:t xml:space="preserve"> V teoriji je ta model stalne rasti znan tudi pod imenom </w:t>
      </w:r>
      <w:r w:rsidRPr="008D5682">
        <w:rPr>
          <w:rFonts w:cs="Times New Roman"/>
          <w:i/>
          <w:iCs/>
        </w:rPr>
        <w:t>Gord</w:t>
      </w:r>
      <w:r>
        <w:rPr>
          <w:rFonts w:cs="Times New Roman"/>
          <w:i/>
          <w:iCs/>
        </w:rPr>
        <w:t>o</w:t>
      </w:r>
      <w:r w:rsidRPr="008D5682">
        <w:rPr>
          <w:rFonts w:cs="Times New Roman"/>
          <w:i/>
          <w:iCs/>
        </w:rPr>
        <w:t>nov model stopnje rasti</w:t>
      </w:r>
      <w:r w:rsidRPr="008D5682">
        <w:rPr>
          <w:rFonts w:cs="Times New Roman"/>
        </w:rPr>
        <w:t xml:space="preserve">   </w:t>
      </w:r>
    </w:p>
  </w:footnote>
  <w:footnote w:id="6">
    <w:p w14:paraId="5E246C87" w14:textId="77777777" w:rsidR="00452C28" w:rsidRPr="00316299" w:rsidRDefault="00452C28" w:rsidP="00F851CC">
      <w:pPr>
        <w:pStyle w:val="Sprotnaopomba-besedilo"/>
      </w:pPr>
      <w:r w:rsidRPr="008D5682">
        <w:rPr>
          <w:rStyle w:val="Sprotnaopomba-sklic"/>
          <w:rFonts w:cs="Times New Roman"/>
        </w:rPr>
        <w:footnoteRef/>
      </w:r>
      <w:r w:rsidRPr="008D5682">
        <w:rPr>
          <w:rFonts w:cs="Times New Roman"/>
        </w:rPr>
        <w:t xml:space="preserve"> WACC – </w:t>
      </w:r>
      <w:r w:rsidRPr="008D5682">
        <w:rPr>
          <w:rFonts w:cs="Times New Roman"/>
          <w:lang w:eastAsia="sl-SI"/>
        </w:rPr>
        <w:t xml:space="preserve">ang. </w:t>
      </w:r>
      <w:r w:rsidRPr="008D5682">
        <w:rPr>
          <w:rFonts w:cs="Times New Roman"/>
          <w:i/>
          <w:lang w:eastAsia="sl-SI"/>
        </w:rPr>
        <w:t>Weighted average cost of capital</w:t>
      </w:r>
    </w:p>
  </w:footnote>
  <w:footnote w:id="7">
    <w:p w14:paraId="36644F76" w14:textId="77777777" w:rsidR="00452C28" w:rsidRPr="00EB267D" w:rsidRDefault="00452C28" w:rsidP="00F851CC">
      <w:pPr>
        <w:pStyle w:val="Sprotnaopomba-besedilo"/>
        <w:rPr>
          <w:rFonts w:cs="Times New Roman"/>
        </w:rPr>
      </w:pPr>
      <w:r w:rsidRPr="00EB267D">
        <w:rPr>
          <w:rStyle w:val="Sprotnaopomba-sklic"/>
          <w:rFonts w:cs="Times New Roman"/>
        </w:rPr>
        <w:footnoteRef/>
      </w:r>
      <w:r w:rsidRPr="00EB267D">
        <w:rPr>
          <w:rFonts w:cs="Times New Roman"/>
        </w:rPr>
        <w:t xml:space="preserve"> CAPM – </w:t>
      </w:r>
      <w:r w:rsidRPr="00EB267D">
        <w:rPr>
          <w:rFonts w:cs="Times New Roman"/>
          <w:lang w:eastAsia="sl-SI"/>
        </w:rPr>
        <w:t xml:space="preserve">ang. </w:t>
      </w:r>
      <w:r w:rsidRPr="00EB267D">
        <w:rPr>
          <w:rFonts w:cs="Times New Roman"/>
          <w:i/>
          <w:lang w:eastAsia="sl-SI"/>
        </w:rPr>
        <w:t>Capital asset pricing model</w:t>
      </w:r>
    </w:p>
  </w:footnote>
  <w:footnote w:id="8">
    <w:p w14:paraId="4149223B" w14:textId="77777777" w:rsidR="00452C28" w:rsidRPr="00EB267D" w:rsidRDefault="00452C28" w:rsidP="00F851CC">
      <w:pPr>
        <w:pStyle w:val="Sprotnaopomba-besedilo"/>
      </w:pPr>
      <w:r w:rsidRPr="00EB267D">
        <w:rPr>
          <w:rStyle w:val="Sprotnaopomba-sklic"/>
          <w:rFonts w:cs="Times New Roman"/>
        </w:rPr>
        <w:footnoteRef/>
      </w:r>
      <w:r w:rsidRPr="00EB267D">
        <w:rPr>
          <w:rFonts w:cs="Times New Roman"/>
        </w:rPr>
        <w:t xml:space="preserve"> </w:t>
      </w:r>
      <w:r w:rsidRPr="00EB267D">
        <w:rPr>
          <w:rFonts w:cs="Times New Roman"/>
        </w:rPr>
        <w:t xml:space="preserve">Duff &amp; Phelps. Dostopno </w:t>
      </w:r>
      <w:r>
        <w:rPr>
          <w:rFonts w:cs="Times New Roman"/>
        </w:rPr>
        <w:t>prek</w:t>
      </w:r>
      <w:r w:rsidRPr="00EB267D">
        <w:rPr>
          <w:rFonts w:cs="Times New Roman"/>
        </w:rPr>
        <w:t xml:space="preserve"> </w:t>
      </w:r>
      <w:hyperlink r:id="rId1" w:history="1">
        <w:r w:rsidRPr="00EB267D">
          <w:rPr>
            <w:rStyle w:val="Hiperpovezava"/>
            <w:rFonts w:cs="Times New Roman"/>
            <w:color w:val="auto"/>
          </w:rPr>
          <w:t>https://www.duffandphelps.com/</w:t>
        </w:r>
      </w:hyperlink>
      <w:r>
        <w:rPr>
          <w:rStyle w:val="Hiperpovezava"/>
          <w:rFonts w:cs="Times New Roman"/>
          <w:color w:val="auto"/>
        </w:rPr>
        <w:t>.</w:t>
      </w:r>
    </w:p>
  </w:footnote>
  <w:footnote w:id="9">
    <w:p w14:paraId="2DB30C66" w14:textId="77777777" w:rsidR="00452C28" w:rsidRPr="007D7351" w:rsidRDefault="00452C28" w:rsidP="00F851CC">
      <w:pPr>
        <w:pStyle w:val="Sprotnaopomba-besedilo"/>
        <w:rPr>
          <w:rFonts w:cs="Times New Roman"/>
          <w:b/>
          <w:bCs/>
        </w:rPr>
      </w:pPr>
      <w:r w:rsidRPr="00A11951">
        <w:rPr>
          <w:rStyle w:val="Sprotnaopomba-sklic"/>
          <w:rFonts w:cs="Times New Roman"/>
        </w:rPr>
        <w:footnoteRef/>
      </w:r>
      <w:r w:rsidRPr="00A11951">
        <w:rPr>
          <w:rFonts w:cs="Times New Roman"/>
        </w:rPr>
        <w:t xml:space="preserve"> </w:t>
      </w:r>
      <w:r w:rsidRPr="007D7351">
        <w:rPr>
          <w:rFonts w:cs="Times New Roman"/>
        </w:rPr>
        <w:t xml:space="preserve">Damodaran. Dostopno prek </w:t>
      </w:r>
      <w:hyperlink r:id="rId2" w:history="1">
        <w:r w:rsidRPr="007D7351">
          <w:rPr>
            <w:rStyle w:val="Hiperpovezava"/>
            <w:rFonts w:cs="Times New Roman"/>
            <w:color w:val="auto"/>
          </w:rPr>
          <w:t>http://people.stern.nyu.edu/adamodar/pc/implprem/</w:t>
        </w:r>
      </w:hyperlink>
      <w:r>
        <w:rPr>
          <w:rStyle w:val="Hiperpovezava"/>
          <w:rFonts w:cs="Times New Roman"/>
          <w:color w:val="auto"/>
        </w:rPr>
        <w:t>.</w:t>
      </w:r>
    </w:p>
  </w:footnote>
  <w:footnote w:id="10">
    <w:p w14:paraId="48EF6C29" w14:textId="77777777" w:rsidR="00452C28" w:rsidRPr="007D7351" w:rsidRDefault="00452C28" w:rsidP="0008500D">
      <w:pPr>
        <w:pStyle w:val="Sprotnaopomba-besedilo"/>
        <w:rPr>
          <w:rFonts w:cs="Times New Roman"/>
        </w:rPr>
      </w:pPr>
      <w:r w:rsidRPr="007D7351">
        <w:rPr>
          <w:rStyle w:val="Sprotnaopomba-sklic"/>
          <w:rFonts w:cs="Times New Roman"/>
        </w:rPr>
        <w:footnoteRef/>
      </w:r>
      <w:r w:rsidRPr="007D7351">
        <w:rPr>
          <w:rFonts w:cs="Times New Roman"/>
        </w:rPr>
        <w:t xml:space="preserve"> S&amp;P 500 je ameriški borzni indeks, ki temelji na tržnih kapitalizacijah 500 največjih podjetij, ki kotirajo na borzi</w:t>
      </w:r>
      <w:r>
        <w:rPr>
          <w:rFonts w:cs="Times New Roman"/>
        </w:rPr>
        <w:t>.</w:t>
      </w:r>
    </w:p>
  </w:footnote>
  <w:footnote w:id="11">
    <w:p w14:paraId="24154932" w14:textId="77777777" w:rsidR="00452C28" w:rsidRPr="00A11951" w:rsidRDefault="00452C28" w:rsidP="00F851CC">
      <w:pPr>
        <w:pStyle w:val="Sprotnaopomba-besedilo"/>
      </w:pPr>
      <w:r w:rsidRPr="007D7351">
        <w:rPr>
          <w:rStyle w:val="Sprotnaopomba-sklic"/>
          <w:rFonts w:cs="Times New Roman"/>
        </w:rPr>
        <w:footnoteRef/>
      </w:r>
      <w:r w:rsidRPr="007D7351">
        <w:rPr>
          <w:rFonts w:cs="Times New Roman"/>
        </w:rPr>
        <w:t xml:space="preserve"> </w:t>
      </w:r>
      <w:r w:rsidRPr="007D7351">
        <w:rPr>
          <w:rFonts w:cs="Times New Roman"/>
        </w:rPr>
        <w:t xml:space="preserve">Damodaran online. Dostopno prek </w:t>
      </w:r>
      <w:hyperlink r:id="rId3" w:history="1">
        <w:r w:rsidRPr="007D7351">
          <w:rPr>
            <w:rStyle w:val="Hiperpovezava"/>
            <w:rFonts w:cs="Times New Roman"/>
            <w:color w:val="auto"/>
          </w:rPr>
          <w:t>http://pages.stern.nyu.edu/~adamodar/</w:t>
        </w:r>
      </w:hyperlink>
      <w:r>
        <w:rPr>
          <w:rStyle w:val="Hiperpovezava"/>
          <w:rFonts w:cs="Times New Roman"/>
          <w:color w:val="auto"/>
        </w:rPr>
        <w:t>.</w:t>
      </w:r>
    </w:p>
  </w:footnote>
  <w:footnote w:id="12">
    <w:p w14:paraId="5FA5D702" w14:textId="77777777" w:rsidR="00452C28" w:rsidRPr="0098634D" w:rsidRDefault="00452C28" w:rsidP="00F851CC">
      <w:pPr>
        <w:pStyle w:val="Sprotnaopomba-besedilo"/>
        <w:rPr>
          <w:rFonts w:cs="Times New Roman"/>
        </w:rPr>
      </w:pPr>
      <w:r w:rsidRPr="0098634D">
        <w:rPr>
          <w:rStyle w:val="Sprotnaopomba-sklic"/>
          <w:rFonts w:cs="Times New Roman"/>
        </w:rPr>
        <w:footnoteRef/>
      </w:r>
      <w:r w:rsidRPr="0098634D">
        <w:rPr>
          <w:rFonts w:cs="Times New Roman"/>
        </w:rPr>
        <w:t xml:space="preserve"> </w:t>
      </w:r>
      <w:r w:rsidRPr="0098634D">
        <w:rPr>
          <w:rFonts w:cs="Times New Roman"/>
        </w:rPr>
        <w:t xml:space="preserve">Hisense International, </w:t>
      </w:r>
      <w:hyperlink r:id="rId4" w:history="1">
        <w:r w:rsidRPr="0098634D">
          <w:rPr>
            <w:rStyle w:val="Hiperpovezava"/>
            <w:rFonts w:cs="Times New Roman"/>
            <w:color w:val="auto"/>
            <w:u w:val="none"/>
          </w:rPr>
          <w:t>http://global.hisense.com/</w:t>
        </w:r>
      </w:hyperlink>
    </w:p>
  </w:footnote>
  <w:footnote w:id="13">
    <w:p w14:paraId="78364B61" w14:textId="77777777" w:rsidR="00452C28" w:rsidRPr="007E2B67" w:rsidRDefault="00452C28" w:rsidP="00F851CC">
      <w:pPr>
        <w:pStyle w:val="Sprotnaopomba-besedilo"/>
      </w:pPr>
      <w:r w:rsidRPr="007E2B67">
        <w:rPr>
          <w:rStyle w:val="Sprotnaopomba-sklic"/>
        </w:rPr>
        <w:footnoteRef/>
      </w:r>
      <w:r w:rsidRPr="007E2B67">
        <w:t xml:space="preserve"> </w:t>
      </w:r>
      <w:r w:rsidRPr="007E2B67">
        <w:t xml:space="preserve">Allied Market Research dostopno prek </w:t>
      </w:r>
      <w:hyperlink r:id="rId5" w:history="1">
        <w:r w:rsidRPr="007E2B67">
          <w:rPr>
            <w:rStyle w:val="Hiperpovezava"/>
            <w:color w:val="auto"/>
          </w:rPr>
          <w:t>https://www.alliedmarketresearch.com</w:t>
        </w:r>
      </w:hyperlink>
      <w:r>
        <w:rPr>
          <w:rStyle w:val="Hiperpovezava"/>
          <w:color w:val="auto"/>
        </w:rPr>
        <w:t>.</w:t>
      </w:r>
    </w:p>
  </w:footnote>
  <w:footnote w:id="14">
    <w:p w14:paraId="55F6B868" w14:textId="77777777" w:rsidR="00452C28" w:rsidRPr="003F789A" w:rsidRDefault="00452C28" w:rsidP="0008500D">
      <w:pPr>
        <w:pStyle w:val="Sprotnaopomba-besedilo"/>
        <w:jc w:val="both"/>
        <w:rPr>
          <w:rFonts w:cs="Times New Roman"/>
        </w:rPr>
      </w:pPr>
      <w:r w:rsidRPr="003F789A">
        <w:rPr>
          <w:rStyle w:val="Sprotnaopomba-sklic"/>
          <w:rFonts w:cs="Times New Roman"/>
        </w:rPr>
        <w:footnoteRef/>
      </w:r>
      <w:r w:rsidRPr="003F789A">
        <w:rPr>
          <w:rFonts w:cs="Times New Roman"/>
        </w:rPr>
        <w:t xml:space="preserve"> EBITDA – dobiček iz poslovanja pred amortizacijo (ang. </w:t>
      </w:r>
      <w:r>
        <w:rPr>
          <w:rFonts w:cs="Times New Roman"/>
        </w:rPr>
        <w:t xml:space="preserve">– </w:t>
      </w:r>
      <w:r w:rsidRPr="00C13F29">
        <w:rPr>
          <w:rFonts w:cs="Times New Roman"/>
          <w:i/>
          <w:iCs/>
        </w:rPr>
        <w:t>Earnings before interest, taxes, depreciation and amortization</w:t>
      </w:r>
      <w:r w:rsidRPr="003F789A">
        <w:rPr>
          <w:rFonts w:cs="Times New Roman"/>
        </w:rPr>
        <w:t xml:space="preserve">) </w:t>
      </w:r>
    </w:p>
  </w:footnote>
  <w:footnote w:id="15">
    <w:p w14:paraId="750D4478" w14:textId="77777777" w:rsidR="00452C28" w:rsidRPr="003F0C31" w:rsidRDefault="00452C28" w:rsidP="00F851CC">
      <w:pPr>
        <w:pStyle w:val="Sprotnaopomba-besedilo"/>
        <w:rPr>
          <w:rFonts w:cs="Times New Roman"/>
        </w:rPr>
      </w:pPr>
      <w:r w:rsidRPr="003F0C31">
        <w:rPr>
          <w:rStyle w:val="Sprotnaopomba-sklic"/>
          <w:rFonts w:cs="Times New Roman"/>
        </w:rPr>
        <w:footnoteRef/>
      </w:r>
      <w:r w:rsidRPr="003F0C31">
        <w:rPr>
          <w:rFonts w:cs="Times New Roman"/>
        </w:rPr>
        <w:t xml:space="preserve"> Strateški načrt 2016–2020. Dostopen prek </w:t>
      </w:r>
      <w:hyperlink r:id="rId6" w:history="1">
        <w:r w:rsidRPr="003F0C31">
          <w:rPr>
            <w:rStyle w:val="Hiperpovezava"/>
            <w:rFonts w:cs="Times New Roman"/>
            <w:color w:val="auto"/>
          </w:rPr>
          <w:t>https://www.gorenjegroup.com/si/</w:t>
        </w:r>
      </w:hyperlink>
      <w:r>
        <w:rPr>
          <w:rStyle w:val="Hiperpovezava"/>
          <w:rFonts w:cs="Times New Roman"/>
          <w:color w:val="auto"/>
        </w:rPr>
        <w:t>.</w:t>
      </w:r>
    </w:p>
  </w:footnote>
  <w:footnote w:id="16">
    <w:p w14:paraId="1908B5DE" w14:textId="77777777" w:rsidR="00452C28" w:rsidRPr="003815A0" w:rsidRDefault="00452C28" w:rsidP="00F851CC">
      <w:pPr>
        <w:pStyle w:val="Sprotnaopomba-besedilo"/>
      </w:pPr>
      <w:r>
        <w:rPr>
          <w:rStyle w:val="Sprotnaopomba-sklic"/>
        </w:rPr>
        <w:footnoteRef/>
      </w:r>
      <w:r>
        <w:t xml:space="preserve"> </w:t>
      </w:r>
      <w:r w:rsidRPr="007D7351">
        <w:rPr>
          <w:rFonts w:cs="Times New Roman"/>
        </w:rPr>
        <w:t>Damodaran. Dostopno p</w:t>
      </w:r>
      <w:r w:rsidRPr="003815A0">
        <w:rPr>
          <w:rFonts w:cs="Times New Roman"/>
        </w:rPr>
        <w:t xml:space="preserve">rek </w:t>
      </w:r>
      <w:hyperlink r:id="rId7" w:history="1">
        <w:r w:rsidRPr="003815A0">
          <w:rPr>
            <w:rStyle w:val="Hiperpovezava"/>
            <w:color w:val="auto"/>
          </w:rPr>
          <w:t>http://pages.stern.nyu.edu/~adamodar/New_Home_Page/datafile/ctryprem.html</w:t>
        </w:r>
      </w:hyperlink>
    </w:p>
  </w:footnote>
  <w:footnote w:id="17">
    <w:p w14:paraId="7E35CC4D" w14:textId="77777777" w:rsidR="00452C28" w:rsidRPr="00E56053" w:rsidRDefault="00452C28" w:rsidP="00F851CC">
      <w:pPr>
        <w:pStyle w:val="Sprotnaopomba-besedilo"/>
        <w:jc w:val="both"/>
        <w:rPr>
          <w:rFonts w:cs="Times New Roman"/>
        </w:rPr>
      </w:pPr>
      <w:r w:rsidRPr="00ED5837">
        <w:rPr>
          <w:rStyle w:val="Sprotnaopomba-sklic"/>
          <w:rFonts w:cs="Times New Roman"/>
        </w:rPr>
        <w:footnoteRef/>
      </w:r>
      <w:r w:rsidRPr="00ED5837">
        <w:rPr>
          <w:rFonts w:cs="Times New Roman"/>
        </w:rPr>
        <w:t xml:space="preserve"> Blagovna znamka Gorenje predstavlja zgornji srednji cenovni razred s 67,5</w:t>
      </w:r>
      <w:r>
        <w:t>-odstotnim</w:t>
      </w:r>
      <w:r w:rsidRPr="00ED5837">
        <w:rPr>
          <w:rFonts w:cs="Times New Roman"/>
        </w:rPr>
        <w:t xml:space="preserve"> deležem prodaje ter premijska blagovna znamka </w:t>
      </w:r>
      <w:r w:rsidRPr="00ED5837">
        <w:rPr>
          <w:rFonts w:cs="Times New Roman"/>
        </w:rPr>
        <w:t>Asko, ki predstavlja 12</w:t>
      </w:r>
      <w:r>
        <w:t xml:space="preserve">-odstotni </w:t>
      </w:r>
      <w:r w:rsidRPr="00ED5837">
        <w:rPr>
          <w:rFonts w:cs="Times New Roman"/>
        </w:rPr>
        <w:t>delež prodaje</w:t>
      </w:r>
      <w:r>
        <w:rPr>
          <w:rFonts w:cs="Times New Roman"/>
        </w:rPr>
        <w:t xml:space="preserve"> Skupine Gorenje.</w:t>
      </w:r>
    </w:p>
  </w:footnote>
  <w:footnote w:id="18">
    <w:p w14:paraId="70EBB130" w14:textId="77777777" w:rsidR="00452C28" w:rsidRPr="005B19E8" w:rsidRDefault="00452C28" w:rsidP="00F851CC">
      <w:pPr>
        <w:pStyle w:val="Sprotnaopomba-besedilo"/>
        <w:rPr>
          <w:rFonts w:cs="Times New Roman"/>
          <w:lang w:eastAsia="sl-SI"/>
        </w:rPr>
      </w:pPr>
      <w:r w:rsidRPr="005B19E8">
        <w:rPr>
          <w:rStyle w:val="Sprotnaopomba-sklic"/>
          <w:rFonts w:cs="Times New Roman"/>
        </w:rPr>
        <w:footnoteRef/>
      </w:r>
      <w:r w:rsidRPr="005B19E8">
        <w:rPr>
          <w:rFonts w:cs="Times New Roman"/>
        </w:rPr>
        <w:t xml:space="preserve"> </w:t>
      </w:r>
      <w:r w:rsidRPr="005B19E8">
        <w:rPr>
          <w:rFonts w:cs="Times New Roman"/>
          <w:lang w:eastAsia="sl-SI"/>
        </w:rPr>
        <w:t xml:space="preserve">Kontrolna premija – </w:t>
      </w:r>
      <w:r w:rsidRPr="0055689E">
        <w:rPr>
          <w:rFonts w:cs="Times New Roman"/>
          <w:lang w:eastAsia="sl-SI"/>
        </w:rPr>
        <w:t>ang</w:t>
      </w:r>
      <w:r w:rsidRPr="005B19E8">
        <w:rPr>
          <w:rFonts w:cs="Times New Roman"/>
          <w:i/>
          <w:iCs/>
          <w:lang w:eastAsia="sl-SI"/>
        </w:rPr>
        <w:t xml:space="preserve">. </w:t>
      </w:r>
      <w:r w:rsidRPr="005B19E8">
        <w:rPr>
          <w:rFonts w:cs="Times New Roman"/>
          <w:i/>
          <w:iCs/>
          <w:lang w:eastAsia="sl-SI"/>
        </w:rPr>
        <w:t>Merger and acquisition (M&amp;A) premium</w:t>
      </w:r>
    </w:p>
  </w:footnote>
  <w:footnote w:id="19">
    <w:p w14:paraId="1CF96B29" w14:textId="77777777" w:rsidR="00452C28" w:rsidRPr="0014583D" w:rsidRDefault="00452C28" w:rsidP="00F851CC">
      <w:pPr>
        <w:pStyle w:val="Sprotnaopomba-besedilo"/>
      </w:pPr>
      <w:r>
        <w:rPr>
          <w:rStyle w:val="Sprotnaopomba-sklic"/>
        </w:rPr>
        <w:footnoteRef/>
      </w:r>
      <w:r>
        <w:t xml:space="preserve"> Prevzemna ponudba – </w:t>
      </w:r>
      <w:r w:rsidRPr="0014583D">
        <w:rPr>
          <w:i/>
          <w:iCs/>
        </w:rPr>
        <w:t xml:space="preserve">ang. Tender </w:t>
      </w:r>
      <w:r w:rsidRPr="0014583D">
        <w:rPr>
          <w:i/>
          <w:iCs/>
        </w:rPr>
        <w:t>offer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36B"/>
    <w:multiLevelType w:val="hybridMultilevel"/>
    <w:tmpl w:val="02EED7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A6F793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660BE"/>
    <w:multiLevelType w:val="hybridMultilevel"/>
    <w:tmpl w:val="5B6EEFA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7E30CCC"/>
    <w:multiLevelType w:val="hybridMultilevel"/>
    <w:tmpl w:val="1E8C5E4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87553FD"/>
    <w:multiLevelType w:val="multilevel"/>
    <w:tmpl w:val="CE540B70"/>
    <w:lvl w:ilvl="0">
      <w:start w:val="1"/>
      <w:numFmt w:val="decimal"/>
      <w:pStyle w:val="Naslov1"/>
      <w:lvlText w:val="%1"/>
      <w:lvlJc w:val="left"/>
      <w:pPr>
        <w:ind w:left="432" w:hanging="432"/>
      </w:pPr>
      <w:rPr>
        <w:sz w:val="28"/>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4AEF71BD"/>
    <w:multiLevelType w:val="hybridMultilevel"/>
    <w:tmpl w:val="4E46565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AF14C22"/>
    <w:multiLevelType w:val="hybridMultilevel"/>
    <w:tmpl w:val="6FDE1E48"/>
    <w:lvl w:ilvl="0" w:tplc="9310771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D3750A6"/>
    <w:multiLevelType w:val="hybridMultilevel"/>
    <w:tmpl w:val="BC5CB788"/>
    <w:lvl w:ilvl="0" w:tplc="C932F94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83A4089"/>
    <w:multiLevelType w:val="hybridMultilevel"/>
    <w:tmpl w:val="1A06B66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E2011A8"/>
    <w:multiLevelType w:val="hybridMultilevel"/>
    <w:tmpl w:val="02EED7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EBF607F"/>
    <w:multiLevelType w:val="multilevel"/>
    <w:tmpl w:val="04240025"/>
    <w:lvl w:ilvl="0">
      <w:start w:val="1"/>
      <w:numFmt w:val="decimal"/>
      <w:lvlText w:val="%1"/>
      <w:lvlJc w:val="left"/>
      <w:pPr>
        <w:ind w:left="432" w:hanging="432"/>
      </w:pPr>
      <w:rPr>
        <w:rFonts w:hint="default"/>
        <w:b/>
        <w:i w:val="0"/>
        <w:sz w:val="20"/>
        <w:szCs w:val="20"/>
      </w:rPr>
    </w:lvl>
    <w:lvl w:ilvl="1">
      <w:start w:val="1"/>
      <w:numFmt w:val="decimal"/>
      <w:lvlText w:val="%1.%2"/>
      <w:lvlJc w:val="left"/>
      <w:pPr>
        <w:ind w:left="576" w:hanging="576"/>
      </w:pPr>
      <w:rPr>
        <w:rFonts w:hint="default"/>
        <w:b w:val="0"/>
        <w:i w:val="0"/>
        <w:sz w:val="24"/>
        <w:szCs w:val="24"/>
      </w:rPr>
    </w:lvl>
    <w:lvl w:ilvl="2">
      <w:start w:val="1"/>
      <w:numFmt w:val="decimal"/>
      <w:lvlText w:val="%1.%2.%3"/>
      <w:lvlJc w:val="left"/>
      <w:pPr>
        <w:ind w:left="720" w:hanging="720"/>
      </w:pPr>
      <w:rPr>
        <w:rFonts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i w:val="0"/>
        <w:sz w:val="24"/>
      </w:rPr>
    </w:lvl>
    <w:lvl w:ilvl="4">
      <w:start w:val="1"/>
      <w:numFmt w:val="decimal"/>
      <w:lvlText w:val="%1.%2.%3.%4.%5"/>
      <w:lvlJc w:val="left"/>
      <w:pPr>
        <w:ind w:left="1008" w:hanging="1008"/>
      </w:pPr>
      <w:rPr>
        <w:rFonts w:hint="default"/>
        <w:b/>
        <w:i/>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5F63F6B"/>
    <w:multiLevelType w:val="hybridMultilevel"/>
    <w:tmpl w:val="02EED7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78731802"/>
    <w:multiLevelType w:val="hybridMultilevel"/>
    <w:tmpl w:val="744033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FAE12BB"/>
    <w:multiLevelType w:val="hybridMultilevel"/>
    <w:tmpl w:val="663699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2"/>
  </w:num>
  <w:num w:numId="5">
    <w:abstractNumId w:val="5"/>
  </w:num>
  <w:num w:numId="6">
    <w:abstractNumId w:val="12"/>
  </w:num>
  <w:num w:numId="7">
    <w:abstractNumId w:val="8"/>
  </w:num>
  <w:num w:numId="8">
    <w:abstractNumId w:val="11"/>
  </w:num>
  <w:num w:numId="9">
    <w:abstractNumId w:val="3"/>
  </w:num>
  <w:num w:numId="10">
    <w:abstractNumId w:val="0"/>
  </w:num>
  <w:num w:numId="11">
    <w:abstractNumId w:val="9"/>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1CC"/>
    <w:rsid w:val="000238D3"/>
    <w:rsid w:val="00027550"/>
    <w:rsid w:val="000614A3"/>
    <w:rsid w:val="00061768"/>
    <w:rsid w:val="0008500D"/>
    <w:rsid w:val="000C2263"/>
    <w:rsid w:val="0014376B"/>
    <w:rsid w:val="001B427B"/>
    <w:rsid w:val="002C3884"/>
    <w:rsid w:val="002C3AA7"/>
    <w:rsid w:val="00323B82"/>
    <w:rsid w:val="00325440"/>
    <w:rsid w:val="00343C67"/>
    <w:rsid w:val="003B6473"/>
    <w:rsid w:val="003C3499"/>
    <w:rsid w:val="003F2FE8"/>
    <w:rsid w:val="00452C28"/>
    <w:rsid w:val="00472378"/>
    <w:rsid w:val="004767AA"/>
    <w:rsid w:val="00523CC6"/>
    <w:rsid w:val="0053206F"/>
    <w:rsid w:val="005E2C10"/>
    <w:rsid w:val="006B1D0C"/>
    <w:rsid w:val="00727566"/>
    <w:rsid w:val="0074000F"/>
    <w:rsid w:val="00792F7F"/>
    <w:rsid w:val="007A6126"/>
    <w:rsid w:val="007E3595"/>
    <w:rsid w:val="009B19BC"/>
    <w:rsid w:val="009B2EE2"/>
    <w:rsid w:val="00B2184E"/>
    <w:rsid w:val="00B67BB6"/>
    <w:rsid w:val="00BB77EE"/>
    <w:rsid w:val="00BE0F2A"/>
    <w:rsid w:val="00C77A0D"/>
    <w:rsid w:val="00CD0613"/>
    <w:rsid w:val="00DF78C8"/>
    <w:rsid w:val="00EC1A8D"/>
    <w:rsid w:val="00EC5F53"/>
    <w:rsid w:val="00F42275"/>
    <w:rsid w:val="00F5033D"/>
    <w:rsid w:val="00F606EF"/>
    <w:rsid w:val="00F851C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8644"/>
  <w15:chartTrackingRefBased/>
  <w15:docId w15:val="{12ADC677-B03C-451D-ACFB-1500842C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851CC"/>
    <w:rPr>
      <w:rFonts w:ascii="Times New Roman" w:hAnsi="Times New Roman"/>
      <w:sz w:val="24"/>
    </w:rPr>
  </w:style>
  <w:style w:type="paragraph" w:styleId="Naslov1">
    <w:name w:val="heading 1"/>
    <w:basedOn w:val="Navaden"/>
    <w:next w:val="Navaden"/>
    <w:link w:val="Naslov1Znak"/>
    <w:uiPriority w:val="9"/>
    <w:qFormat/>
    <w:rsid w:val="00F851CC"/>
    <w:pPr>
      <w:keepNext/>
      <w:keepLines/>
      <w:numPr>
        <w:numId w:val="1"/>
      </w:numPr>
      <w:spacing w:before="240" w:after="360" w:line="257" w:lineRule="auto"/>
      <w:jc w:val="both"/>
      <w:outlineLvl w:val="0"/>
    </w:pPr>
    <w:rPr>
      <w:rFonts w:eastAsiaTheme="majorEastAsia" w:cs="Times New Roman"/>
      <w:b/>
      <w:color w:val="000000" w:themeColor="text1"/>
      <w:sz w:val="28"/>
      <w:szCs w:val="32"/>
    </w:rPr>
  </w:style>
  <w:style w:type="paragraph" w:styleId="Naslov2">
    <w:name w:val="heading 2"/>
    <w:basedOn w:val="Navaden"/>
    <w:next w:val="Navaden"/>
    <w:link w:val="Naslov2Znak"/>
    <w:uiPriority w:val="9"/>
    <w:unhideWhenUsed/>
    <w:qFormat/>
    <w:rsid w:val="00F851CC"/>
    <w:pPr>
      <w:keepNext/>
      <w:keepLines/>
      <w:numPr>
        <w:ilvl w:val="1"/>
        <w:numId w:val="1"/>
      </w:numPr>
      <w:spacing w:before="240" w:after="240" w:line="257" w:lineRule="auto"/>
      <w:ind w:left="578" w:hanging="578"/>
      <w:jc w:val="both"/>
      <w:outlineLvl w:val="1"/>
    </w:pPr>
    <w:rPr>
      <w:rFonts w:eastAsiaTheme="majorEastAsia" w:cs="Times New Roman"/>
      <w:b/>
      <w:color w:val="000000" w:themeColor="text1"/>
      <w:szCs w:val="26"/>
    </w:rPr>
  </w:style>
  <w:style w:type="paragraph" w:styleId="Naslov3">
    <w:name w:val="heading 3"/>
    <w:basedOn w:val="Navaden"/>
    <w:next w:val="Navaden"/>
    <w:link w:val="Naslov3Znak"/>
    <w:uiPriority w:val="9"/>
    <w:unhideWhenUsed/>
    <w:qFormat/>
    <w:rsid w:val="00F851CC"/>
    <w:pPr>
      <w:keepNext/>
      <w:keepLines/>
      <w:numPr>
        <w:ilvl w:val="2"/>
        <w:numId w:val="1"/>
      </w:numPr>
      <w:spacing w:before="240" w:after="240" w:line="276" w:lineRule="auto"/>
      <w:jc w:val="both"/>
      <w:outlineLvl w:val="2"/>
    </w:pPr>
    <w:rPr>
      <w:rFonts w:eastAsiaTheme="majorEastAsia" w:cs="Times New Roman"/>
      <w:i/>
      <w:color w:val="000000" w:themeColor="text1"/>
      <w:szCs w:val="24"/>
    </w:rPr>
  </w:style>
  <w:style w:type="paragraph" w:styleId="Naslov4">
    <w:name w:val="heading 4"/>
    <w:basedOn w:val="Navaden"/>
    <w:next w:val="Navaden"/>
    <w:link w:val="Naslov4Znak"/>
    <w:autoRedefine/>
    <w:uiPriority w:val="9"/>
    <w:unhideWhenUsed/>
    <w:qFormat/>
    <w:rsid w:val="00F851CC"/>
    <w:pPr>
      <w:keepNext/>
      <w:keepLines/>
      <w:numPr>
        <w:ilvl w:val="3"/>
        <w:numId w:val="1"/>
      </w:numPr>
      <w:spacing w:before="200" w:after="0" w:line="276" w:lineRule="auto"/>
      <w:jc w:val="both"/>
      <w:outlineLvl w:val="3"/>
    </w:pPr>
    <w:rPr>
      <w:rFonts w:asciiTheme="majorHAnsi" w:eastAsiaTheme="majorEastAsia" w:hAnsiTheme="majorHAnsi" w:cstheme="majorBidi"/>
      <w:b/>
      <w:bCs/>
      <w:i/>
      <w:iCs/>
      <w:color w:val="000000" w:themeColor="text1"/>
    </w:rPr>
  </w:style>
  <w:style w:type="paragraph" w:styleId="Naslov5">
    <w:name w:val="heading 5"/>
    <w:basedOn w:val="Navaden"/>
    <w:next w:val="Navaden"/>
    <w:link w:val="Naslov5Znak"/>
    <w:uiPriority w:val="9"/>
    <w:unhideWhenUsed/>
    <w:qFormat/>
    <w:rsid w:val="00F851CC"/>
    <w:pPr>
      <w:keepNext/>
      <w:keepLines/>
      <w:numPr>
        <w:ilvl w:val="4"/>
        <w:numId w:val="1"/>
      </w:numPr>
      <w:spacing w:before="200" w:after="0" w:line="276" w:lineRule="auto"/>
      <w:jc w:val="both"/>
      <w:outlineLvl w:val="4"/>
    </w:pPr>
    <w:rPr>
      <w:rFonts w:asciiTheme="majorHAnsi" w:eastAsiaTheme="majorEastAsia" w:hAnsiTheme="majorHAnsi" w:cstheme="majorBidi"/>
      <w:color w:val="1F3763" w:themeColor="accent1" w:themeShade="7F"/>
    </w:rPr>
  </w:style>
  <w:style w:type="paragraph" w:styleId="Naslov6">
    <w:name w:val="heading 6"/>
    <w:basedOn w:val="Navaden"/>
    <w:next w:val="Navaden"/>
    <w:link w:val="Naslov6Znak"/>
    <w:uiPriority w:val="9"/>
    <w:unhideWhenUsed/>
    <w:qFormat/>
    <w:rsid w:val="00F851CC"/>
    <w:pPr>
      <w:keepNext/>
      <w:keepLines/>
      <w:numPr>
        <w:ilvl w:val="5"/>
        <w:numId w:val="1"/>
      </w:numPr>
      <w:spacing w:before="200" w:after="0" w:line="276" w:lineRule="auto"/>
      <w:jc w:val="both"/>
      <w:outlineLvl w:val="5"/>
    </w:pPr>
    <w:rPr>
      <w:rFonts w:asciiTheme="majorHAnsi" w:eastAsiaTheme="majorEastAsia" w:hAnsiTheme="majorHAnsi" w:cstheme="majorBidi"/>
      <w:i/>
      <w:iCs/>
      <w:color w:val="1F3763" w:themeColor="accent1" w:themeShade="7F"/>
    </w:rPr>
  </w:style>
  <w:style w:type="paragraph" w:styleId="Naslov7">
    <w:name w:val="heading 7"/>
    <w:basedOn w:val="Navaden"/>
    <w:next w:val="Navaden"/>
    <w:link w:val="Naslov7Znak"/>
    <w:uiPriority w:val="9"/>
    <w:unhideWhenUsed/>
    <w:qFormat/>
    <w:rsid w:val="00F851CC"/>
    <w:pPr>
      <w:keepNext/>
      <w:keepLines/>
      <w:numPr>
        <w:ilvl w:val="6"/>
        <w:numId w:val="1"/>
      </w:numPr>
      <w:spacing w:before="200" w:after="0" w:line="276" w:lineRule="auto"/>
      <w:jc w:val="both"/>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F851CC"/>
    <w:pPr>
      <w:keepNext/>
      <w:keepLines/>
      <w:numPr>
        <w:ilvl w:val="7"/>
        <w:numId w:val="1"/>
      </w:numPr>
      <w:spacing w:before="200" w:after="0" w:line="276" w:lineRule="auto"/>
      <w:jc w:val="both"/>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F851CC"/>
    <w:pPr>
      <w:keepNext/>
      <w:keepLines/>
      <w:numPr>
        <w:ilvl w:val="8"/>
        <w:numId w:val="1"/>
      </w:numPr>
      <w:spacing w:before="200" w:after="0" w:line="276"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851CC"/>
    <w:rPr>
      <w:rFonts w:ascii="Times New Roman" w:eastAsiaTheme="majorEastAsia" w:hAnsi="Times New Roman" w:cs="Times New Roman"/>
      <w:b/>
      <w:color w:val="000000" w:themeColor="text1"/>
      <w:sz w:val="28"/>
      <w:szCs w:val="32"/>
    </w:rPr>
  </w:style>
  <w:style w:type="character" w:customStyle="1" w:styleId="Naslov2Znak">
    <w:name w:val="Naslov 2 Znak"/>
    <w:basedOn w:val="Privzetapisavaodstavka"/>
    <w:link w:val="Naslov2"/>
    <w:uiPriority w:val="9"/>
    <w:rsid w:val="00F851CC"/>
    <w:rPr>
      <w:rFonts w:ascii="Times New Roman" w:eastAsiaTheme="majorEastAsia" w:hAnsi="Times New Roman" w:cs="Times New Roman"/>
      <w:b/>
      <w:color w:val="000000" w:themeColor="text1"/>
      <w:sz w:val="24"/>
      <w:szCs w:val="26"/>
    </w:rPr>
  </w:style>
  <w:style w:type="character" w:customStyle="1" w:styleId="Naslov3Znak">
    <w:name w:val="Naslov 3 Znak"/>
    <w:basedOn w:val="Privzetapisavaodstavka"/>
    <w:link w:val="Naslov3"/>
    <w:uiPriority w:val="9"/>
    <w:rsid w:val="00F851CC"/>
    <w:rPr>
      <w:rFonts w:ascii="Times New Roman" w:eastAsiaTheme="majorEastAsia" w:hAnsi="Times New Roman" w:cs="Times New Roman"/>
      <w:i/>
      <w:color w:val="000000" w:themeColor="text1"/>
      <w:sz w:val="24"/>
      <w:szCs w:val="24"/>
    </w:rPr>
  </w:style>
  <w:style w:type="character" w:customStyle="1" w:styleId="Naslov4Znak">
    <w:name w:val="Naslov 4 Znak"/>
    <w:basedOn w:val="Privzetapisavaodstavka"/>
    <w:link w:val="Naslov4"/>
    <w:uiPriority w:val="9"/>
    <w:rsid w:val="00F851CC"/>
    <w:rPr>
      <w:rFonts w:asciiTheme="majorHAnsi" w:eastAsiaTheme="majorEastAsia" w:hAnsiTheme="majorHAnsi" w:cstheme="majorBidi"/>
      <w:b/>
      <w:bCs/>
      <w:i/>
      <w:iCs/>
      <w:color w:val="000000" w:themeColor="text1"/>
      <w:sz w:val="24"/>
    </w:rPr>
  </w:style>
  <w:style w:type="character" w:customStyle="1" w:styleId="Naslov5Znak">
    <w:name w:val="Naslov 5 Znak"/>
    <w:basedOn w:val="Privzetapisavaodstavka"/>
    <w:link w:val="Naslov5"/>
    <w:uiPriority w:val="9"/>
    <w:rsid w:val="00F851CC"/>
    <w:rPr>
      <w:rFonts w:asciiTheme="majorHAnsi" w:eastAsiaTheme="majorEastAsia" w:hAnsiTheme="majorHAnsi" w:cstheme="majorBidi"/>
      <w:color w:val="1F3763" w:themeColor="accent1" w:themeShade="7F"/>
      <w:sz w:val="24"/>
    </w:rPr>
  </w:style>
  <w:style w:type="character" w:customStyle="1" w:styleId="Naslov6Znak">
    <w:name w:val="Naslov 6 Znak"/>
    <w:basedOn w:val="Privzetapisavaodstavka"/>
    <w:link w:val="Naslov6"/>
    <w:uiPriority w:val="9"/>
    <w:rsid w:val="00F851CC"/>
    <w:rPr>
      <w:rFonts w:asciiTheme="majorHAnsi" w:eastAsiaTheme="majorEastAsia" w:hAnsiTheme="majorHAnsi" w:cstheme="majorBidi"/>
      <w:i/>
      <w:iCs/>
      <w:color w:val="1F3763" w:themeColor="accent1" w:themeShade="7F"/>
      <w:sz w:val="24"/>
    </w:rPr>
  </w:style>
  <w:style w:type="character" w:customStyle="1" w:styleId="Naslov7Znak">
    <w:name w:val="Naslov 7 Znak"/>
    <w:basedOn w:val="Privzetapisavaodstavka"/>
    <w:link w:val="Naslov7"/>
    <w:uiPriority w:val="9"/>
    <w:rsid w:val="00F851CC"/>
    <w:rPr>
      <w:rFonts w:asciiTheme="majorHAnsi" w:eastAsiaTheme="majorEastAsia" w:hAnsiTheme="majorHAnsi" w:cstheme="majorBidi"/>
      <w:i/>
      <w:iCs/>
      <w:color w:val="404040" w:themeColor="text1" w:themeTint="BF"/>
      <w:sz w:val="24"/>
    </w:rPr>
  </w:style>
  <w:style w:type="character" w:customStyle="1" w:styleId="Naslov8Znak">
    <w:name w:val="Naslov 8 Znak"/>
    <w:basedOn w:val="Privzetapisavaodstavka"/>
    <w:link w:val="Naslov8"/>
    <w:uiPriority w:val="9"/>
    <w:semiHidden/>
    <w:rsid w:val="00F851CC"/>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F851CC"/>
    <w:rPr>
      <w:rFonts w:asciiTheme="majorHAnsi" w:eastAsiaTheme="majorEastAsia" w:hAnsiTheme="majorHAnsi" w:cstheme="majorBidi"/>
      <w:i/>
      <w:iCs/>
      <w:color w:val="404040" w:themeColor="text1" w:themeTint="BF"/>
      <w:sz w:val="20"/>
      <w:szCs w:val="20"/>
    </w:rPr>
  </w:style>
  <w:style w:type="paragraph" w:customStyle="1" w:styleId="Besedilo">
    <w:name w:val="Besedilo"/>
    <w:basedOn w:val="Navaden"/>
    <w:link w:val="BesediloZnak"/>
    <w:qFormat/>
    <w:rsid w:val="00F851CC"/>
    <w:pPr>
      <w:spacing w:after="200" w:line="276" w:lineRule="auto"/>
      <w:jc w:val="both"/>
    </w:pPr>
    <w:rPr>
      <w:rFonts w:ascii="Arial" w:hAnsi="Arial"/>
    </w:rPr>
  </w:style>
  <w:style w:type="character" w:customStyle="1" w:styleId="BesediloZnak">
    <w:name w:val="Besedilo Znak"/>
    <w:basedOn w:val="Privzetapisavaodstavka"/>
    <w:link w:val="Besedilo"/>
    <w:rsid w:val="00F851CC"/>
    <w:rPr>
      <w:rFonts w:ascii="Arial" w:hAnsi="Arial"/>
      <w:sz w:val="24"/>
    </w:rPr>
  </w:style>
  <w:style w:type="paragraph" w:styleId="Brezrazmikov">
    <w:name w:val="No Spacing"/>
    <w:link w:val="BrezrazmikovZnak"/>
    <w:uiPriority w:val="1"/>
    <w:qFormat/>
    <w:rsid w:val="00F851CC"/>
    <w:pPr>
      <w:spacing w:after="0" w:line="276" w:lineRule="auto"/>
      <w:jc w:val="both"/>
    </w:pPr>
    <w:rPr>
      <w:rFonts w:ascii="Times New Roman" w:hAnsi="Times New Roman" w:cs="Times New Roman"/>
      <w:sz w:val="24"/>
      <w:szCs w:val="24"/>
    </w:rPr>
  </w:style>
  <w:style w:type="character" w:styleId="Pripombasklic">
    <w:name w:val="annotation reference"/>
    <w:basedOn w:val="Privzetapisavaodstavka"/>
    <w:uiPriority w:val="99"/>
    <w:semiHidden/>
    <w:unhideWhenUsed/>
    <w:rsid w:val="00F851CC"/>
    <w:rPr>
      <w:sz w:val="16"/>
      <w:szCs w:val="16"/>
    </w:rPr>
  </w:style>
  <w:style w:type="paragraph" w:styleId="Pripombabesedilo">
    <w:name w:val="annotation text"/>
    <w:basedOn w:val="Navaden"/>
    <w:link w:val="PripombabesediloZnak"/>
    <w:uiPriority w:val="99"/>
    <w:semiHidden/>
    <w:unhideWhenUsed/>
    <w:rsid w:val="00F851CC"/>
    <w:pPr>
      <w:spacing w:after="0" w:line="240" w:lineRule="auto"/>
      <w:jc w:val="both"/>
    </w:pPr>
    <w:rPr>
      <w:rFonts w:cs="Times New Roman"/>
      <w:sz w:val="20"/>
      <w:szCs w:val="20"/>
    </w:rPr>
  </w:style>
  <w:style w:type="character" w:customStyle="1" w:styleId="PripombabesediloZnak">
    <w:name w:val="Pripomba – besedilo Znak"/>
    <w:basedOn w:val="Privzetapisavaodstavka"/>
    <w:link w:val="Pripombabesedilo"/>
    <w:uiPriority w:val="99"/>
    <w:semiHidden/>
    <w:rsid w:val="00F851CC"/>
    <w:rPr>
      <w:rFonts w:ascii="Times New Roman" w:hAnsi="Times New Roman" w:cs="Times New Roman"/>
      <w:sz w:val="20"/>
      <w:szCs w:val="20"/>
    </w:rPr>
  </w:style>
  <w:style w:type="paragraph" w:styleId="Besedilooblaka">
    <w:name w:val="Balloon Text"/>
    <w:basedOn w:val="Navaden"/>
    <w:link w:val="BesedilooblakaZnak"/>
    <w:uiPriority w:val="99"/>
    <w:semiHidden/>
    <w:unhideWhenUsed/>
    <w:rsid w:val="00F851CC"/>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851CC"/>
    <w:rPr>
      <w:rFonts w:ascii="Segoe UI" w:hAnsi="Segoe UI" w:cs="Segoe UI"/>
      <w:sz w:val="18"/>
      <w:szCs w:val="18"/>
    </w:rPr>
  </w:style>
  <w:style w:type="paragraph" w:styleId="Konnaopomba-besedilo">
    <w:name w:val="endnote text"/>
    <w:basedOn w:val="Navaden"/>
    <w:link w:val="Konnaopomba-besediloZnak"/>
    <w:uiPriority w:val="99"/>
    <w:semiHidden/>
    <w:unhideWhenUsed/>
    <w:rsid w:val="00F851CC"/>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851CC"/>
    <w:rPr>
      <w:rFonts w:ascii="Times New Roman" w:hAnsi="Times New Roman"/>
      <w:sz w:val="20"/>
      <w:szCs w:val="20"/>
    </w:rPr>
  </w:style>
  <w:style w:type="character" w:styleId="Konnaopomba-sklic">
    <w:name w:val="endnote reference"/>
    <w:basedOn w:val="Privzetapisavaodstavka"/>
    <w:uiPriority w:val="99"/>
    <w:semiHidden/>
    <w:unhideWhenUsed/>
    <w:rsid w:val="00F851CC"/>
    <w:rPr>
      <w:vertAlign w:val="superscript"/>
    </w:rPr>
  </w:style>
  <w:style w:type="paragraph" w:styleId="Sprotnaopomba-besedilo">
    <w:name w:val="footnote text"/>
    <w:basedOn w:val="Navaden"/>
    <w:link w:val="Sprotnaopomba-besediloZnak"/>
    <w:uiPriority w:val="99"/>
    <w:semiHidden/>
    <w:unhideWhenUsed/>
    <w:rsid w:val="00F851C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851CC"/>
    <w:rPr>
      <w:rFonts w:ascii="Times New Roman" w:hAnsi="Times New Roman"/>
      <w:sz w:val="20"/>
      <w:szCs w:val="20"/>
    </w:rPr>
  </w:style>
  <w:style w:type="character" w:styleId="Sprotnaopomba-sklic">
    <w:name w:val="footnote reference"/>
    <w:basedOn w:val="Privzetapisavaodstavka"/>
    <w:uiPriority w:val="99"/>
    <w:semiHidden/>
    <w:unhideWhenUsed/>
    <w:rsid w:val="00F851CC"/>
    <w:rPr>
      <w:vertAlign w:val="superscript"/>
    </w:rPr>
  </w:style>
  <w:style w:type="table" w:styleId="Tabelamrea">
    <w:name w:val="Table Grid"/>
    <w:basedOn w:val="Navadnatabela"/>
    <w:uiPriority w:val="59"/>
    <w:rsid w:val="00F851C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F851CC"/>
    <w:pPr>
      <w:spacing w:before="240" w:after="200" w:line="240" w:lineRule="auto"/>
      <w:jc w:val="both"/>
    </w:pPr>
    <w:rPr>
      <w:rFonts w:cs="Times New Roman"/>
      <w:i/>
      <w:iCs/>
      <w:color w:val="44546A" w:themeColor="text2"/>
      <w:szCs w:val="18"/>
    </w:rPr>
  </w:style>
  <w:style w:type="character" w:styleId="Hiperpovezava">
    <w:name w:val="Hyperlink"/>
    <w:basedOn w:val="Privzetapisavaodstavka"/>
    <w:uiPriority w:val="99"/>
    <w:unhideWhenUsed/>
    <w:rsid w:val="00F851CC"/>
    <w:rPr>
      <w:color w:val="0000FF"/>
      <w:u w:val="single"/>
    </w:rPr>
  </w:style>
  <w:style w:type="paragraph" w:styleId="Odstavekseznama">
    <w:name w:val="List Paragraph"/>
    <w:basedOn w:val="Navaden"/>
    <w:uiPriority w:val="34"/>
    <w:qFormat/>
    <w:rsid w:val="00F851CC"/>
    <w:pPr>
      <w:ind w:left="720"/>
      <w:contextualSpacing/>
    </w:pPr>
  </w:style>
  <w:style w:type="character" w:customStyle="1" w:styleId="Nerazreenaomemba1">
    <w:name w:val="Nerazrešena omemba1"/>
    <w:basedOn w:val="Privzetapisavaodstavka"/>
    <w:uiPriority w:val="99"/>
    <w:semiHidden/>
    <w:unhideWhenUsed/>
    <w:rsid w:val="00F851CC"/>
    <w:rPr>
      <w:color w:val="605E5C"/>
      <w:shd w:val="clear" w:color="auto" w:fill="E1DFDD"/>
    </w:rPr>
  </w:style>
  <w:style w:type="paragraph" w:styleId="Kazaloslik">
    <w:name w:val="table of figures"/>
    <w:basedOn w:val="Navaden"/>
    <w:next w:val="Navaden"/>
    <w:uiPriority w:val="99"/>
    <w:unhideWhenUsed/>
    <w:rsid w:val="00F851CC"/>
    <w:pPr>
      <w:spacing w:after="0"/>
    </w:pPr>
  </w:style>
  <w:style w:type="character" w:styleId="Besedilooznabemesta">
    <w:name w:val="Placeholder Text"/>
    <w:basedOn w:val="Privzetapisavaodstavka"/>
    <w:uiPriority w:val="99"/>
    <w:semiHidden/>
    <w:rsid w:val="00F851CC"/>
    <w:rPr>
      <w:color w:val="808080"/>
    </w:rPr>
  </w:style>
  <w:style w:type="character" w:styleId="SledenaHiperpovezava">
    <w:name w:val="FollowedHyperlink"/>
    <w:basedOn w:val="Privzetapisavaodstavka"/>
    <w:uiPriority w:val="99"/>
    <w:semiHidden/>
    <w:unhideWhenUsed/>
    <w:rsid w:val="00F851CC"/>
    <w:rPr>
      <w:color w:val="954F72" w:themeColor="followedHyperlink"/>
      <w:u w:val="single"/>
    </w:rPr>
  </w:style>
  <w:style w:type="paragraph" w:styleId="NaslovTOC">
    <w:name w:val="TOC Heading"/>
    <w:basedOn w:val="Naslov1"/>
    <w:next w:val="Navaden"/>
    <w:uiPriority w:val="39"/>
    <w:unhideWhenUsed/>
    <w:qFormat/>
    <w:rsid w:val="00F851CC"/>
    <w:pPr>
      <w:numPr>
        <w:numId w:val="0"/>
      </w:numPr>
      <w:spacing w:after="0" w:line="259" w:lineRule="auto"/>
      <w:jc w:val="left"/>
      <w:outlineLvl w:val="9"/>
    </w:pPr>
    <w:rPr>
      <w:rFonts w:asciiTheme="majorHAnsi" w:hAnsiTheme="majorHAnsi" w:cstheme="majorBidi"/>
      <w:b w:val="0"/>
      <w:color w:val="2F5496" w:themeColor="accent1" w:themeShade="BF"/>
      <w:sz w:val="32"/>
    </w:rPr>
  </w:style>
  <w:style w:type="paragraph" w:styleId="Kazalovsebine1">
    <w:name w:val="toc 1"/>
    <w:basedOn w:val="Navaden"/>
    <w:next w:val="Navaden"/>
    <w:autoRedefine/>
    <w:uiPriority w:val="39"/>
    <w:unhideWhenUsed/>
    <w:rsid w:val="00F851CC"/>
    <w:pPr>
      <w:spacing w:after="100"/>
    </w:pPr>
  </w:style>
  <w:style w:type="paragraph" w:styleId="Kazalovsebine2">
    <w:name w:val="toc 2"/>
    <w:basedOn w:val="Navaden"/>
    <w:next w:val="Navaden"/>
    <w:autoRedefine/>
    <w:uiPriority w:val="39"/>
    <w:unhideWhenUsed/>
    <w:rsid w:val="00F851CC"/>
    <w:pPr>
      <w:spacing w:after="100"/>
      <w:ind w:left="220"/>
    </w:pPr>
  </w:style>
  <w:style w:type="paragraph" w:styleId="Kazalovsebine3">
    <w:name w:val="toc 3"/>
    <w:basedOn w:val="Navaden"/>
    <w:next w:val="Navaden"/>
    <w:autoRedefine/>
    <w:uiPriority w:val="39"/>
    <w:unhideWhenUsed/>
    <w:rsid w:val="00F851CC"/>
    <w:pPr>
      <w:spacing w:after="100"/>
      <w:ind w:left="440"/>
    </w:pPr>
  </w:style>
  <w:style w:type="character" w:customStyle="1" w:styleId="BrezrazmikovZnak">
    <w:name w:val="Brez razmikov Znak"/>
    <w:basedOn w:val="Privzetapisavaodstavka"/>
    <w:link w:val="Brezrazmikov"/>
    <w:uiPriority w:val="1"/>
    <w:rsid w:val="00F851CC"/>
    <w:rPr>
      <w:rFonts w:ascii="Times New Roman" w:hAnsi="Times New Roman" w:cs="Times New Roman"/>
      <w:sz w:val="24"/>
      <w:szCs w:val="24"/>
    </w:rPr>
  </w:style>
  <w:style w:type="paragraph" w:styleId="Glava">
    <w:name w:val="header"/>
    <w:basedOn w:val="Navaden"/>
    <w:link w:val="GlavaZnak"/>
    <w:uiPriority w:val="99"/>
    <w:unhideWhenUsed/>
    <w:rsid w:val="00F851CC"/>
    <w:pPr>
      <w:tabs>
        <w:tab w:val="center" w:pos="4513"/>
        <w:tab w:val="right" w:pos="9026"/>
      </w:tabs>
      <w:spacing w:after="0" w:line="240" w:lineRule="auto"/>
    </w:pPr>
  </w:style>
  <w:style w:type="character" w:customStyle="1" w:styleId="GlavaZnak">
    <w:name w:val="Glava Znak"/>
    <w:basedOn w:val="Privzetapisavaodstavka"/>
    <w:link w:val="Glava"/>
    <w:uiPriority w:val="99"/>
    <w:rsid w:val="00F851CC"/>
    <w:rPr>
      <w:rFonts w:ascii="Times New Roman" w:hAnsi="Times New Roman"/>
      <w:sz w:val="24"/>
    </w:rPr>
  </w:style>
  <w:style w:type="paragraph" w:styleId="Noga">
    <w:name w:val="footer"/>
    <w:basedOn w:val="Navaden"/>
    <w:link w:val="NogaZnak"/>
    <w:uiPriority w:val="99"/>
    <w:unhideWhenUsed/>
    <w:rsid w:val="00F851CC"/>
    <w:pPr>
      <w:tabs>
        <w:tab w:val="center" w:pos="4513"/>
        <w:tab w:val="right" w:pos="9026"/>
      </w:tabs>
      <w:spacing w:after="0" w:line="240" w:lineRule="auto"/>
    </w:pPr>
  </w:style>
  <w:style w:type="character" w:customStyle="1" w:styleId="NogaZnak">
    <w:name w:val="Noga Znak"/>
    <w:basedOn w:val="Privzetapisavaodstavka"/>
    <w:link w:val="Noga"/>
    <w:uiPriority w:val="99"/>
    <w:rsid w:val="00F851CC"/>
    <w:rPr>
      <w:rFonts w:ascii="Times New Roman" w:hAnsi="Times New Roman"/>
      <w:sz w:val="24"/>
    </w:rPr>
  </w:style>
  <w:style w:type="paragraph" w:customStyle="1" w:styleId="Grafi">
    <w:name w:val="Grafi"/>
    <w:basedOn w:val="Brezrazmikov"/>
    <w:link w:val="GrafiZnak"/>
    <w:qFormat/>
    <w:rsid w:val="00F851CC"/>
    <w:pPr>
      <w:spacing w:after="240"/>
    </w:pPr>
    <w:rPr>
      <w:noProof/>
    </w:rPr>
  </w:style>
  <w:style w:type="character" w:customStyle="1" w:styleId="GrafiZnak">
    <w:name w:val="Grafi Znak"/>
    <w:basedOn w:val="BrezrazmikovZnak"/>
    <w:link w:val="Grafi"/>
    <w:rsid w:val="00F851CC"/>
    <w:rPr>
      <w:rFonts w:ascii="Times New Roman" w:hAnsi="Times New Roman" w:cs="Times New Roman"/>
      <w:noProof/>
      <w:sz w:val="24"/>
      <w:szCs w:val="24"/>
    </w:rPr>
  </w:style>
  <w:style w:type="paragraph" w:styleId="Navadensplet">
    <w:name w:val="Normal (Web)"/>
    <w:basedOn w:val="Navaden"/>
    <w:uiPriority w:val="99"/>
    <w:semiHidden/>
    <w:unhideWhenUsed/>
    <w:rsid w:val="00F851CC"/>
    <w:pPr>
      <w:spacing w:before="100" w:beforeAutospacing="1" w:after="100" w:afterAutospacing="1" w:line="240" w:lineRule="auto"/>
    </w:pPr>
    <w:rPr>
      <w:rFonts w:eastAsia="Times New Roman" w:cs="Times New Roman"/>
      <w:szCs w:val="24"/>
    </w:rPr>
  </w:style>
  <w:style w:type="character" w:customStyle="1" w:styleId="hvr">
    <w:name w:val="hvr"/>
    <w:basedOn w:val="Privzetapisavaodstavka"/>
    <w:rsid w:val="00F8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hyperlink" Target="http://www.gorenje.com/highlights/si/zgodovina/sest-desetletij-gorenja" TargetMode="Externa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chart" Target="charts/chart24.xml"/><Relationship Id="rId42" Type="http://schemas.openxmlformats.org/officeDocument/2006/relationships/hyperlink" Target="http://pages.stern.nyu.edu/~adamodar/New_Home_Page/datafile/ctryprem.html" TargetMode="External"/><Relationship Id="rId47" Type="http://schemas.openxmlformats.org/officeDocument/2006/relationships/hyperlink" Target="https://www.rtvslo.si/gospodarstvo/hisense-bi-gorenje-ki-ima-po-novem-12-clanov-uprave-rad-umaknil-z-borze/463324" TargetMode="External"/><Relationship Id="rId50" Type="http://schemas.openxmlformats.org/officeDocument/2006/relationships/footer" Target="footer3.xml"/><Relationship Id="rId7" Type="http://schemas.openxmlformats.org/officeDocument/2006/relationships/footer" Target="footer1.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3.xml"/><Relationship Id="rId38" Type="http://schemas.openxmlformats.org/officeDocument/2006/relationships/hyperlink" Target="http://people.stern.nyu.edu/adamodar/pc/implprem/" TargetMode="External"/><Relationship Id="rId46" Type="http://schemas.openxmlformats.org/officeDocument/2006/relationships/hyperlink" Target="http://global.hisense.com/" TargetMode="Externa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hyperlink" Target="https://s3.amazonaws.com/abi-org/Events/CRC_Materials/CRC17/Exhibit+21+-+2017+Valuation+Handboo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2.xml"/><Relationship Id="rId37" Type="http://schemas.openxmlformats.org/officeDocument/2006/relationships/hyperlink" Target="https://www.duffandphelps.com/insights/publications/cost-of-capital/us-equity-risk-premium-recommendation-2017" TargetMode="External"/><Relationship Id="rId40" Type="http://schemas.openxmlformats.org/officeDocument/2006/relationships/hyperlink" Target="https://www.grandviewresearch.com/industry-analysis/home-appliance-market" TargetMode="External"/><Relationship Id="rId45" Type="http://schemas.openxmlformats.org/officeDocument/2006/relationships/hyperlink" Target="https://en.wikipedia.org/wiki/S%26P_500_Index" TargetMode="Externa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6.xml"/><Relationship Id="rId49" Type="http://schemas.openxmlformats.org/officeDocument/2006/relationships/hyperlink" Target="https://www.statista.com/statistics/978583/average-premiums-in-europe-by-industry/"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image" Target="media/image2.png"/><Relationship Id="rId44" Type="http://schemas.openxmlformats.org/officeDocument/2006/relationships/hyperlink" Target="http://www.financnislovar.com/index.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image" Target="media/image1.png"/><Relationship Id="rId35" Type="http://schemas.openxmlformats.org/officeDocument/2006/relationships/chart" Target="charts/chart25.xml"/><Relationship Id="rId43" Type="http://schemas.openxmlformats.org/officeDocument/2006/relationships/hyperlink" Target="https://www.duffandphelps.com/" TargetMode="External"/><Relationship Id="rId48" Type="http://schemas.openxmlformats.org/officeDocument/2006/relationships/hyperlink" Target="https://fran.si/" TargetMode="External"/><Relationship Id="rId8" Type="http://schemas.openxmlformats.org/officeDocument/2006/relationships/footer" Target="footer2.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ages.stern.nyu.edu/~adamodar/" TargetMode="External"/><Relationship Id="rId7" Type="http://schemas.openxmlformats.org/officeDocument/2006/relationships/hyperlink" Target="http://pages.stern.nyu.edu/~adamodar/New_Home_Page/datafile/ctryprem.html" TargetMode="External"/><Relationship Id="rId2" Type="http://schemas.openxmlformats.org/officeDocument/2006/relationships/hyperlink" Target="http://people.stern.nyu.edu/adamodar/pc/implprem/" TargetMode="External"/><Relationship Id="rId1" Type="http://schemas.openxmlformats.org/officeDocument/2006/relationships/hyperlink" Target="https://www.duffandphelps.com/" TargetMode="External"/><Relationship Id="rId6" Type="http://schemas.openxmlformats.org/officeDocument/2006/relationships/hyperlink" Target="https://www.gorenjegroup.com/si/" TargetMode="External"/><Relationship Id="rId5" Type="http://schemas.openxmlformats.org/officeDocument/2006/relationships/hyperlink" Target="https://www.alliedmarketresearch.com/" TargetMode="External"/><Relationship Id="rId4" Type="http://schemas.openxmlformats.org/officeDocument/2006/relationships/hyperlink" Target="http://global.hisense.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Klemen\Desktop\Diplomska\Projekcija%20za%20prevzemnika_Klemen%20Hovnik.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lemen\Desktop\Diplomska\Analiza%20Skupine%20Gorenje_Klemen%20Hovn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lemen\Desktop\Diplomska\Analiza%20Skupine%20Gorenj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Delnica!$B$12</c:f>
              <c:strCache>
                <c:ptCount val="1"/>
                <c:pt idx="0">
                  <c:v>Lastniška struktura po državah na dan 31. 12. 2017</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56F-4CD2-9FDA-909C95B7125F}"/>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56F-4CD2-9FDA-909C95B7125F}"/>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56F-4CD2-9FDA-909C95B7125F}"/>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56F-4CD2-9FDA-909C95B7125F}"/>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56F-4CD2-9FDA-909C95B7125F}"/>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956F-4CD2-9FDA-909C95B7125F}"/>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956F-4CD2-9FDA-909C95B7125F}"/>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956F-4CD2-9FDA-909C95B7125F}"/>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956F-4CD2-9FDA-909C95B7125F}"/>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956F-4CD2-9FDA-909C95B7125F}"/>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956F-4CD2-9FDA-909C95B7125F}"/>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956F-4CD2-9FDA-909C95B7125F}"/>
              </c:ext>
            </c:extLst>
          </c:dPt>
          <c:dLbls>
            <c:dLbl>
              <c:idx val="0"/>
              <c:layout>
                <c:manualLayout>
                  <c:x val="2.1043771043771083E-2"/>
                  <c:y val="3.5555555555555557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56F-4CD2-9FDA-909C95B7125F}"/>
                </c:ext>
              </c:extLst>
            </c:dLbl>
            <c:dLbl>
              <c:idx val="1"/>
              <c:layout>
                <c:manualLayout>
                  <c:x val="-1.0521885521885523E-2"/>
                  <c:y val="2.133333333333333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56F-4CD2-9FDA-909C95B7125F}"/>
                </c:ext>
              </c:extLst>
            </c:dLbl>
            <c:dLbl>
              <c:idx val="2"/>
              <c:layout>
                <c:manualLayout>
                  <c:x val="0"/>
                  <c:y val="-4.266666666666666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56F-4CD2-9FDA-909C95B7125F}"/>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sl-SI"/>
                </a:p>
              </c:txPr>
              <c:dLblPos val="outEnd"/>
              <c:showLegendKey val="0"/>
              <c:showVal val="0"/>
              <c:showCatName val="1"/>
              <c:showSerName val="0"/>
              <c:showPercent val="1"/>
              <c:showBubbleSize val="0"/>
              <c:extLst>
                <c:ext xmlns:c16="http://schemas.microsoft.com/office/drawing/2014/chart" uri="{C3380CC4-5D6E-409C-BE32-E72D297353CC}">
                  <c16:uniqueId val="{00000007-956F-4CD2-9FDA-909C95B7125F}"/>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sl-SI"/>
                </a:p>
              </c:txPr>
              <c:dLblPos val="outEnd"/>
              <c:showLegendKey val="0"/>
              <c:showVal val="0"/>
              <c:showCatName val="1"/>
              <c:showSerName val="0"/>
              <c:showPercent val="1"/>
              <c:showBubbleSize val="0"/>
              <c:extLst>
                <c:ext xmlns:c16="http://schemas.microsoft.com/office/drawing/2014/chart" uri="{C3380CC4-5D6E-409C-BE32-E72D297353CC}">
                  <c16:uniqueId val="{00000009-956F-4CD2-9FDA-909C95B7125F}"/>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sl-SI"/>
                </a:p>
              </c:txPr>
              <c:dLblPos val="outEnd"/>
              <c:showLegendKey val="0"/>
              <c:showVal val="0"/>
              <c:showCatName val="1"/>
              <c:showSerName val="0"/>
              <c:showPercent val="1"/>
              <c:showBubbleSize val="0"/>
              <c:extLst>
                <c:ext xmlns:c16="http://schemas.microsoft.com/office/drawing/2014/chart" uri="{C3380CC4-5D6E-409C-BE32-E72D297353CC}">
                  <c16:uniqueId val="{0000000B-956F-4CD2-9FDA-909C95B7125F}"/>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sl-SI"/>
                </a:p>
              </c:txPr>
              <c:dLblPos val="outEnd"/>
              <c:showLegendKey val="0"/>
              <c:showVal val="0"/>
              <c:showCatName val="1"/>
              <c:showSerName val="0"/>
              <c:showPercent val="1"/>
              <c:showBubbleSize val="0"/>
              <c:extLst>
                <c:ext xmlns:c16="http://schemas.microsoft.com/office/drawing/2014/chart" uri="{C3380CC4-5D6E-409C-BE32-E72D297353CC}">
                  <c16:uniqueId val="{0000000D-956F-4CD2-9FDA-909C95B7125F}"/>
                </c:ext>
              </c:extLst>
            </c:dLbl>
            <c:dLbl>
              <c:idx val="7"/>
              <c:layout>
                <c:manualLayout>
                  <c:x val="-4.1522491349480967E-2"/>
                  <c:y val="8.53333333333332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956F-4CD2-9FDA-909C95B7125F}"/>
                </c:ext>
              </c:extLst>
            </c:dLbl>
            <c:dLbl>
              <c:idx val="8"/>
              <c:layout>
                <c:manualLayout>
                  <c:x val="1.8454440599769233E-2"/>
                  <c:y val="-0.18133333333333335"/>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956F-4CD2-9FDA-909C95B7125F}"/>
                </c:ext>
              </c:extLst>
            </c:dLbl>
            <c:dLbl>
              <c:idx val="9"/>
              <c:layout>
                <c:manualLayout>
                  <c:x val="-2.0761245674740483E-2"/>
                  <c:y val="-8.533333333333330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956F-4CD2-9FDA-909C95B7125F}"/>
                </c:ext>
              </c:extLst>
            </c:dLbl>
            <c:dLbl>
              <c:idx val="10"/>
              <c:layout>
                <c:manualLayout>
                  <c:x val="0"/>
                  <c:y val="0.2097777777777777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sl-SI"/>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956F-4CD2-9FDA-909C95B7125F}"/>
                </c:ext>
              </c:extLst>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sl-SI"/>
                </a:p>
              </c:txPr>
              <c:dLblPos val="outEnd"/>
              <c:showLegendKey val="0"/>
              <c:showVal val="0"/>
              <c:showCatName val="1"/>
              <c:showSerName val="0"/>
              <c:showPercent val="1"/>
              <c:showBubbleSize val="0"/>
              <c:extLst>
                <c:ext xmlns:c16="http://schemas.microsoft.com/office/drawing/2014/chart" uri="{C3380CC4-5D6E-409C-BE32-E72D297353CC}">
                  <c16:uniqueId val="{00000017-956F-4CD2-9FDA-909C95B7125F}"/>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Delnica!$C$11:$M$11</c:f>
              <c:strCache>
                <c:ptCount val="11"/>
                <c:pt idx="0">
                  <c:v>Slovenija</c:v>
                </c:pt>
                <c:pt idx="1">
                  <c:v>ZDA</c:v>
                </c:pt>
                <c:pt idx="2">
                  <c:v>Hrvaška</c:v>
                </c:pt>
                <c:pt idx="3">
                  <c:v>Japonska</c:v>
                </c:pt>
                <c:pt idx="4">
                  <c:v>Poljska</c:v>
                </c:pt>
                <c:pt idx="5">
                  <c:v>Nizozemska</c:v>
                </c:pt>
                <c:pt idx="6">
                  <c:v>Avstrija</c:v>
                </c:pt>
                <c:pt idx="7">
                  <c:v>Francija</c:v>
                </c:pt>
                <c:pt idx="8">
                  <c:v>Luksemburg</c:v>
                </c:pt>
                <c:pt idx="9">
                  <c:v>Madžarska</c:v>
                </c:pt>
                <c:pt idx="10">
                  <c:v>Ostale države</c:v>
                </c:pt>
              </c:strCache>
            </c:strRef>
          </c:cat>
          <c:val>
            <c:numRef>
              <c:f>Delnica!$C$12:$M$12</c:f>
              <c:numCache>
                <c:formatCode>0.00%</c:formatCode>
                <c:ptCount val="11"/>
                <c:pt idx="0">
                  <c:v>0.35070000000000001</c:v>
                </c:pt>
                <c:pt idx="1">
                  <c:v>0.13009999999999999</c:v>
                </c:pt>
                <c:pt idx="2">
                  <c:v>0.15279999999999999</c:v>
                </c:pt>
                <c:pt idx="3">
                  <c:v>0.1081</c:v>
                </c:pt>
                <c:pt idx="4">
                  <c:v>7.6999999999999999E-2</c:v>
                </c:pt>
                <c:pt idx="5">
                  <c:v>5.0299999999999997E-2</c:v>
                </c:pt>
                <c:pt idx="6">
                  <c:v>4.0099999999999997E-2</c:v>
                </c:pt>
                <c:pt idx="7">
                  <c:v>3.6900000000000002E-2</c:v>
                </c:pt>
                <c:pt idx="8">
                  <c:v>2.9399999999999999E-2</c:v>
                </c:pt>
                <c:pt idx="9">
                  <c:v>1.9599999999999999E-2</c:v>
                </c:pt>
                <c:pt idx="10">
                  <c:v>5.0000000000000001E-3</c:v>
                </c:pt>
              </c:numCache>
            </c:numRef>
          </c:val>
          <c:extLst>
            <c:ext xmlns:c16="http://schemas.microsoft.com/office/drawing/2014/chart" uri="{C3380CC4-5D6E-409C-BE32-E72D297353CC}">
              <c16:uniqueId val="{00000018-956F-4CD2-9FDA-909C95B7125F}"/>
            </c:ext>
          </c:extLst>
        </c:ser>
        <c:dLbls>
          <c:dLblPos val="outEnd"/>
          <c:showLegendKey val="0"/>
          <c:showVal val="0"/>
          <c:showCatName val="0"/>
          <c:showSerName val="0"/>
          <c:showPercent val="1"/>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sl-SI"/>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Bilanca!$B$6</c:f>
              <c:strCache>
                <c:ptCount val="1"/>
                <c:pt idx="0">
                  <c:v>Neopredmetena sredstva   </c:v>
                </c:pt>
              </c:strCache>
            </c:strRef>
          </c:tx>
          <c:spPr>
            <a:solidFill>
              <a:schemeClr val="accent1"/>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Bilanca!$C$6:$G$6</c:f>
              <c:numCache>
                <c:formatCode>#,##0</c:formatCode>
                <c:ptCount val="5"/>
                <c:pt idx="0">
                  <c:v>167882</c:v>
                </c:pt>
                <c:pt idx="1">
                  <c:v>181600</c:v>
                </c:pt>
                <c:pt idx="2">
                  <c:v>196032</c:v>
                </c:pt>
                <c:pt idx="3">
                  <c:v>208872</c:v>
                </c:pt>
                <c:pt idx="4">
                  <c:v>223575</c:v>
                </c:pt>
              </c:numCache>
            </c:numRef>
          </c:val>
          <c:extLst>
            <c:ext xmlns:c16="http://schemas.microsoft.com/office/drawing/2014/chart" uri="{C3380CC4-5D6E-409C-BE32-E72D297353CC}">
              <c16:uniqueId val="{00000000-AEEB-480B-9881-B39F5EA42625}"/>
            </c:ext>
          </c:extLst>
        </c:ser>
        <c:ser>
          <c:idx val="1"/>
          <c:order val="1"/>
          <c:tx>
            <c:strRef>
              <c:f>Bilanca!$B$7</c:f>
              <c:strCache>
                <c:ptCount val="1"/>
                <c:pt idx="0">
                  <c:v>Nepremičnine, naprave in oprema </c:v>
                </c:pt>
              </c:strCache>
            </c:strRef>
          </c:tx>
          <c:spPr>
            <a:solidFill>
              <a:schemeClr val="accent2"/>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Bilanca!$C$7:$G$7</c:f>
              <c:numCache>
                <c:formatCode>#,##0</c:formatCode>
                <c:ptCount val="5"/>
                <c:pt idx="0">
                  <c:v>356552</c:v>
                </c:pt>
                <c:pt idx="1">
                  <c:v>356089</c:v>
                </c:pt>
                <c:pt idx="2">
                  <c:v>366210</c:v>
                </c:pt>
                <c:pt idx="3">
                  <c:v>366212</c:v>
                </c:pt>
                <c:pt idx="4">
                  <c:v>371835</c:v>
                </c:pt>
              </c:numCache>
            </c:numRef>
          </c:val>
          <c:extLst>
            <c:ext xmlns:c16="http://schemas.microsoft.com/office/drawing/2014/chart" uri="{C3380CC4-5D6E-409C-BE32-E72D297353CC}">
              <c16:uniqueId val="{00000001-AEEB-480B-9881-B39F5EA42625}"/>
            </c:ext>
          </c:extLst>
        </c:ser>
        <c:ser>
          <c:idx val="2"/>
          <c:order val="2"/>
          <c:tx>
            <c:strRef>
              <c:f>Bilanca!$B$8</c:f>
              <c:strCache>
                <c:ptCount val="1"/>
                <c:pt idx="0">
                  <c:v>Naložbene nepremičnine   </c:v>
                </c:pt>
              </c:strCache>
            </c:strRef>
          </c:tx>
          <c:spPr>
            <a:solidFill>
              <a:schemeClr val="accent3"/>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Bilanca!$C$8:$G$8</c:f>
              <c:numCache>
                <c:formatCode>#,##0</c:formatCode>
                <c:ptCount val="5"/>
                <c:pt idx="0">
                  <c:v>28129</c:v>
                </c:pt>
                <c:pt idx="1">
                  <c:v>18931</c:v>
                </c:pt>
                <c:pt idx="2">
                  <c:v>17148</c:v>
                </c:pt>
                <c:pt idx="3">
                  <c:v>14957</c:v>
                </c:pt>
                <c:pt idx="4">
                  <c:v>9849</c:v>
                </c:pt>
              </c:numCache>
            </c:numRef>
          </c:val>
          <c:extLst>
            <c:ext xmlns:c16="http://schemas.microsoft.com/office/drawing/2014/chart" uri="{C3380CC4-5D6E-409C-BE32-E72D297353CC}">
              <c16:uniqueId val="{00000002-AEEB-480B-9881-B39F5EA42625}"/>
            </c:ext>
          </c:extLst>
        </c:ser>
        <c:ser>
          <c:idx val="4"/>
          <c:order val="3"/>
          <c:tx>
            <c:strRef>
              <c:f>Bilanca!$B$10</c:f>
              <c:strCache>
                <c:ptCount val="1"/>
                <c:pt idx="0">
                  <c:v>Naložbe družbe v pridružene </c:v>
                </c:pt>
              </c:strCache>
            </c:strRef>
          </c:tx>
          <c:spPr>
            <a:solidFill>
              <a:schemeClr val="accent5"/>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Bilanca!$C$10:$G$10</c:f>
              <c:numCache>
                <c:formatCode>#,##0</c:formatCode>
                <c:ptCount val="5"/>
                <c:pt idx="0">
                  <c:v>711</c:v>
                </c:pt>
                <c:pt idx="1">
                  <c:v>1122</c:v>
                </c:pt>
                <c:pt idx="2">
                  <c:v>1570</c:v>
                </c:pt>
                <c:pt idx="3">
                  <c:v>2945</c:v>
                </c:pt>
                <c:pt idx="4">
                  <c:v>4309</c:v>
                </c:pt>
              </c:numCache>
            </c:numRef>
          </c:val>
          <c:extLst>
            <c:ext xmlns:c16="http://schemas.microsoft.com/office/drawing/2014/chart" uri="{C3380CC4-5D6E-409C-BE32-E72D297353CC}">
              <c16:uniqueId val="{00000003-AEEB-480B-9881-B39F5EA42625}"/>
            </c:ext>
          </c:extLst>
        </c:ser>
        <c:ser>
          <c:idx val="5"/>
          <c:order val="4"/>
          <c:tx>
            <c:strRef>
              <c:f>Bilanca!$B$11</c:f>
              <c:strCache>
                <c:ptCount val="1"/>
                <c:pt idx="0">
                  <c:v>Druge dolgoročne finančne naložbe </c:v>
                </c:pt>
              </c:strCache>
            </c:strRef>
          </c:tx>
          <c:spPr>
            <a:solidFill>
              <a:schemeClr val="accent6"/>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Bilanca!$C$11:$G$11</c:f>
              <c:numCache>
                <c:formatCode>#,##0</c:formatCode>
                <c:ptCount val="5"/>
                <c:pt idx="0">
                  <c:v>5527</c:v>
                </c:pt>
                <c:pt idx="1">
                  <c:v>5125</c:v>
                </c:pt>
                <c:pt idx="2">
                  <c:v>2942</c:v>
                </c:pt>
                <c:pt idx="3">
                  <c:v>6563</c:v>
                </c:pt>
                <c:pt idx="4">
                  <c:v>3483</c:v>
                </c:pt>
              </c:numCache>
            </c:numRef>
          </c:val>
          <c:extLst>
            <c:ext xmlns:c16="http://schemas.microsoft.com/office/drawing/2014/chart" uri="{C3380CC4-5D6E-409C-BE32-E72D297353CC}">
              <c16:uniqueId val="{00000004-AEEB-480B-9881-B39F5EA42625}"/>
            </c:ext>
          </c:extLst>
        </c:ser>
        <c:ser>
          <c:idx val="6"/>
          <c:order val="5"/>
          <c:tx>
            <c:strRef>
              <c:f>Bilanca!$B$12</c:f>
              <c:strCache>
                <c:ptCount val="1"/>
                <c:pt idx="0">
                  <c:v>Dolgoročne poslovne terjatve  </c:v>
                </c:pt>
              </c:strCache>
            </c:strRef>
          </c:tx>
          <c:spPr>
            <a:solidFill>
              <a:schemeClr val="accent1">
                <a:lumMod val="60000"/>
              </a:schemeClr>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Bilanca!$C$12:$G$12</c:f>
              <c:numCache>
                <c:formatCode>#,##0</c:formatCode>
                <c:ptCount val="5"/>
                <c:pt idx="0">
                  <c:v>10559</c:v>
                </c:pt>
                <c:pt idx="1">
                  <c:v>6988</c:v>
                </c:pt>
                <c:pt idx="2">
                  <c:v>5743</c:v>
                </c:pt>
                <c:pt idx="3">
                  <c:v>2481</c:v>
                </c:pt>
                <c:pt idx="4">
                  <c:v>7375</c:v>
                </c:pt>
              </c:numCache>
            </c:numRef>
          </c:val>
          <c:extLst>
            <c:ext xmlns:c16="http://schemas.microsoft.com/office/drawing/2014/chart" uri="{C3380CC4-5D6E-409C-BE32-E72D297353CC}">
              <c16:uniqueId val="{00000005-AEEB-480B-9881-B39F5EA42625}"/>
            </c:ext>
          </c:extLst>
        </c:ser>
        <c:ser>
          <c:idx val="7"/>
          <c:order val="6"/>
          <c:tx>
            <c:strRef>
              <c:f>Bilanca!$B$13</c:f>
              <c:strCache>
                <c:ptCount val="1"/>
                <c:pt idx="0">
                  <c:v>Odložene terjatve za davke </c:v>
                </c:pt>
              </c:strCache>
            </c:strRef>
          </c:tx>
          <c:spPr>
            <a:solidFill>
              <a:schemeClr val="accent2">
                <a:lumMod val="60000"/>
              </a:schemeClr>
            </a:solidFill>
            <a:ln>
              <a:noFill/>
            </a:ln>
            <a:effectLst/>
            <a:sp3d/>
          </c:spPr>
          <c:invertIfNegative val="0"/>
          <c:cat>
            <c:numRef>
              <c:f>Bilanca!$C$3:$G$3</c:f>
              <c:numCache>
                <c:formatCode>General</c:formatCode>
                <c:ptCount val="5"/>
                <c:pt idx="0">
                  <c:v>2013</c:v>
                </c:pt>
                <c:pt idx="1">
                  <c:v>2014</c:v>
                </c:pt>
                <c:pt idx="2">
                  <c:v>2015</c:v>
                </c:pt>
                <c:pt idx="3">
                  <c:v>2016</c:v>
                </c:pt>
                <c:pt idx="4">
                  <c:v>2017</c:v>
                </c:pt>
              </c:numCache>
            </c:numRef>
          </c:cat>
          <c:val>
            <c:numRef>
              <c:f>Bilanca!$C$13:$G$13</c:f>
              <c:numCache>
                <c:formatCode>#,##0</c:formatCode>
                <c:ptCount val="5"/>
                <c:pt idx="0">
                  <c:v>24530</c:v>
                </c:pt>
                <c:pt idx="1">
                  <c:v>24723</c:v>
                </c:pt>
                <c:pt idx="2">
                  <c:v>24480</c:v>
                </c:pt>
                <c:pt idx="3">
                  <c:v>27236</c:v>
                </c:pt>
                <c:pt idx="4">
                  <c:v>27551</c:v>
                </c:pt>
              </c:numCache>
            </c:numRef>
          </c:val>
          <c:extLst>
            <c:ext xmlns:c16="http://schemas.microsoft.com/office/drawing/2014/chart" uri="{C3380CC4-5D6E-409C-BE32-E72D297353CC}">
              <c16:uniqueId val="{00000006-AEEB-480B-9881-B39F5EA42625}"/>
            </c:ext>
          </c:extLst>
        </c:ser>
        <c:dLbls>
          <c:showLegendKey val="0"/>
          <c:showVal val="0"/>
          <c:showCatName val="0"/>
          <c:showSerName val="0"/>
          <c:showPercent val="0"/>
          <c:showBubbleSize val="0"/>
        </c:dLbls>
        <c:gapWidth val="150"/>
        <c:shape val="box"/>
        <c:axId val="1111287808"/>
        <c:axId val="1238387808"/>
        <c:axId val="0"/>
      </c:bar3DChart>
      <c:catAx>
        <c:axId val="1111287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238387808"/>
        <c:crosses val="autoZero"/>
        <c:auto val="1"/>
        <c:lblAlgn val="ctr"/>
        <c:lblOffset val="100"/>
        <c:noMultiLvlLbl val="0"/>
      </c:catAx>
      <c:valAx>
        <c:axId val="1238387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111287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21365246247225"/>
          <c:y val="6.695069993913573E-2"/>
          <c:w val="0.85558952394138477"/>
          <c:h val="0.70131840641039778"/>
        </c:manualLayout>
      </c:layout>
      <c:barChart>
        <c:barDir val="col"/>
        <c:grouping val="clustered"/>
        <c:varyColors val="0"/>
        <c:ser>
          <c:idx val="0"/>
          <c:order val="0"/>
          <c:tx>
            <c:strRef>
              <c:f>FCFF!$C$46</c:f>
              <c:strCache>
                <c:ptCount val="1"/>
                <c:pt idx="0">
                  <c:v>Nakup neopredmetenih sredstev</c:v>
                </c:pt>
              </c:strCache>
            </c:strRef>
          </c:tx>
          <c:spPr>
            <a:solidFill>
              <a:schemeClr val="accent1"/>
            </a:solidFill>
            <a:ln>
              <a:noFill/>
            </a:ln>
            <a:effectLst/>
          </c:spPr>
          <c:invertIfNegative val="0"/>
          <c:cat>
            <c:numRef>
              <c:f>FCFF!$D$45:$M$45</c:f>
              <c:numCache>
                <c:formatCode>General</c:formatCode>
                <c:ptCount val="5"/>
                <c:pt idx="0">
                  <c:v>2013</c:v>
                </c:pt>
                <c:pt idx="1">
                  <c:v>2014</c:v>
                </c:pt>
                <c:pt idx="2">
                  <c:v>2015</c:v>
                </c:pt>
                <c:pt idx="3">
                  <c:v>2016</c:v>
                </c:pt>
                <c:pt idx="4">
                  <c:v>2017</c:v>
                </c:pt>
              </c:numCache>
              <c:extLst/>
            </c:numRef>
          </c:cat>
          <c:val>
            <c:numRef>
              <c:f>FCFF!$D$46:$M$46</c:f>
              <c:numCache>
                <c:formatCode>#,##0</c:formatCode>
                <c:ptCount val="5"/>
                <c:pt idx="0">
                  <c:v>15678</c:v>
                </c:pt>
                <c:pt idx="1">
                  <c:v>21264</c:v>
                </c:pt>
                <c:pt idx="2">
                  <c:v>23084</c:v>
                </c:pt>
                <c:pt idx="3">
                  <c:v>23819</c:v>
                </c:pt>
                <c:pt idx="4">
                  <c:v>25656</c:v>
                </c:pt>
              </c:numCache>
              <c:extLst/>
            </c:numRef>
          </c:val>
          <c:extLst>
            <c:ext xmlns:c16="http://schemas.microsoft.com/office/drawing/2014/chart" uri="{C3380CC4-5D6E-409C-BE32-E72D297353CC}">
              <c16:uniqueId val="{00000000-D6EC-47C7-AB77-E3A5FA71B27E}"/>
            </c:ext>
          </c:extLst>
        </c:ser>
        <c:ser>
          <c:idx val="1"/>
          <c:order val="1"/>
          <c:tx>
            <c:strRef>
              <c:f>FCFF!$C$47</c:f>
              <c:strCache>
                <c:ptCount val="1"/>
                <c:pt idx="0">
                  <c:v>Nakup opredmetenih sredstev</c:v>
                </c:pt>
              </c:strCache>
            </c:strRef>
          </c:tx>
          <c:spPr>
            <a:solidFill>
              <a:schemeClr val="accent3"/>
            </a:solidFill>
            <a:ln>
              <a:noFill/>
            </a:ln>
            <a:effectLst/>
          </c:spPr>
          <c:invertIfNegative val="0"/>
          <c:cat>
            <c:numRef>
              <c:f>FCFF!$D$45:$M$45</c:f>
              <c:numCache>
                <c:formatCode>General</c:formatCode>
                <c:ptCount val="5"/>
                <c:pt idx="0">
                  <c:v>2013</c:v>
                </c:pt>
                <c:pt idx="1">
                  <c:v>2014</c:v>
                </c:pt>
                <c:pt idx="2">
                  <c:v>2015</c:v>
                </c:pt>
                <c:pt idx="3">
                  <c:v>2016</c:v>
                </c:pt>
                <c:pt idx="4">
                  <c:v>2017</c:v>
                </c:pt>
              </c:numCache>
              <c:extLst/>
            </c:numRef>
          </c:cat>
          <c:val>
            <c:numRef>
              <c:f>FCFF!$D$47:$M$47</c:f>
              <c:numCache>
                <c:formatCode>#,##0</c:formatCode>
                <c:ptCount val="5"/>
                <c:pt idx="0">
                  <c:v>68232</c:v>
                </c:pt>
                <c:pt idx="1">
                  <c:v>40380</c:v>
                </c:pt>
                <c:pt idx="2">
                  <c:v>52412</c:v>
                </c:pt>
                <c:pt idx="3">
                  <c:v>59412</c:v>
                </c:pt>
                <c:pt idx="4">
                  <c:v>50043</c:v>
                </c:pt>
              </c:numCache>
              <c:extLst/>
            </c:numRef>
          </c:val>
          <c:extLst>
            <c:ext xmlns:c16="http://schemas.microsoft.com/office/drawing/2014/chart" uri="{C3380CC4-5D6E-409C-BE32-E72D297353CC}">
              <c16:uniqueId val="{00000001-D6EC-47C7-AB77-E3A5FA71B27E}"/>
            </c:ext>
          </c:extLst>
        </c:ser>
        <c:dLbls>
          <c:showLegendKey val="0"/>
          <c:showVal val="0"/>
          <c:showCatName val="0"/>
          <c:showSerName val="0"/>
          <c:showPercent val="0"/>
          <c:showBubbleSize val="0"/>
        </c:dLbls>
        <c:gapWidth val="219"/>
        <c:overlap val="-27"/>
        <c:axId val="570658976"/>
        <c:axId val="570662584"/>
      </c:barChart>
      <c:catAx>
        <c:axId val="5706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70662584"/>
        <c:crosses val="autoZero"/>
        <c:auto val="1"/>
        <c:lblAlgn val="ctr"/>
        <c:lblOffset val="100"/>
        <c:noMultiLvlLbl val="0"/>
      </c:catAx>
      <c:valAx>
        <c:axId val="570662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706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Bilanca!$B$15</c:f>
              <c:strCache>
                <c:ptCount val="1"/>
                <c:pt idx="0">
                  <c:v>Nekratkoročna sredstva za prodajo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Bilanca!$C$15:$G$15</c:f>
              <c:numCache>
                <c:formatCode>#,##0</c:formatCode>
                <c:ptCount val="5"/>
                <c:pt idx="0">
                  <c:v>1655</c:v>
                </c:pt>
                <c:pt idx="1">
                  <c:v>1648</c:v>
                </c:pt>
                <c:pt idx="2">
                  <c:v>309</c:v>
                </c:pt>
                <c:pt idx="3">
                  <c:v>314</c:v>
                </c:pt>
                <c:pt idx="4">
                  <c:v>305</c:v>
                </c:pt>
              </c:numCache>
            </c:numRef>
          </c:val>
          <c:extLst>
            <c:ext xmlns:c16="http://schemas.microsoft.com/office/drawing/2014/chart" uri="{C3380CC4-5D6E-409C-BE32-E72D297353CC}">
              <c16:uniqueId val="{00000000-806B-4937-867F-07D83AD15F93}"/>
            </c:ext>
          </c:extLst>
        </c:ser>
        <c:ser>
          <c:idx val="1"/>
          <c:order val="1"/>
          <c:tx>
            <c:strRef>
              <c:f>Bilanca!$B$16</c:f>
              <c:strCache>
                <c:ptCount val="1"/>
                <c:pt idx="0">
                  <c:v>Zaloge    </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Bilanca!$C$16:$G$16</c:f>
              <c:numCache>
                <c:formatCode>#,##0</c:formatCode>
                <c:ptCount val="5"/>
                <c:pt idx="0">
                  <c:v>235767</c:v>
                </c:pt>
                <c:pt idx="1">
                  <c:v>219799</c:v>
                </c:pt>
                <c:pt idx="2">
                  <c:v>225906</c:v>
                </c:pt>
                <c:pt idx="3">
                  <c:v>225954</c:v>
                </c:pt>
                <c:pt idx="4">
                  <c:v>220619</c:v>
                </c:pt>
              </c:numCache>
            </c:numRef>
          </c:val>
          <c:extLst>
            <c:ext xmlns:c16="http://schemas.microsoft.com/office/drawing/2014/chart" uri="{C3380CC4-5D6E-409C-BE32-E72D297353CC}">
              <c16:uniqueId val="{00000001-806B-4937-867F-07D83AD15F93}"/>
            </c:ext>
          </c:extLst>
        </c:ser>
        <c:ser>
          <c:idx val="2"/>
          <c:order val="2"/>
          <c:tx>
            <c:strRef>
              <c:f>Bilanca!$B$17</c:f>
              <c:strCache>
                <c:ptCount val="1"/>
                <c:pt idx="0">
                  <c:v>Kratkoročne finančne naložbe  </c:v>
                </c:pt>
              </c:strCache>
            </c:strRef>
          </c:tx>
          <c:spPr>
            <a:solidFill>
              <a:schemeClr val="tx2"/>
            </a:solidFill>
            <a:ln w="9525" cap="flat" cmpd="sng" algn="ctr">
              <a:solidFill>
                <a:schemeClr val="tx2"/>
              </a:solidFill>
              <a:round/>
            </a:ln>
            <a:effectLst/>
            <a:sp3d contourW="9525">
              <a:contourClr>
                <a:schemeClr val="tx2"/>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Bilanca!$C$17:$G$17</c:f>
              <c:numCache>
                <c:formatCode>#,##0</c:formatCode>
                <c:ptCount val="5"/>
                <c:pt idx="0">
                  <c:v>17202</c:v>
                </c:pt>
                <c:pt idx="1">
                  <c:v>20481</c:v>
                </c:pt>
                <c:pt idx="2">
                  <c:v>16370</c:v>
                </c:pt>
                <c:pt idx="3">
                  <c:v>8821</c:v>
                </c:pt>
                <c:pt idx="4">
                  <c:v>8059</c:v>
                </c:pt>
              </c:numCache>
            </c:numRef>
          </c:val>
          <c:extLst>
            <c:ext xmlns:c16="http://schemas.microsoft.com/office/drawing/2014/chart" uri="{C3380CC4-5D6E-409C-BE32-E72D297353CC}">
              <c16:uniqueId val="{00000002-806B-4937-867F-07D83AD15F93}"/>
            </c:ext>
          </c:extLst>
        </c:ser>
        <c:ser>
          <c:idx val="3"/>
          <c:order val="3"/>
          <c:tx>
            <c:strRef>
              <c:f>Bilanca!$B$18</c:f>
              <c:strCache>
                <c:ptCount val="1"/>
                <c:pt idx="0">
                  <c:v>Terjatve do kupcev  </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a:sp3d contourW="9525">
              <a:contourClr>
                <a:schemeClr val="accent4">
                  <a:shade val="9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Bilanca!$C$18:$G$18</c:f>
              <c:numCache>
                <c:formatCode>#,##0</c:formatCode>
                <c:ptCount val="5"/>
                <c:pt idx="0">
                  <c:v>205581</c:v>
                </c:pt>
                <c:pt idx="1">
                  <c:v>182589</c:v>
                </c:pt>
                <c:pt idx="2">
                  <c:v>161020</c:v>
                </c:pt>
                <c:pt idx="3">
                  <c:v>165786</c:v>
                </c:pt>
                <c:pt idx="4">
                  <c:v>180517</c:v>
                </c:pt>
              </c:numCache>
            </c:numRef>
          </c:val>
          <c:extLst>
            <c:ext xmlns:c16="http://schemas.microsoft.com/office/drawing/2014/chart" uri="{C3380CC4-5D6E-409C-BE32-E72D297353CC}">
              <c16:uniqueId val="{00000003-806B-4937-867F-07D83AD15F93}"/>
            </c:ext>
          </c:extLst>
        </c:ser>
        <c:ser>
          <c:idx val="4"/>
          <c:order val="4"/>
          <c:tx>
            <c:strRef>
              <c:f>Bilanca!$B$19</c:f>
              <c:strCache>
                <c:ptCount val="1"/>
                <c:pt idx="0">
                  <c:v>Druga kratkoročna sredstva  </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a:sp3d contourW="9525">
              <a:contourClr>
                <a:schemeClr val="accent5">
                  <a:shade val="9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Bilanca!$C$19:$G$19</c:f>
              <c:numCache>
                <c:formatCode>#,##0</c:formatCode>
                <c:ptCount val="5"/>
                <c:pt idx="0">
                  <c:v>45859</c:v>
                </c:pt>
                <c:pt idx="1">
                  <c:v>44207</c:v>
                </c:pt>
                <c:pt idx="2">
                  <c:v>49017</c:v>
                </c:pt>
                <c:pt idx="3">
                  <c:v>55258</c:v>
                </c:pt>
                <c:pt idx="4">
                  <c:v>57866</c:v>
                </c:pt>
              </c:numCache>
            </c:numRef>
          </c:val>
          <c:extLst>
            <c:ext xmlns:c16="http://schemas.microsoft.com/office/drawing/2014/chart" uri="{C3380CC4-5D6E-409C-BE32-E72D297353CC}">
              <c16:uniqueId val="{00000004-806B-4937-867F-07D83AD15F93}"/>
            </c:ext>
          </c:extLst>
        </c:ser>
        <c:ser>
          <c:idx val="5"/>
          <c:order val="5"/>
          <c:tx>
            <c:strRef>
              <c:f>Bilanca!$B$20</c:f>
              <c:strCache>
                <c:ptCount val="1"/>
                <c:pt idx="0">
                  <c:v>Terjatve za davek iz dobička</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sp3d contourW="9525">
              <a:contourClr>
                <a:schemeClr val="accent6">
                  <a:shade val="9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Bilanca!$C$20:$G$20</c:f>
              <c:numCache>
                <c:formatCode>#,##0</c:formatCode>
                <c:ptCount val="5"/>
                <c:pt idx="0">
                  <c:v>2756</c:v>
                </c:pt>
                <c:pt idx="1">
                  <c:v>3034</c:v>
                </c:pt>
                <c:pt idx="2">
                  <c:v>2917</c:v>
                </c:pt>
                <c:pt idx="3">
                  <c:v>3273</c:v>
                </c:pt>
                <c:pt idx="4">
                  <c:v>2736</c:v>
                </c:pt>
              </c:numCache>
            </c:numRef>
          </c:val>
          <c:extLst>
            <c:ext xmlns:c16="http://schemas.microsoft.com/office/drawing/2014/chart" uri="{C3380CC4-5D6E-409C-BE32-E72D297353CC}">
              <c16:uniqueId val="{00000005-806B-4937-867F-07D83AD15F93}"/>
            </c:ext>
          </c:extLst>
        </c:ser>
        <c:ser>
          <c:idx val="6"/>
          <c:order val="6"/>
          <c:tx>
            <c:strRef>
              <c:f>Bilanca!$B$21</c:f>
              <c:strCache>
                <c:ptCount val="1"/>
                <c:pt idx="0">
                  <c:v>Denar in denarni ustrezniki </c:v>
                </c:pt>
              </c:strCache>
            </c:strRef>
          </c:tx>
          <c:spPr>
            <a:solidFill>
              <a:srgbClr val="66CCFF"/>
            </a:solidFill>
            <a:ln w="9525" cap="flat" cmpd="sng" algn="ctr">
              <a:solidFill>
                <a:srgbClr val="66CCFF"/>
              </a:solidFill>
              <a:round/>
            </a:ln>
            <a:effectLst/>
            <a:sp3d contourW="9525">
              <a:contourClr>
                <a:srgbClr val="66CCFF"/>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Bilanca!$C$21:$G$21</c:f>
              <c:numCache>
                <c:formatCode>#,##0</c:formatCode>
                <c:ptCount val="5"/>
                <c:pt idx="0">
                  <c:v>38589</c:v>
                </c:pt>
                <c:pt idx="1">
                  <c:v>36062</c:v>
                </c:pt>
                <c:pt idx="2">
                  <c:v>31610</c:v>
                </c:pt>
                <c:pt idx="3">
                  <c:v>35242</c:v>
                </c:pt>
                <c:pt idx="4">
                  <c:v>25037</c:v>
                </c:pt>
              </c:numCache>
            </c:numRef>
          </c:val>
          <c:extLst>
            <c:ext xmlns:c16="http://schemas.microsoft.com/office/drawing/2014/chart" uri="{C3380CC4-5D6E-409C-BE32-E72D297353CC}">
              <c16:uniqueId val="{00000006-806B-4937-867F-07D83AD15F93}"/>
            </c:ext>
          </c:extLst>
        </c:ser>
        <c:dLbls>
          <c:showLegendKey val="0"/>
          <c:showVal val="0"/>
          <c:showCatName val="0"/>
          <c:showSerName val="0"/>
          <c:showPercent val="0"/>
          <c:showBubbleSize val="0"/>
        </c:dLbls>
        <c:gapWidth val="150"/>
        <c:shape val="box"/>
        <c:axId val="1107208368"/>
        <c:axId val="1239077952"/>
        <c:axId val="0"/>
      </c:bar3DChart>
      <c:catAx>
        <c:axId val="11072083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239077952"/>
        <c:crosses val="autoZero"/>
        <c:auto val="1"/>
        <c:lblAlgn val="ctr"/>
        <c:lblOffset val="100"/>
        <c:noMultiLvlLbl val="0"/>
      </c:catAx>
      <c:valAx>
        <c:axId val="1239077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107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FCFF!$D$57</c:f>
              <c:strCache>
                <c:ptCount val="1"/>
                <c:pt idx="0">
                  <c:v>2013</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FCFF!$C$64</c:f>
              <c:strCache>
                <c:ptCount val="1"/>
                <c:pt idx="0">
                  <c:v>Čisti obratni kapital</c:v>
                </c:pt>
              </c:strCache>
            </c:strRef>
          </c:cat>
          <c:val>
            <c:numRef>
              <c:f>FCFF!$D$64</c:f>
              <c:numCache>
                <c:formatCode>#,##0</c:formatCode>
                <c:ptCount val="1"/>
                <c:pt idx="0">
                  <c:v>244143</c:v>
                </c:pt>
              </c:numCache>
            </c:numRef>
          </c:val>
          <c:extLst>
            <c:ext xmlns:c16="http://schemas.microsoft.com/office/drawing/2014/chart" uri="{C3380CC4-5D6E-409C-BE32-E72D297353CC}">
              <c16:uniqueId val="{00000000-2EB1-4DE0-A0C6-553DA20D79B6}"/>
            </c:ext>
          </c:extLst>
        </c:ser>
        <c:ser>
          <c:idx val="1"/>
          <c:order val="1"/>
          <c:tx>
            <c:strRef>
              <c:f>FCFF!$E$57</c:f>
              <c:strCache>
                <c:ptCount val="1"/>
                <c:pt idx="0">
                  <c:v>2014</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FCFF!$C$64</c:f>
              <c:strCache>
                <c:ptCount val="1"/>
                <c:pt idx="0">
                  <c:v>Čisti obratni kapital</c:v>
                </c:pt>
              </c:strCache>
            </c:strRef>
          </c:cat>
          <c:val>
            <c:numRef>
              <c:f>FCFF!$E$64</c:f>
              <c:numCache>
                <c:formatCode>#,##0</c:formatCode>
                <c:ptCount val="1"/>
                <c:pt idx="0">
                  <c:v>211134</c:v>
                </c:pt>
              </c:numCache>
            </c:numRef>
          </c:val>
          <c:extLst>
            <c:ext xmlns:c16="http://schemas.microsoft.com/office/drawing/2014/chart" uri="{C3380CC4-5D6E-409C-BE32-E72D297353CC}">
              <c16:uniqueId val="{00000001-2EB1-4DE0-A0C6-553DA20D79B6}"/>
            </c:ext>
          </c:extLst>
        </c:ser>
        <c:ser>
          <c:idx val="2"/>
          <c:order val="2"/>
          <c:tx>
            <c:strRef>
              <c:f>FCFF!$F$57</c:f>
              <c:strCache>
                <c:ptCount val="1"/>
                <c:pt idx="0">
                  <c:v>2015</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FCFF!$C$64</c:f>
              <c:strCache>
                <c:ptCount val="1"/>
                <c:pt idx="0">
                  <c:v>Čisti obratni kapital</c:v>
                </c:pt>
              </c:strCache>
            </c:strRef>
          </c:cat>
          <c:val>
            <c:numRef>
              <c:f>FCFF!$F$64</c:f>
              <c:numCache>
                <c:formatCode>#,##0</c:formatCode>
                <c:ptCount val="1"/>
                <c:pt idx="0">
                  <c:v>173903</c:v>
                </c:pt>
              </c:numCache>
            </c:numRef>
          </c:val>
          <c:extLst>
            <c:ext xmlns:c16="http://schemas.microsoft.com/office/drawing/2014/chart" uri="{C3380CC4-5D6E-409C-BE32-E72D297353CC}">
              <c16:uniqueId val="{00000002-2EB1-4DE0-A0C6-553DA20D79B6}"/>
            </c:ext>
          </c:extLst>
        </c:ser>
        <c:ser>
          <c:idx val="3"/>
          <c:order val="3"/>
          <c:tx>
            <c:strRef>
              <c:f>FCFF!$G$57</c:f>
              <c:strCache>
                <c:ptCount val="1"/>
                <c:pt idx="0">
                  <c:v>2016</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FCFF!$C$64</c:f>
              <c:strCache>
                <c:ptCount val="1"/>
                <c:pt idx="0">
                  <c:v>Čisti obratni kapital</c:v>
                </c:pt>
              </c:strCache>
            </c:strRef>
          </c:cat>
          <c:val>
            <c:numRef>
              <c:f>FCFF!$G$64</c:f>
              <c:numCache>
                <c:formatCode>#,##0</c:formatCode>
                <c:ptCount val="1"/>
                <c:pt idx="0">
                  <c:v>180149</c:v>
                </c:pt>
              </c:numCache>
            </c:numRef>
          </c:val>
          <c:extLst>
            <c:ext xmlns:c16="http://schemas.microsoft.com/office/drawing/2014/chart" uri="{C3380CC4-5D6E-409C-BE32-E72D297353CC}">
              <c16:uniqueId val="{00000003-2EB1-4DE0-A0C6-553DA20D79B6}"/>
            </c:ext>
          </c:extLst>
        </c:ser>
        <c:ser>
          <c:idx val="4"/>
          <c:order val="4"/>
          <c:tx>
            <c:strRef>
              <c:f>FCFF!$H$57</c:f>
              <c:strCache>
                <c:ptCount val="1"/>
                <c:pt idx="0">
                  <c:v>2017</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FCFF!$C$64</c:f>
              <c:strCache>
                <c:ptCount val="1"/>
                <c:pt idx="0">
                  <c:v>Čisti obratni kapital</c:v>
                </c:pt>
              </c:strCache>
            </c:strRef>
          </c:cat>
          <c:val>
            <c:numRef>
              <c:f>FCFF!$H$64</c:f>
              <c:numCache>
                <c:formatCode>#,##0</c:formatCode>
                <c:ptCount val="1"/>
                <c:pt idx="0">
                  <c:v>168317</c:v>
                </c:pt>
              </c:numCache>
            </c:numRef>
          </c:val>
          <c:extLst>
            <c:ext xmlns:c16="http://schemas.microsoft.com/office/drawing/2014/chart" uri="{C3380CC4-5D6E-409C-BE32-E72D297353CC}">
              <c16:uniqueId val="{00000004-2EB1-4DE0-A0C6-553DA20D79B6}"/>
            </c:ext>
          </c:extLst>
        </c:ser>
        <c:dLbls>
          <c:dLblPos val="outEnd"/>
          <c:showLegendKey val="0"/>
          <c:showVal val="1"/>
          <c:showCatName val="0"/>
          <c:showSerName val="0"/>
          <c:showPercent val="0"/>
          <c:showBubbleSize val="0"/>
        </c:dLbls>
        <c:gapWidth val="164"/>
        <c:overlap val="-22"/>
        <c:axId val="1706197200"/>
        <c:axId val="1345969120"/>
      </c:barChart>
      <c:catAx>
        <c:axId val="1706197200"/>
        <c:scaling>
          <c:orientation val="minMax"/>
        </c:scaling>
        <c:delete val="1"/>
        <c:axPos val="b"/>
        <c:numFmt formatCode="General" sourceLinked="1"/>
        <c:majorTickMark val="none"/>
        <c:minorTickMark val="none"/>
        <c:tickLblPos val="nextTo"/>
        <c:crossAx val="1345969120"/>
        <c:crosses val="autoZero"/>
        <c:auto val="1"/>
        <c:lblAlgn val="ctr"/>
        <c:lblOffset val="100"/>
        <c:tickLblSkip val="1"/>
        <c:noMultiLvlLbl val="0"/>
      </c:catAx>
      <c:valAx>
        <c:axId val="134596912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706197200"/>
        <c:crosses val="autoZero"/>
        <c:crossBetween val="between"/>
      </c:valAx>
      <c:spPr>
        <a:noFill/>
        <a:ln>
          <a:noFill/>
        </a:ln>
        <a:effectLst/>
      </c:spPr>
    </c:plotArea>
    <c:legend>
      <c:legendPos val="b"/>
      <c:layout>
        <c:manualLayout>
          <c:xMode val="edge"/>
          <c:yMode val="edge"/>
          <c:x val="0.19894553805774279"/>
          <c:y val="0.89409667541557303"/>
          <c:w val="0.6771089238845144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4"/>
    </mc:Choice>
    <mc:Fallback>
      <c:style val="4"/>
    </mc:Fallback>
  </mc:AlternateContent>
  <c:chart>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Bilanca!$B$23</c:f>
              <c:strCache>
                <c:ptCount val="1"/>
                <c:pt idx="0">
                  <c:v>Kapital    </c:v>
                </c:pt>
              </c:strCache>
            </c:strRef>
          </c:tx>
          <c:spPr>
            <a:solidFill>
              <a:schemeClr val="accent2">
                <a:lumMod val="75000"/>
              </a:schemeClr>
            </a:solidFill>
            <a:ln>
              <a:solidFill>
                <a:schemeClr val="accent2">
                  <a:shade val="76000"/>
                  <a:lumMod val="75000"/>
                </a:schemeClr>
              </a:solidFill>
            </a:ln>
            <a:effectLst/>
            <a:scene3d>
              <a:camera prst="orthographicFront"/>
              <a:lightRig rig="threePt" dir="t"/>
            </a:scene3d>
            <a:sp3d prstMaterial="translucentPowder">
              <a:contourClr>
                <a:schemeClr val="accent2">
                  <a:shade val="76000"/>
                  <a:lumMod val="75000"/>
                </a:schemeClr>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Bilanca!$C$23:$G$23</c:f>
              <c:numCache>
                <c:formatCode>#,##0</c:formatCode>
                <c:ptCount val="5"/>
                <c:pt idx="0">
                  <c:v>380670</c:v>
                </c:pt>
                <c:pt idx="1">
                  <c:v>380267</c:v>
                </c:pt>
                <c:pt idx="2">
                  <c:v>368062</c:v>
                </c:pt>
                <c:pt idx="3">
                  <c:v>366541</c:v>
                </c:pt>
                <c:pt idx="4">
                  <c:v>368344</c:v>
                </c:pt>
              </c:numCache>
            </c:numRef>
          </c:val>
          <c:extLst>
            <c:ext xmlns:c16="http://schemas.microsoft.com/office/drawing/2014/chart" uri="{C3380CC4-5D6E-409C-BE32-E72D297353CC}">
              <c16:uniqueId val="{00000000-D05C-4F42-BA14-196705BBF9E9}"/>
            </c:ext>
          </c:extLst>
        </c:ser>
        <c:ser>
          <c:idx val="1"/>
          <c:order val="1"/>
          <c:tx>
            <c:strRef>
              <c:f>Bilanca!$B$46</c:f>
              <c:strCache>
                <c:ptCount val="1"/>
                <c:pt idx="0">
                  <c:v>Posojilo</c:v>
                </c:pt>
              </c:strCache>
            </c:strRef>
          </c:tx>
          <c:spPr>
            <a:solidFill>
              <a:srgbClr val="FFCC99"/>
            </a:solidFill>
            <a:ln>
              <a:solidFill>
                <a:srgbClr val="FFCC99"/>
              </a:solidFill>
            </a:ln>
            <a:effectLst/>
            <a:scene3d>
              <a:camera prst="orthographicFront"/>
              <a:lightRig rig="threePt" dir="t"/>
            </a:scene3d>
            <a:sp3d prstMaterial="translucentPowder">
              <a:contourClr>
                <a:srgbClr val="FFCC99"/>
              </a:contourClr>
            </a:sp3d>
          </c:spPr>
          <c:invertIfNegative val="0"/>
          <c:cat>
            <c:numRef>
              <c:f>Bilanca!$C$3:$G$3</c:f>
              <c:numCache>
                <c:formatCode>General</c:formatCode>
                <c:ptCount val="5"/>
                <c:pt idx="0">
                  <c:v>2013</c:v>
                </c:pt>
                <c:pt idx="1">
                  <c:v>2014</c:v>
                </c:pt>
                <c:pt idx="2">
                  <c:v>2015</c:v>
                </c:pt>
                <c:pt idx="3">
                  <c:v>2016</c:v>
                </c:pt>
                <c:pt idx="4">
                  <c:v>2017</c:v>
                </c:pt>
              </c:numCache>
            </c:numRef>
          </c:cat>
          <c:val>
            <c:numRef>
              <c:f>Bilanca!$C$46:$G$46</c:f>
              <c:numCache>
                <c:formatCode>#,##0</c:formatCode>
                <c:ptCount val="5"/>
                <c:pt idx="0">
                  <c:v>397413</c:v>
                </c:pt>
                <c:pt idx="1">
                  <c:v>367606</c:v>
                </c:pt>
                <c:pt idx="2">
                  <c:v>362024</c:v>
                </c:pt>
                <c:pt idx="3">
                  <c:v>376842</c:v>
                </c:pt>
                <c:pt idx="4">
                  <c:v>383751</c:v>
                </c:pt>
              </c:numCache>
            </c:numRef>
          </c:val>
          <c:extLst>
            <c:ext xmlns:c16="http://schemas.microsoft.com/office/drawing/2014/chart" uri="{C3380CC4-5D6E-409C-BE32-E72D297353CC}">
              <c16:uniqueId val="{00000001-D05C-4F42-BA14-196705BBF9E9}"/>
            </c:ext>
          </c:extLst>
        </c:ser>
        <c:dLbls>
          <c:showLegendKey val="0"/>
          <c:showVal val="0"/>
          <c:showCatName val="0"/>
          <c:showSerName val="0"/>
          <c:showPercent val="0"/>
          <c:showBubbleSize val="0"/>
        </c:dLbls>
        <c:gapWidth val="150"/>
        <c:shape val="box"/>
        <c:axId val="1414106992"/>
        <c:axId val="1239039264"/>
        <c:axId val="0"/>
      </c:bar3DChart>
      <c:catAx>
        <c:axId val="14141069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239039264"/>
        <c:crosses val="autoZero"/>
        <c:auto val="1"/>
        <c:lblAlgn val="ctr"/>
        <c:lblOffset val="100"/>
        <c:noMultiLvlLbl val="0"/>
      </c:catAx>
      <c:valAx>
        <c:axId val="1239039264"/>
        <c:scaling>
          <c:orientation val="minMax"/>
        </c:scaling>
        <c:delete val="0"/>
        <c:axPos val="b"/>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41410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w="19050" cap="flat" cmpd="sng" algn="ctr">
          <a:solidFill>
            <a:schemeClr val="tx1">
              <a:lumMod val="25000"/>
              <a:lumOff val="75000"/>
            </a:schemeClr>
          </a:solidFill>
          <a:round/>
        </a:ln>
        <a:effectLst/>
        <a:sp3d contourW="19050">
          <a:contourClr>
            <a:schemeClr val="tx1">
              <a:lumMod val="25000"/>
              <a:lumOff val="75000"/>
            </a:schemeClr>
          </a:contourClr>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514721896465069"/>
          <c:y val="0.12485118486983385"/>
          <c:w val="0.76609391578712238"/>
          <c:h val="0.73640319481595906"/>
        </c:manualLayout>
      </c:layout>
      <c:bar3DChart>
        <c:barDir val="col"/>
        <c:grouping val="clustered"/>
        <c:varyColors val="0"/>
        <c:ser>
          <c:idx val="0"/>
          <c:order val="0"/>
          <c:tx>
            <c:strRef>
              <c:f>Primerjava!$A$48</c:f>
              <c:strCache>
                <c:ptCount val="1"/>
                <c:pt idx="0">
                  <c:v>Electrolux</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numRef>
              <c:f>Primerjava!$B$47:$F$47</c:f>
              <c:numCache>
                <c:formatCode>General</c:formatCode>
                <c:ptCount val="5"/>
                <c:pt idx="0">
                  <c:v>2013</c:v>
                </c:pt>
                <c:pt idx="1">
                  <c:v>2014</c:v>
                </c:pt>
                <c:pt idx="2">
                  <c:v>2015</c:v>
                </c:pt>
                <c:pt idx="3">
                  <c:v>2016</c:v>
                </c:pt>
                <c:pt idx="4">
                  <c:v>2017</c:v>
                </c:pt>
              </c:numCache>
            </c:numRef>
          </c:cat>
          <c:val>
            <c:numRef>
              <c:f>Primerjava!$B$48:$F$48</c:f>
              <c:numCache>
                <c:formatCode>0.00%</c:formatCode>
                <c:ptCount val="5"/>
                <c:pt idx="0">
                  <c:v>0.18826068078051605</c:v>
                </c:pt>
                <c:pt idx="1">
                  <c:v>0.19218560358509942</c:v>
                </c:pt>
                <c:pt idx="2">
                  <c:v>0.17976303147200826</c:v>
                </c:pt>
                <c:pt idx="3">
                  <c:v>0.20662100456621005</c:v>
                </c:pt>
                <c:pt idx="4">
                  <c:v>0.22966357787218858</c:v>
                </c:pt>
              </c:numCache>
            </c:numRef>
          </c:val>
          <c:extLst>
            <c:ext xmlns:c16="http://schemas.microsoft.com/office/drawing/2014/chart" uri="{C3380CC4-5D6E-409C-BE32-E72D297353CC}">
              <c16:uniqueId val="{00000000-9A40-4F3C-BCC4-1E7AED4E498F}"/>
            </c:ext>
          </c:extLst>
        </c:ser>
        <c:ser>
          <c:idx val="1"/>
          <c:order val="1"/>
          <c:tx>
            <c:strRef>
              <c:f>Primerjava!$A$49</c:f>
              <c:strCache>
                <c:ptCount val="1"/>
                <c:pt idx="0">
                  <c:v>Skupina Gorenje</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numRef>
              <c:f>Primerjava!$B$47:$F$47</c:f>
              <c:numCache>
                <c:formatCode>General</c:formatCode>
                <c:ptCount val="5"/>
                <c:pt idx="0">
                  <c:v>2013</c:v>
                </c:pt>
                <c:pt idx="1">
                  <c:v>2014</c:v>
                </c:pt>
                <c:pt idx="2">
                  <c:v>2015</c:v>
                </c:pt>
                <c:pt idx="3">
                  <c:v>2016</c:v>
                </c:pt>
                <c:pt idx="4">
                  <c:v>2017</c:v>
                </c:pt>
              </c:numCache>
            </c:numRef>
          </c:cat>
          <c:val>
            <c:numRef>
              <c:f>Primerjava!$B$49:$F$49</c:f>
              <c:numCache>
                <c:formatCode>0.00%</c:formatCode>
                <c:ptCount val="5"/>
                <c:pt idx="0">
                  <c:v>0.3315753027920893</c:v>
                </c:pt>
                <c:pt idx="1">
                  <c:v>0.34494529199073293</c:v>
                </c:pt>
                <c:pt idx="2">
                  <c:v>0.33421473675034552</c:v>
                </c:pt>
                <c:pt idx="3">
                  <c:v>0.3261290454607737</c:v>
                </c:pt>
                <c:pt idx="4">
                  <c:v>0.32222801535452222</c:v>
                </c:pt>
              </c:numCache>
            </c:numRef>
          </c:val>
          <c:extLst>
            <c:ext xmlns:c16="http://schemas.microsoft.com/office/drawing/2014/chart" uri="{C3380CC4-5D6E-409C-BE32-E72D297353CC}">
              <c16:uniqueId val="{00000001-9A40-4F3C-BCC4-1E7AED4E498F}"/>
            </c:ext>
          </c:extLst>
        </c:ser>
        <c:dLbls>
          <c:showLegendKey val="0"/>
          <c:showVal val="0"/>
          <c:showCatName val="0"/>
          <c:showSerName val="0"/>
          <c:showPercent val="0"/>
          <c:showBubbleSize val="0"/>
        </c:dLbls>
        <c:gapWidth val="150"/>
        <c:shape val="box"/>
        <c:axId val="504809896"/>
        <c:axId val="504806616"/>
        <c:axId val="0"/>
      </c:bar3DChart>
      <c:catAx>
        <c:axId val="50480989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806616"/>
        <c:crosses val="autoZero"/>
        <c:auto val="1"/>
        <c:lblAlgn val="ctr"/>
        <c:lblOffset val="100"/>
        <c:noMultiLvlLbl val="0"/>
      </c:catAx>
      <c:valAx>
        <c:axId val="504806616"/>
        <c:scaling>
          <c:orientation val="minMax"/>
        </c:scaling>
        <c:delete val="0"/>
        <c:axPos val="l"/>
        <c:majorGridlines>
          <c:spPr>
            <a:ln>
              <a:solidFill>
                <a:schemeClr val="tx1">
                  <a:lumMod val="15000"/>
                  <a:lumOff val="85000"/>
                </a:schemeClr>
              </a:solidFill>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809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8514721896465069"/>
          <c:y val="0.14279376860189127"/>
          <c:w val="0.76609391578712238"/>
          <c:h val="0.71846061108390158"/>
        </c:manualLayout>
      </c:layout>
      <c:bar3DChart>
        <c:barDir val="col"/>
        <c:grouping val="clustered"/>
        <c:varyColors val="0"/>
        <c:ser>
          <c:idx val="0"/>
          <c:order val="0"/>
          <c:tx>
            <c:strRef>
              <c:f>Primerjava!$A$54</c:f>
              <c:strCache>
                <c:ptCount val="1"/>
                <c:pt idx="0">
                  <c:v>Electrolux</c:v>
                </c:pt>
              </c:strCache>
            </c:strRef>
          </c:tx>
          <c:spPr>
            <a:solidFill>
              <a:schemeClr val="accent1"/>
            </a:solidFill>
            <a:ln>
              <a:noFill/>
            </a:ln>
            <a:effectLst/>
            <a:sp3d/>
          </c:spPr>
          <c:invertIfNegative val="0"/>
          <c:cat>
            <c:numRef>
              <c:f>Primerjava!$B$53:$F$53</c:f>
              <c:numCache>
                <c:formatCode>General</c:formatCode>
                <c:ptCount val="5"/>
                <c:pt idx="0">
                  <c:v>2013</c:v>
                </c:pt>
                <c:pt idx="1">
                  <c:v>2014</c:v>
                </c:pt>
                <c:pt idx="2">
                  <c:v>2015</c:v>
                </c:pt>
                <c:pt idx="3">
                  <c:v>2016</c:v>
                </c:pt>
                <c:pt idx="4">
                  <c:v>2017</c:v>
                </c:pt>
              </c:numCache>
            </c:numRef>
          </c:cat>
          <c:val>
            <c:numRef>
              <c:f>Primerjava!$B$54:$F$54</c:f>
              <c:numCache>
                <c:formatCode>0.00%</c:formatCode>
                <c:ptCount val="5"/>
                <c:pt idx="0">
                  <c:v>0.19299746055972947</c:v>
                </c:pt>
                <c:pt idx="1">
                  <c:v>0.52148492204275976</c:v>
                </c:pt>
                <c:pt idx="2">
                  <c:v>0.1536701369337854</c:v>
                </c:pt>
                <c:pt idx="3">
                  <c:v>0.1136776628459603</c:v>
                </c:pt>
                <c:pt idx="4">
                  <c:v>0.10350249222225939</c:v>
                </c:pt>
              </c:numCache>
            </c:numRef>
          </c:val>
          <c:extLst>
            <c:ext xmlns:c16="http://schemas.microsoft.com/office/drawing/2014/chart" uri="{C3380CC4-5D6E-409C-BE32-E72D297353CC}">
              <c16:uniqueId val="{00000000-7F17-4598-BC32-B57EF5263161}"/>
            </c:ext>
          </c:extLst>
        </c:ser>
        <c:ser>
          <c:idx val="1"/>
          <c:order val="1"/>
          <c:tx>
            <c:strRef>
              <c:f>Primerjava!$A$55</c:f>
              <c:strCache>
                <c:ptCount val="1"/>
                <c:pt idx="0">
                  <c:v>Skupina Gorenje</c:v>
                </c:pt>
              </c:strCache>
            </c:strRef>
          </c:tx>
          <c:spPr>
            <a:solidFill>
              <a:schemeClr val="accent2"/>
            </a:solidFill>
            <a:ln>
              <a:noFill/>
            </a:ln>
            <a:effectLst/>
            <a:sp3d/>
          </c:spPr>
          <c:invertIfNegative val="0"/>
          <c:cat>
            <c:numRef>
              <c:f>Primerjava!$B$53:$F$53</c:f>
              <c:numCache>
                <c:formatCode>General</c:formatCode>
                <c:ptCount val="5"/>
                <c:pt idx="0">
                  <c:v>2013</c:v>
                </c:pt>
                <c:pt idx="1">
                  <c:v>2014</c:v>
                </c:pt>
                <c:pt idx="2">
                  <c:v>2015</c:v>
                </c:pt>
                <c:pt idx="3">
                  <c:v>2016</c:v>
                </c:pt>
                <c:pt idx="4">
                  <c:v>2017</c:v>
                </c:pt>
              </c:numCache>
            </c:numRef>
          </c:cat>
          <c:val>
            <c:numRef>
              <c:f>Primerjava!$B$55:$F$55</c:f>
              <c:numCache>
                <c:formatCode>0.00%</c:formatCode>
                <c:ptCount val="5"/>
                <c:pt idx="0">
                  <c:v>0.34615897183521838</c:v>
                </c:pt>
                <c:pt idx="1">
                  <c:v>0.33346032920959578</c:v>
                </c:pt>
                <c:pt idx="2">
                  <c:v>0.3287319958520768</c:v>
                </c:pt>
                <c:pt idx="3">
                  <c:v>0.33529433746710158</c:v>
                </c:pt>
                <c:pt idx="4">
                  <c:v>0.33570608757116516</c:v>
                </c:pt>
              </c:numCache>
            </c:numRef>
          </c:val>
          <c:extLst>
            <c:ext xmlns:c16="http://schemas.microsoft.com/office/drawing/2014/chart" uri="{C3380CC4-5D6E-409C-BE32-E72D297353CC}">
              <c16:uniqueId val="{00000001-7F17-4598-BC32-B57EF5263161}"/>
            </c:ext>
          </c:extLst>
        </c:ser>
        <c:dLbls>
          <c:showLegendKey val="0"/>
          <c:showVal val="0"/>
          <c:showCatName val="0"/>
          <c:showSerName val="0"/>
          <c:showPercent val="0"/>
          <c:showBubbleSize val="0"/>
        </c:dLbls>
        <c:gapWidth val="150"/>
        <c:shape val="box"/>
        <c:axId val="504815144"/>
        <c:axId val="504819408"/>
        <c:axId val="0"/>
      </c:bar3DChart>
      <c:catAx>
        <c:axId val="5048151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819408"/>
        <c:crosses val="autoZero"/>
        <c:auto val="1"/>
        <c:lblAlgn val="ctr"/>
        <c:lblOffset val="100"/>
        <c:noMultiLvlLbl val="0"/>
      </c:catAx>
      <c:valAx>
        <c:axId val="504819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815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Primerjava!$A$97</c:f>
              <c:strCache>
                <c:ptCount val="1"/>
                <c:pt idx="0">
                  <c:v>Electrolux</c:v>
                </c:pt>
              </c:strCache>
            </c:strRef>
          </c:tx>
          <c:spPr>
            <a:ln w="28575" cap="rnd">
              <a:solidFill>
                <a:schemeClr val="tx1">
                  <a:lumMod val="85000"/>
                  <a:lumOff val="15000"/>
                </a:schemeClr>
              </a:solidFill>
              <a:round/>
            </a:ln>
            <a:effectLst/>
          </c:spPr>
          <c:marker>
            <c:symbol val="none"/>
          </c:marker>
          <c:cat>
            <c:numRef>
              <c:f>Primerjava!$B$96:$F$96</c:f>
              <c:numCache>
                <c:formatCode>General</c:formatCode>
                <c:ptCount val="5"/>
                <c:pt idx="0">
                  <c:v>2013</c:v>
                </c:pt>
                <c:pt idx="1">
                  <c:v>2014</c:v>
                </c:pt>
                <c:pt idx="2">
                  <c:v>2015</c:v>
                </c:pt>
                <c:pt idx="3">
                  <c:v>2016</c:v>
                </c:pt>
                <c:pt idx="4">
                  <c:v>2017</c:v>
                </c:pt>
              </c:numCache>
            </c:numRef>
          </c:cat>
          <c:val>
            <c:numRef>
              <c:f>Primerjava!$B$97:$F$97</c:f>
              <c:numCache>
                <c:formatCode>0.00</c:formatCode>
                <c:ptCount val="5"/>
                <c:pt idx="0">
                  <c:v>2.971636952998379</c:v>
                </c:pt>
                <c:pt idx="1">
                  <c:v>6.161748483177055</c:v>
                </c:pt>
                <c:pt idx="2">
                  <c:v>1.9210723378762917</c:v>
                </c:pt>
                <c:pt idx="3">
                  <c:v>0.95601489028213171</c:v>
                </c:pt>
                <c:pt idx="4">
                  <c:v>0.81535488404778633</c:v>
                </c:pt>
              </c:numCache>
            </c:numRef>
          </c:val>
          <c:smooth val="0"/>
          <c:extLst>
            <c:ext xmlns:c16="http://schemas.microsoft.com/office/drawing/2014/chart" uri="{C3380CC4-5D6E-409C-BE32-E72D297353CC}">
              <c16:uniqueId val="{00000000-7FE7-48B1-B3F3-C86D8B4F4F68}"/>
            </c:ext>
          </c:extLst>
        </c:ser>
        <c:ser>
          <c:idx val="1"/>
          <c:order val="1"/>
          <c:tx>
            <c:strRef>
              <c:f>Primerjava!$A$98</c:f>
              <c:strCache>
                <c:ptCount val="1"/>
                <c:pt idx="0">
                  <c:v>Skupina Gorenje</c:v>
                </c:pt>
              </c:strCache>
            </c:strRef>
          </c:tx>
          <c:spPr>
            <a:ln w="28575" cap="rnd">
              <a:solidFill>
                <a:schemeClr val="dk1">
                  <a:tint val="55000"/>
                </a:schemeClr>
              </a:solidFill>
              <a:round/>
            </a:ln>
            <a:effectLst/>
          </c:spPr>
          <c:marker>
            <c:symbol val="none"/>
          </c:marker>
          <c:cat>
            <c:numRef>
              <c:f>Primerjava!$B$96:$F$96</c:f>
              <c:numCache>
                <c:formatCode>General</c:formatCode>
                <c:ptCount val="5"/>
                <c:pt idx="0">
                  <c:v>2013</c:v>
                </c:pt>
                <c:pt idx="1">
                  <c:v>2014</c:v>
                </c:pt>
                <c:pt idx="2">
                  <c:v>2015</c:v>
                </c:pt>
                <c:pt idx="3">
                  <c:v>2016</c:v>
                </c:pt>
                <c:pt idx="4">
                  <c:v>2017</c:v>
                </c:pt>
              </c:numCache>
            </c:numRef>
          </c:cat>
          <c:val>
            <c:numRef>
              <c:f>Primerjava!$B$98:$F$98</c:f>
              <c:numCache>
                <c:formatCode>0.00</c:formatCode>
                <c:ptCount val="5"/>
                <c:pt idx="0">
                  <c:v>4.3682884726040534</c:v>
                </c:pt>
                <c:pt idx="1">
                  <c:v>3.6358674053813966</c:v>
                </c:pt>
                <c:pt idx="2">
                  <c:v>3.9212366396963341</c:v>
                </c:pt>
                <c:pt idx="3">
                  <c:v>3.8142608257112074</c:v>
                </c:pt>
                <c:pt idx="4">
                  <c:v>4.5914679655890325</c:v>
                </c:pt>
              </c:numCache>
            </c:numRef>
          </c:val>
          <c:smooth val="0"/>
          <c:extLst>
            <c:ext xmlns:c16="http://schemas.microsoft.com/office/drawing/2014/chart" uri="{C3380CC4-5D6E-409C-BE32-E72D297353CC}">
              <c16:uniqueId val="{00000001-7FE7-48B1-B3F3-C86D8B4F4F68}"/>
            </c:ext>
          </c:extLst>
        </c:ser>
        <c:dLbls>
          <c:showLegendKey val="0"/>
          <c:showVal val="0"/>
          <c:showCatName val="0"/>
          <c:showSerName val="0"/>
          <c:showPercent val="0"/>
          <c:showBubbleSize val="0"/>
        </c:dLbls>
        <c:smooth val="0"/>
        <c:axId val="1898228015"/>
        <c:axId val="1809309487"/>
      </c:lineChart>
      <c:catAx>
        <c:axId val="189822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1809309487"/>
        <c:crosses val="autoZero"/>
        <c:auto val="1"/>
        <c:lblAlgn val="ctr"/>
        <c:lblOffset val="100"/>
        <c:noMultiLvlLbl val="0"/>
      </c:catAx>
      <c:valAx>
        <c:axId val="18093094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1898228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a:pPr>
      <a:endParaRPr lang="sl-SI"/>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01543141639145E-2"/>
          <c:y val="0.13370018526145366"/>
          <c:w val="0.82298294118496196"/>
          <c:h val="0.78267585433289555"/>
        </c:manualLayout>
      </c:layout>
      <c:barChart>
        <c:barDir val="col"/>
        <c:grouping val="stacked"/>
        <c:varyColors val="0"/>
        <c:ser>
          <c:idx val="0"/>
          <c:order val="0"/>
          <c:tx>
            <c:strRef>
              <c:f>FCFF!$C$4</c:f>
              <c:strCache>
                <c:ptCount val="1"/>
                <c:pt idx="0">
                  <c:v>Prihodki od prodaje     </c:v>
                </c:pt>
              </c:strCache>
            </c:strRef>
          </c:tx>
          <c:spPr>
            <a:solidFill>
              <a:schemeClr val="accent1"/>
            </a:solidFill>
            <a:ln>
              <a:noFill/>
            </a:ln>
            <a:effectLst/>
          </c:spPr>
          <c:invertIfNegative val="0"/>
          <c:cat>
            <c:numRef>
              <c:f>FCFF!$D$3:$M$3</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FCFF!$D$4:$M$4</c:f>
              <c:numCache>
                <c:formatCode>#,##0</c:formatCode>
                <c:ptCount val="10"/>
                <c:pt idx="0">
                  <c:v>1240482</c:v>
                </c:pt>
                <c:pt idx="1">
                  <c:v>1253717</c:v>
                </c:pt>
                <c:pt idx="2">
                  <c:v>1225029</c:v>
                </c:pt>
                <c:pt idx="3">
                  <c:v>1258124</c:v>
                </c:pt>
                <c:pt idx="4">
                  <c:v>1309932</c:v>
                </c:pt>
                <c:pt idx="5">
                  <c:v>1328271.048</c:v>
                </c:pt>
                <c:pt idx="6">
                  <c:v>1344210.300576</c:v>
                </c:pt>
                <c:pt idx="7">
                  <c:v>1358996.6138823358</c:v>
                </c:pt>
                <c:pt idx="8">
                  <c:v>1373945.5766350415</c:v>
                </c:pt>
                <c:pt idx="9">
                  <c:v>1387685.032401392</c:v>
                </c:pt>
              </c:numCache>
            </c:numRef>
          </c:val>
          <c:extLst>
            <c:ext xmlns:c16="http://schemas.microsoft.com/office/drawing/2014/chart" uri="{C3380CC4-5D6E-409C-BE32-E72D297353CC}">
              <c16:uniqueId val="{00000000-5D0F-4049-AC7B-D49DDAB3A072}"/>
            </c:ext>
          </c:extLst>
        </c:ser>
        <c:dLbls>
          <c:showLegendKey val="0"/>
          <c:showVal val="0"/>
          <c:showCatName val="0"/>
          <c:showSerName val="0"/>
          <c:showPercent val="0"/>
          <c:showBubbleSize val="0"/>
        </c:dLbls>
        <c:gapWidth val="219"/>
        <c:overlap val="100"/>
        <c:axId val="440430160"/>
        <c:axId val="440430488"/>
      </c:barChart>
      <c:lineChart>
        <c:grouping val="standard"/>
        <c:varyColors val="0"/>
        <c:ser>
          <c:idx val="2"/>
          <c:order val="1"/>
          <c:tx>
            <c:strRef>
              <c:f>FCFF!$C$11</c:f>
              <c:strCache>
                <c:ptCount val="1"/>
                <c:pt idx="0">
                  <c:v>Kosmati donos iz poslovanja    </c:v>
                </c:pt>
              </c:strCache>
            </c:strRef>
          </c:tx>
          <c:spPr>
            <a:ln w="28575" cap="rnd">
              <a:solidFill>
                <a:schemeClr val="accent3"/>
              </a:solidFill>
              <a:round/>
            </a:ln>
            <a:effectLst/>
          </c:spPr>
          <c:marker>
            <c:symbol val="none"/>
          </c:marker>
          <c:cat>
            <c:numRef>
              <c:f>FCFF!$D$3:$M$3</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FCFF!$D$11:$M$11</c:f>
              <c:numCache>
                <c:formatCode>#,##0</c:formatCode>
                <c:ptCount val="10"/>
                <c:pt idx="0">
                  <c:v>1248877</c:v>
                </c:pt>
                <c:pt idx="1">
                  <c:v>1263369</c:v>
                </c:pt>
                <c:pt idx="2">
                  <c:v>1270265</c:v>
                </c:pt>
                <c:pt idx="3">
                  <c:v>1285195</c:v>
                </c:pt>
                <c:pt idx="4">
                  <c:v>1334255</c:v>
                </c:pt>
                <c:pt idx="5">
                  <c:v>1367560.048</c:v>
                </c:pt>
                <c:pt idx="6">
                  <c:v>1364614.9493760001</c:v>
                </c:pt>
                <c:pt idx="7">
                  <c:v>1401188.1696453758</c:v>
                </c:pt>
                <c:pt idx="8">
                  <c:v>1420601.5709403995</c:v>
                </c:pt>
                <c:pt idx="9">
                  <c:v>1433750.5182956178</c:v>
                </c:pt>
              </c:numCache>
            </c:numRef>
          </c:val>
          <c:smooth val="0"/>
          <c:extLst>
            <c:ext xmlns:c16="http://schemas.microsoft.com/office/drawing/2014/chart" uri="{C3380CC4-5D6E-409C-BE32-E72D297353CC}">
              <c16:uniqueId val="{00000001-5D0F-4049-AC7B-D49DDAB3A072}"/>
            </c:ext>
          </c:extLst>
        </c:ser>
        <c:dLbls>
          <c:showLegendKey val="0"/>
          <c:showVal val="0"/>
          <c:showCatName val="0"/>
          <c:showSerName val="0"/>
          <c:showPercent val="0"/>
          <c:showBubbleSize val="0"/>
        </c:dLbls>
        <c:marker val="1"/>
        <c:smooth val="0"/>
        <c:axId val="440430160"/>
        <c:axId val="440430488"/>
      </c:lineChart>
      <c:catAx>
        <c:axId val="440430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440430488"/>
        <c:crosses val="autoZero"/>
        <c:auto val="1"/>
        <c:lblAlgn val="ctr"/>
        <c:lblOffset val="100"/>
        <c:noMultiLvlLbl val="0"/>
      </c:catAx>
      <c:valAx>
        <c:axId val="440430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440430160"/>
        <c:crosses val="autoZero"/>
        <c:crossBetween val="between"/>
      </c:valAx>
      <c:spPr>
        <a:noFill/>
        <a:ln>
          <a:noFill/>
        </a:ln>
        <a:effectLst/>
      </c:spPr>
    </c:plotArea>
    <c:legend>
      <c:legendPos val="t"/>
      <c:layout>
        <c:manualLayout>
          <c:xMode val="edge"/>
          <c:yMode val="edge"/>
          <c:x val="0.17707083265309539"/>
          <c:y val="3.973344057799226E-2"/>
          <c:w val="0.61609091867981736"/>
          <c:h val="7.29734837199404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Stroški!$C$14</c:f>
              <c:strCache>
                <c:ptCount val="1"/>
                <c:pt idx="0">
                  <c:v>Nabavna vrednost prodanega blaga </c:v>
                </c:pt>
              </c:strCache>
            </c:strRef>
          </c:tx>
          <c:spPr>
            <a:noFill/>
            <a:ln w="25400" cap="flat" cmpd="sng" algn="ctr">
              <a:solidFill>
                <a:schemeClr val="accent1"/>
              </a:solidFill>
              <a:miter lim="800000"/>
            </a:ln>
            <a:effectLst/>
          </c:spPr>
          <c:invertIfNegative val="0"/>
          <c:cat>
            <c:numRef>
              <c:f>Stroški!$D$13:$M$13</c:f>
              <c:numCache>
                <c:formatCode>General</c:formatCode>
                <c:ptCount val="5"/>
                <c:pt idx="0">
                  <c:v>2018</c:v>
                </c:pt>
                <c:pt idx="1">
                  <c:v>2019</c:v>
                </c:pt>
                <c:pt idx="2">
                  <c:v>2020</c:v>
                </c:pt>
                <c:pt idx="3">
                  <c:v>2021</c:v>
                </c:pt>
                <c:pt idx="4">
                  <c:v>2022</c:v>
                </c:pt>
              </c:numCache>
              <c:extLst/>
            </c:numRef>
          </c:cat>
          <c:val>
            <c:numRef>
              <c:f>Stroški!$D$14:$M$14</c:f>
              <c:numCache>
                <c:formatCode>#,##0</c:formatCode>
                <c:ptCount val="5"/>
                <c:pt idx="0">
                  <c:v>264325.93855199998</c:v>
                </c:pt>
                <c:pt idx="1">
                  <c:v>268842.0601152</c:v>
                </c:pt>
                <c:pt idx="2">
                  <c:v>271799.32277646719</c:v>
                </c:pt>
                <c:pt idx="3">
                  <c:v>274789.1153270083</c:v>
                </c:pt>
                <c:pt idx="4">
                  <c:v>277537.00648027839</c:v>
                </c:pt>
              </c:numCache>
              <c:extLst/>
            </c:numRef>
          </c:val>
          <c:extLst>
            <c:ext xmlns:c16="http://schemas.microsoft.com/office/drawing/2014/chart" uri="{C3380CC4-5D6E-409C-BE32-E72D297353CC}">
              <c16:uniqueId val="{00000000-3FC2-43E2-959A-B1A5A3FCDF83}"/>
            </c:ext>
          </c:extLst>
        </c:ser>
        <c:ser>
          <c:idx val="1"/>
          <c:order val="1"/>
          <c:tx>
            <c:strRef>
              <c:f>Stroški!$C$15</c:f>
              <c:strCache>
                <c:ptCount val="1"/>
                <c:pt idx="0">
                  <c:v>Stroški materiala </c:v>
                </c:pt>
              </c:strCache>
            </c:strRef>
          </c:tx>
          <c:spPr>
            <a:noFill/>
            <a:ln w="25400" cap="flat" cmpd="sng" algn="ctr">
              <a:solidFill>
                <a:schemeClr val="accent3"/>
              </a:solidFill>
              <a:miter lim="800000"/>
            </a:ln>
            <a:effectLst/>
          </c:spPr>
          <c:invertIfNegative val="0"/>
          <c:cat>
            <c:numRef>
              <c:f>Stroški!$D$13:$M$13</c:f>
              <c:numCache>
                <c:formatCode>General</c:formatCode>
                <c:ptCount val="5"/>
                <c:pt idx="0">
                  <c:v>2018</c:v>
                </c:pt>
                <c:pt idx="1">
                  <c:v>2019</c:v>
                </c:pt>
                <c:pt idx="2">
                  <c:v>2020</c:v>
                </c:pt>
                <c:pt idx="3">
                  <c:v>2021</c:v>
                </c:pt>
                <c:pt idx="4">
                  <c:v>2022</c:v>
                </c:pt>
              </c:numCache>
              <c:extLst/>
            </c:numRef>
          </c:cat>
          <c:val>
            <c:numRef>
              <c:f>Stroški!$D$15:$M$15</c:f>
              <c:numCache>
                <c:formatCode>#,##0</c:formatCode>
                <c:ptCount val="5"/>
                <c:pt idx="0">
                  <c:v>495445.10090399999</c:v>
                </c:pt>
                <c:pt idx="1">
                  <c:v>501390.442114848</c:v>
                </c:pt>
                <c:pt idx="2">
                  <c:v>506905.73697811126</c:v>
                </c:pt>
                <c:pt idx="3">
                  <c:v>515229.59123814059</c:v>
                </c:pt>
                <c:pt idx="4">
                  <c:v>520381.88715052197</c:v>
                </c:pt>
              </c:numCache>
              <c:extLst/>
            </c:numRef>
          </c:val>
          <c:extLst>
            <c:ext xmlns:c16="http://schemas.microsoft.com/office/drawing/2014/chart" uri="{C3380CC4-5D6E-409C-BE32-E72D297353CC}">
              <c16:uniqueId val="{00000001-3FC2-43E2-959A-B1A5A3FCDF83}"/>
            </c:ext>
          </c:extLst>
        </c:ser>
        <c:ser>
          <c:idx val="2"/>
          <c:order val="2"/>
          <c:tx>
            <c:strRef>
              <c:f>Stroški!$C$16</c:f>
              <c:strCache>
                <c:ptCount val="1"/>
                <c:pt idx="0">
                  <c:v>Stroški storitev </c:v>
                </c:pt>
              </c:strCache>
            </c:strRef>
          </c:tx>
          <c:spPr>
            <a:noFill/>
            <a:ln w="25400" cap="flat" cmpd="sng" algn="ctr">
              <a:solidFill>
                <a:schemeClr val="accent5"/>
              </a:solidFill>
              <a:miter lim="800000"/>
            </a:ln>
            <a:effectLst/>
          </c:spPr>
          <c:invertIfNegative val="0"/>
          <c:cat>
            <c:numRef>
              <c:f>Stroški!$D$13:$M$13</c:f>
              <c:numCache>
                <c:formatCode>General</c:formatCode>
                <c:ptCount val="5"/>
                <c:pt idx="0">
                  <c:v>2018</c:v>
                </c:pt>
                <c:pt idx="1">
                  <c:v>2019</c:v>
                </c:pt>
                <c:pt idx="2">
                  <c:v>2020</c:v>
                </c:pt>
                <c:pt idx="3">
                  <c:v>2021</c:v>
                </c:pt>
                <c:pt idx="4">
                  <c:v>2022</c:v>
                </c:pt>
              </c:numCache>
              <c:extLst/>
            </c:numRef>
          </c:cat>
          <c:val>
            <c:numRef>
              <c:f>Stroški!$D$16:$M$16</c:f>
              <c:numCache>
                <c:formatCode>#,##0</c:formatCode>
                <c:ptCount val="5"/>
                <c:pt idx="0">
                  <c:v>228462.62025599997</c:v>
                </c:pt>
                <c:pt idx="1">
                  <c:v>230532.06654878403</c:v>
                </c:pt>
                <c:pt idx="2">
                  <c:v>233067.91928082061</c:v>
                </c:pt>
                <c:pt idx="3">
                  <c:v>235631.66639290962</c:v>
                </c:pt>
                <c:pt idx="4">
                  <c:v>237987.98305683874</c:v>
                </c:pt>
              </c:numCache>
              <c:extLst/>
            </c:numRef>
          </c:val>
          <c:extLst>
            <c:ext xmlns:c16="http://schemas.microsoft.com/office/drawing/2014/chart" uri="{C3380CC4-5D6E-409C-BE32-E72D297353CC}">
              <c16:uniqueId val="{00000002-3FC2-43E2-959A-B1A5A3FCDF83}"/>
            </c:ext>
          </c:extLst>
        </c:ser>
        <c:dLbls>
          <c:showLegendKey val="0"/>
          <c:showVal val="0"/>
          <c:showCatName val="0"/>
          <c:showSerName val="0"/>
          <c:showPercent val="0"/>
          <c:showBubbleSize val="0"/>
        </c:dLbls>
        <c:gapWidth val="164"/>
        <c:overlap val="-35"/>
        <c:axId val="1111042511"/>
        <c:axId val="1107605535"/>
      </c:barChart>
      <c:catAx>
        <c:axId val="111104251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107605535"/>
        <c:crosses val="autoZero"/>
        <c:auto val="1"/>
        <c:lblAlgn val="ctr"/>
        <c:lblOffset val="100"/>
        <c:noMultiLvlLbl val="0"/>
      </c:catAx>
      <c:valAx>
        <c:axId val="110760553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11104251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Primerjava!$H$5</c:f>
              <c:strCache>
                <c:ptCount val="1"/>
                <c:pt idx="0">
                  <c:v>Prihodki od prodaje     </c:v>
                </c:pt>
              </c:strCache>
            </c:strRef>
          </c:tx>
          <c:spPr>
            <a:ln w="38100" cap="flat" cmpd="dbl" algn="ctr">
              <a:solidFill>
                <a:schemeClr val="accent1"/>
              </a:solidFill>
              <a:miter lim="800000"/>
            </a:ln>
            <a:effectLst/>
          </c:spPr>
          <c:marker>
            <c:symbol val="none"/>
          </c:marker>
          <c:cat>
            <c:numRef>
              <c:f>Primerjava!$I$4:$M$4</c:f>
              <c:numCache>
                <c:formatCode>General</c:formatCode>
                <c:ptCount val="5"/>
                <c:pt idx="0">
                  <c:v>2013</c:v>
                </c:pt>
                <c:pt idx="1">
                  <c:v>2014</c:v>
                </c:pt>
                <c:pt idx="2">
                  <c:v>2015</c:v>
                </c:pt>
                <c:pt idx="3">
                  <c:v>2016</c:v>
                </c:pt>
                <c:pt idx="4">
                  <c:v>2017</c:v>
                </c:pt>
              </c:numCache>
            </c:numRef>
          </c:cat>
          <c:val>
            <c:numRef>
              <c:f>Primerjava!$I$5:$M$5</c:f>
              <c:numCache>
                <c:formatCode>#,##0</c:formatCode>
                <c:ptCount val="5"/>
                <c:pt idx="0">
                  <c:v>1240482</c:v>
                </c:pt>
                <c:pt idx="1">
                  <c:v>1253717</c:v>
                </c:pt>
                <c:pt idx="2">
                  <c:v>1225029</c:v>
                </c:pt>
                <c:pt idx="3">
                  <c:v>1258124</c:v>
                </c:pt>
                <c:pt idx="4">
                  <c:v>1309932</c:v>
                </c:pt>
              </c:numCache>
            </c:numRef>
          </c:val>
          <c:smooth val="0"/>
          <c:extLst>
            <c:ext xmlns:c16="http://schemas.microsoft.com/office/drawing/2014/chart" uri="{C3380CC4-5D6E-409C-BE32-E72D297353CC}">
              <c16:uniqueId val="{00000000-03C9-4A6B-BC43-30F7049D7B83}"/>
            </c:ext>
          </c:extLst>
        </c:ser>
        <c:dLbls>
          <c:showLegendKey val="0"/>
          <c:showVal val="0"/>
          <c:showCatName val="0"/>
          <c:showSerName val="0"/>
          <c:showPercent val="0"/>
          <c:showBubbleSize val="0"/>
        </c:dLbls>
        <c:smooth val="0"/>
        <c:axId val="1888791408"/>
        <c:axId val="1889709520"/>
      </c:lineChart>
      <c:catAx>
        <c:axId val="188879140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889709520"/>
        <c:crosses val="autoZero"/>
        <c:auto val="1"/>
        <c:lblAlgn val="ctr"/>
        <c:lblOffset val="100"/>
        <c:noMultiLvlLbl val="0"/>
      </c:catAx>
      <c:valAx>
        <c:axId val="188970952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888791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1"/>
          <c:order val="0"/>
          <c:tx>
            <c:strRef>
              <c:f>Stroški!$C$8</c:f>
              <c:strCache>
                <c:ptCount val="1"/>
                <c:pt idx="0">
                  <c:v>Število zaposlenih</c:v>
                </c:pt>
              </c:strCache>
            </c:strRef>
          </c:tx>
          <c:spPr>
            <a:solidFill>
              <a:schemeClr val="accent2"/>
            </a:solidFill>
            <a:ln>
              <a:noFill/>
            </a:ln>
            <a:effectLst/>
          </c:spPr>
          <c:invertIfNegative val="0"/>
          <c:cat>
            <c:numRef>
              <c:f>Stroški!$D$2:$M$2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Stroški!$D$8:$M$8</c:f>
              <c:numCache>
                <c:formatCode>#,##0</c:formatCode>
                <c:ptCount val="10"/>
                <c:pt idx="0">
                  <c:v>10639</c:v>
                </c:pt>
                <c:pt idx="1">
                  <c:v>10468</c:v>
                </c:pt>
                <c:pt idx="2">
                  <c:v>10617</c:v>
                </c:pt>
                <c:pt idx="3">
                  <c:v>10889</c:v>
                </c:pt>
                <c:pt idx="4">
                  <c:v>11039</c:v>
                </c:pt>
                <c:pt idx="5">
                  <c:v>11178.355795324505</c:v>
                </c:pt>
                <c:pt idx="6">
                  <c:v>11104.361212271138</c:v>
                </c:pt>
                <c:pt idx="7">
                  <c:v>11419.62648447739</c:v>
                </c:pt>
                <c:pt idx="8">
                  <c:v>11587.288506854809</c:v>
                </c:pt>
                <c:pt idx="9">
                  <c:v>11704.085863637696</c:v>
                </c:pt>
              </c:numCache>
            </c:numRef>
          </c:val>
          <c:extLst>
            <c:ext xmlns:c16="http://schemas.microsoft.com/office/drawing/2014/chart" uri="{C3380CC4-5D6E-409C-BE32-E72D297353CC}">
              <c16:uniqueId val="{00000000-1783-4318-B9C9-8CE2C7ADD71C}"/>
            </c:ext>
          </c:extLst>
        </c:ser>
        <c:dLbls>
          <c:showLegendKey val="0"/>
          <c:showVal val="0"/>
          <c:showCatName val="0"/>
          <c:showSerName val="0"/>
          <c:showPercent val="0"/>
          <c:showBubbleSize val="0"/>
        </c:dLbls>
        <c:gapWidth val="219"/>
        <c:axId val="1195784751"/>
        <c:axId val="1199461487"/>
      </c:barChart>
      <c:catAx>
        <c:axId val="1195784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199461487"/>
        <c:crosses val="autoZero"/>
        <c:auto val="1"/>
        <c:lblAlgn val="ctr"/>
        <c:lblOffset val="10"/>
        <c:tickLblSkip val="2"/>
        <c:noMultiLvlLbl val="0"/>
      </c:catAx>
      <c:valAx>
        <c:axId val="11994614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1957847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sl-SI"/>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lineChart>
        <c:grouping val="standard"/>
        <c:varyColors val="0"/>
        <c:ser>
          <c:idx val="0"/>
          <c:order val="0"/>
          <c:tx>
            <c:strRef>
              <c:f>Stroški!$C$6</c:f>
              <c:strCache>
                <c:ptCount val="1"/>
                <c:pt idx="0">
                  <c:v>Stroški dela      </c:v>
                </c:pt>
              </c:strCache>
            </c:strRef>
          </c:tx>
          <c:spPr>
            <a:ln w="28575" cap="rnd">
              <a:solidFill>
                <a:schemeClr val="accent1"/>
              </a:solidFill>
              <a:round/>
            </a:ln>
            <a:effectLst/>
          </c:spPr>
          <c:marker>
            <c:symbol val="none"/>
          </c:marker>
          <c:cat>
            <c:numRef>
              <c:f>Stroški!$D$2:$M$2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Stroški!$D$6:$M$6</c:f>
              <c:numCache>
                <c:formatCode>#,##0</c:formatCode>
                <c:ptCount val="10"/>
                <c:pt idx="0">
                  <c:v>237914</c:v>
                </c:pt>
                <c:pt idx="1">
                  <c:v>228479</c:v>
                </c:pt>
                <c:pt idx="2">
                  <c:v>231362</c:v>
                </c:pt>
                <c:pt idx="3">
                  <c:v>235325</c:v>
                </c:pt>
                <c:pt idx="4">
                  <c:v>249012</c:v>
                </c:pt>
                <c:pt idx="5">
                  <c:v>251513.00539480138</c:v>
                </c:pt>
                <c:pt idx="6">
                  <c:v>248737.69115487349</c:v>
                </c:pt>
                <c:pt idx="7">
                  <c:v>254657.67060384582</c:v>
                </c:pt>
                <c:pt idx="8">
                  <c:v>258396.53370286225</c:v>
                </c:pt>
                <c:pt idx="9">
                  <c:v>261001.11475912062</c:v>
                </c:pt>
              </c:numCache>
            </c:numRef>
          </c:val>
          <c:smooth val="0"/>
          <c:extLst>
            <c:ext xmlns:c16="http://schemas.microsoft.com/office/drawing/2014/chart" uri="{C3380CC4-5D6E-409C-BE32-E72D297353CC}">
              <c16:uniqueId val="{00000000-BBAD-410D-8EBC-F53E4B611DBE}"/>
            </c:ext>
          </c:extLst>
        </c:ser>
        <c:dLbls>
          <c:showLegendKey val="0"/>
          <c:showVal val="0"/>
          <c:showCatName val="0"/>
          <c:showSerName val="0"/>
          <c:showPercent val="0"/>
          <c:showBubbleSize val="0"/>
        </c:dLbls>
        <c:smooth val="0"/>
        <c:axId val="1195784751"/>
        <c:axId val="1199461487"/>
      </c:lineChart>
      <c:catAx>
        <c:axId val="1195784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199461487"/>
        <c:crosses val="autoZero"/>
        <c:auto val="1"/>
        <c:lblAlgn val="ctr"/>
        <c:lblOffset val="10"/>
        <c:tickLblSkip val="2"/>
        <c:noMultiLvlLbl val="0"/>
      </c:catAx>
      <c:valAx>
        <c:axId val="11994614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195784751"/>
        <c:crossesAt val="1"/>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ysClr val="windowText" lastClr="000000"/>
      </a:solidFill>
      <a:round/>
    </a:ln>
    <a:effectLst/>
  </c:spPr>
  <c:txPr>
    <a:bodyPr/>
    <a:lstStyle/>
    <a:p>
      <a:pPr>
        <a:defRPr/>
      </a:pPr>
      <a:endParaRPr lang="sl-SI"/>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21365246247225"/>
          <c:y val="6.695069993913573E-2"/>
          <c:w val="0.85558952394138477"/>
          <c:h val="0.69523197914320356"/>
        </c:manualLayout>
      </c:layout>
      <c:barChart>
        <c:barDir val="col"/>
        <c:grouping val="clustered"/>
        <c:varyColors val="0"/>
        <c:ser>
          <c:idx val="0"/>
          <c:order val="0"/>
          <c:tx>
            <c:strRef>
              <c:f>FCFF!$C$46</c:f>
              <c:strCache>
                <c:ptCount val="1"/>
                <c:pt idx="0">
                  <c:v>Nakup neopredmetenih sredstev</c:v>
                </c:pt>
              </c:strCache>
            </c:strRef>
          </c:tx>
          <c:spPr>
            <a:solidFill>
              <a:schemeClr val="accent1"/>
            </a:solidFill>
            <a:ln>
              <a:noFill/>
            </a:ln>
            <a:effectLst/>
          </c:spPr>
          <c:invertIfNegative val="0"/>
          <c:cat>
            <c:numRef>
              <c:f>FCFF!$D$45:$M$45</c:f>
              <c:numCache>
                <c:formatCode>General</c:formatCode>
                <c:ptCount val="5"/>
                <c:pt idx="0">
                  <c:v>2018</c:v>
                </c:pt>
                <c:pt idx="1">
                  <c:v>2019</c:v>
                </c:pt>
                <c:pt idx="2">
                  <c:v>2020</c:v>
                </c:pt>
                <c:pt idx="3">
                  <c:v>2021</c:v>
                </c:pt>
                <c:pt idx="4">
                  <c:v>2022</c:v>
                </c:pt>
              </c:numCache>
              <c:extLst/>
            </c:numRef>
          </c:cat>
          <c:val>
            <c:numRef>
              <c:f>FCFF!$D$46:$M$46</c:f>
              <c:numCache>
                <c:formatCode>#,##0</c:formatCode>
                <c:ptCount val="5"/>
                <c:pt idx="0">
                  <c:v>20513.400719999998</c:v>
                </c:pt>
                <c:pt idx="1">
                  <c:v>19104.609291264002</c:v>
                </c:pt>
                <c:pt idx="2">
                  <c:v>19616.634375035261</c:v>
                </c:pt>
                <c:pt idx="3">
                  <c:v>18467.820422225192</c:v>
                </c:pt>
                <c:pt idx="4">
                  <c:v>18638.756737843029</c:v>
                </c:pt>
              </c:numCache>
              <c:extLst/>
            </c:numRef>
          </c:val>
          <c:extLst>
            <c:ext xmlns:c16="http://schemas.microsoft.com/office/drawing/2014/chart" uri="{C3380CC4-5D6E-409C-BE32-E72D297353CC}">
              <c16:uniqueId val="{00000000-0274-46FD-8881-8FCDC5DE57DE}"/>
            </c:ext>
          </c:extLst>
        </c:ser>
        <c:ser>
          <c:idx val="1"/>
          <c:order val="1"/>
          <c:tx>
            <c:strRef>
              <c:f>FCFF!$C$47</c:f>
              <c:strCache>
                <c:ptCount val="1"/>
                <c:pt idx="0">
                  <c:v>Nakup opredmetenih sredstev</c:v>
                </c:pt>
              </c:strCache>
            </c:strRef>
          </c:tx>
          <c:spPr>
            <a:solidFill>
              <a:schemeClr val="accent3"/>
            </a:solidFill>
            <a:ln>
              <a:noFill/>
            </a:ln>
            <a:effectLst/>
          </c:spPr>
          <c:invertIfNegative val="0"/>
          <c:cat>
            <c:numRef>
              <c:f>FCFF!$D$45:$M$45</c:f>
              <c:numCache>
                <c:formatCode>General</c:formatCode>
                <c:ptCount val="5"/>
                <c:pt idx="0">
                  <c:v>2018</c:v>
                </c:pt>
                <c:pt idx="1">
                  <c:v>2019</c:v>
                </c:pt>
                <c:pt idx="2">
                  <c:v>2020</c:v>
                </c:pt>
                <c:pt idx="3">
                  <c:v>2021</c:v>
                </c:pt>
                <c:pt idx="4">
                  <c:v>2022</c:v>
                </c:pt>
              </c:numCache>
              <c:extLst/>
            </c:numRef>
          </c:cat>
          <c:val>
            <c:numRef>
              <c:f>FCFF!$D$47:$M$47</c:f>
              <c:numCache>
                <c:formatCode>#,##0</c:formatCode>
                <c:ptCount val="5"/>
                <c:pt idx="0">
                  <c:v>41710.581463999995</c:v>
                </c:pt>
                <c:pt idx="1">
                  <c:v>43667.678380032004</c:v>
                </c:pt>
                <c:pt idx="2">
                  <c:v>44838.021428652028</c:v>
                </c:pt>
                <c:pt idx="3">
                  <c:v>45459.250270092787</c:v>
                </c:pt>
                <c:pt idx="4">
                  <c:v>44446.26606716415</c:v>
                </c:pt>
              </c:numCache>
              <c:extLst/>
            </c:numRef>
          </c:val>
          <c:extLst>
            <c:ext xmlns:c16="http://schemas.microsoft.com/office/drawing/2014/chart" uri="{C3380CC4-5D6E-409C-BE32-E72D297353CC}">
              <c16:uniqueId val="{00000001-0274-46FD-8881-8FCDC5DE57DE}"/>
            </c:ext>
          </c:extLst>
        </c:ser>
        <c:dLbls>
          <c:showLegendKey val="0"/>
          <c:showVal val="0"/>
          <c:showCatName val="0"/>
          <c:showSerName val="0"/>
          <c:showPercent val="0"/>
          <c:showBubbleSize val="0"/>
        </c:dLbls>
        <c:gapWidth val="219"/>
        <c:overlap val="-27"/>
        <c:axId val="570658976"/>
        <c:axId val="570662584"/>
      </c:barChart>
      <c:catAx>
        <c:axId val="57065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70662584"/>
        <c:crosses val="autoZero"/>
        <c:auto val="1"/>
        <c:lblAlgn val="ctr"/>
        <c:lblOffset val="100"/>
        <c:noMultiLvlLbl val="0"/>
      </c:catAx>
      <c:valAx>
        <c:axId val="570662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7065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Amortizacija!$D$6</c:f>
              <c:strCache>
                <c:ptCount val="1"/>
                <c:pt idx="0">
                  <c:v>Amortizacija neopredmetenih sredstev </c:v>
                </c:pt>
              </c:strCache>
            </c:strRef>
          </c:tx>
          <c:spPr>
            <a:solidFill>
              <a:schemeClr val="accent6">
                <a:lumMod val="60000"/>
                <a:lumOff val="40000"/>
              </a:schemeClr>
            </a:solidFill>
            <a:ln>
              <a:noFill/>
            </a:ln>
            <a:effectLst>
              <a:outerShdw blurRad="57150" dist="19050" dir="5400000" algn="ctr" rotWithShape="0">
                <a:srgbClr val="000000">
                  <a:alpha val="63000"/>
                </a:srgbClr>
              </a:outerShdw>
            </a:effectLst>
          </c:spPr>
          <c:cat>
            <c:numRef>
              <c:f>Amortizacija!$E$2:$N$2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Amortizacija!$E$6:$N$6</c:f>
              <c:numCache>
                <c:formatCode>#,##0</c:formatCode>
                <c:ptCount val="10"/>
                <c:pt idx="0">
                  <c:v>6678</c:v>
                </c:pt>
                <c:pt idx="1">
                  <c:v>7069</c:v>
                </c:pt>
                <c:pt idx="2">
                  <c:v>8868</c:v>
                </c:pt>
                <c:pt idx="3">
                  <c:v>9331</c:v>
                </c:pt>
                <c:pt idx="4">
                  <c:v>11402</c:v>
                </c:pt>
                <c:pt idx="5">
                  <c:v>11741.916064319999</c:v>
                </c:pt>
                <c:pt idx="6">
                  <c:v>10753.682404608</c:v>
                </c:pt>
                <c:pt idx="7">
                  <c:v>9784.7756199528176</c:v>
                </c:pt>
                <c:pt idx="8">
                  <c:v>9892.4081517722989</c:v>
                </c:pt>
                <c:pt idx="9">
                  <c:v>9991.3322332900225</c:v>
                </c:pt>
              </c:numCache>
            </c:numRef>
          </c:val>
          <c:extLst>
            <c:ext xmlns:c16="http://schemas.microsoft.com/office/drawing/2014/chart" uri="{C3380CC4-5D6E-409C-BE32-E72D297353CC}">
              <c16:uniqueId val="{00000000-2FBF-457D-A0F6-C2AA20FF9D3C}"/>
            </c:ext>
          </c:extLst>
        </c:ser>
        <c:ser>
          <c:idx val="1"/>
          <c:order val="1"/>
          <c:tx>
            <c:strRef>
              <c:f>Amortizacija!$D$7</c:f>
              <c:strCache>
                <c:ptCount val="1"/>
                <c:pt idx="0">
                  <c:v>Amortizacija opredmetenih sredstev </c:v>
                </c:pt>
              </c:strCache>
            </c:strRef>
          </c:tx>
          <c:spPr>
            <a:solidFill>
              <a:schemeClr val="accent4">
                <a:lumMod val="40000"/>
                <a:lumOff val="60000"/>
              </a:schemeClr>
            </a:solidFill>
            <a:ln>
              <a:solidFill>
                <a:schemeClr val="accent4">
                  <a:lumMod val="60000"/>
                  <a:lumOff val="40000"/>
                </a:schemeClr>
              </a:solidFill>
            </a:ln>
            <a:effectLst>
              <a:outerShdw blurRad="57150" dist="19050" dir="5400000" algn="ctr" rotWithShape="0">
                <a:srgbClr val="000000">
                  <a:alpha val="63000"/>
                </a:srgbClr>
              </a:outerShdw>
            </a:effectLst>
          </c:spPr>
          <c:cat>
            <c:numRef>
              <c:f>Amortizacija!$E$2:$N$2</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Amortizacija!$E$7:$N$7</c:f>
              <c:numCache>
                <c:formatCode>#,##0</c:formatCode>
                <c:ptCount val="10"/>
                <c:pt idx="0">
                  <c:v>35197</c:v>
                </c:pt>
                <c:pt idx="1">
                  <c:v>35950</c:v>
                </c:pt>
                <c:pt idx="2">
                  <c:v>36776</c:v>
                </c:pt>
                <c:pt idx="3">
                  <c:v>37724</c:v>
                </c:pt>
                <c:pt idx="4">
                  <c:v>43274</c:v>
                </c:pt>
                <c:pt idx="5">
                  <c:v>42810.175877039997</c:v>
                </c:pt>
                <c:pt idx="6">
                  <c:v>43249.966421032797</c:v>
                </c:pt>
                <c:pt idx="7">
                  <c:v>41666.83618163241</c:v>
                </c:pt>
                <c:pt idx="8">
                  <c:v>42125.171379630367</c:v>
                </c:pt>
                <c:pt idx="9">
                  <c:v>42473.569629225603</c:v>
                </c:pt>
              </c:numCache>
            </c:numRef>
          </c:val>
          <c:extLst>
            <c:ext xmlns:c16="http://schemas.microsoft.com/office/drawing/2014/chart" uri="{C3380CC4-5D6E-409C-BE32-E72D297353CC}">
              <c16:uniqueId val="{00000001-2FBF-457D-A0F6-C2AA20FF9D3C}"/>
            </c:ext>
          </c:extLst>
        </c:ser>
        <c:dLbls>
          <c:showLegendKey val="0"/>
          <c:showVal val="0"/>
          <c:showCatName val="0"/>
          <c:showSerName val="0"/>
          <c:showPercent val="0"/>
          <c:showBubbleSize val="0"/>
        </c:dLbls>
        <c:axId val="422480271"/>
        <c:axId val="285589871"/>
      </c:areaChart>
      <c:catAx>
        <c:axId val="422480271"/>
        <c:scaling>
          <c:orientation val="minMax"/>
        </c:scaling>
        <c:delete val="0"/>
        <c:axPos val="b"/>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sl-SI"/>
          </a:p>
        </c:txPr>
        <c:crossAx val="285589871"/>
        <c:crosses val="autoZero"/>
        <c:auto val="1"/>
        <c:lblAlgn val="ctr"/>
        <c:lblOffset val="100"/>
        <c:noMultiLvlLbl val="0"/>
      </c:catAx>
      <c:valAx>
        <c:axId val="285589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sl-SI"/>
          </a:p>
        </c:txPr>
        <c:crossAx val="422480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solidFill>
      <a:round/>
    </a:ln>
    <a:effectLst/>
  </c:spPr>
  <c:txPr>
    <a:bodyPr/>
    <a:lstStyle/>
    <a:p>
      <a:pPr>
        <a:defRPr/>
      </a:pPr>
      <a:endParaRPr lang="sl-SI"/>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FCFF!$C$66</c:f>
              <c:strCache>
                <c:ptCount val="1"/>
                <c:pt idx="0">
                  <c:v>Investicije v obratni kapital</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numRef>
              <c:f>FCFF!$D$57:$M$57</c:f>
              <c:numCache>
                <c:formatCode>General</c:formatCode>
                <c:ptCount val="10"/>
                <c:pt idx="0">
                  <c:v>2013</c:v>
                </c:pt>
                <c:pt idx="1">
                  <c:v>2014</c:v>
                </c:pt>
                <c:pt idx="2">
                  <c:v>2015</c:v>
                </c:pt>
                <c:pt idx="3">
                  <c:v>2016</c:v>
                </c:pt>
                <c:pt idx="4">
                  <c:v>2017</c:v>
                </c:pt>
                <c:pt idx="5">
                  <c:v>2018</c:v>
                </c:pt>
                <c:pt idx="6">
                  <c:v>2019</c:v>
                </c:pt>
                <c:pt idx="7">
                  <c:v>2020</c:v>
                </c:pt>
                <c:pt idx="8">
                  <c:v>2021</c:v>
                </c:pt>
                <c:pt idx="9">
                  <c:v>2022</c:v>
                </c:pt>
              </c:numCache>
            </c:numRef>
          </c:cat>
          <c:val>
            <c:numRef>
              <c:f>FCFF!$D$66:$M$66</c:f>
              <c:numCache>
                <c:formatCode>#,##0</c:formatCode>
                <c:ptCount val="10"/>
                <c:pt idx="0">
                  <c:v>-35237.859056708956</c:v>
                </c:pt>
                <c:pt idx="1">
                  <c:v>-33009</c:v>
                </c:pt>
                <c:pt idx="2">
                  <c:v>-37231</c:v>
                </c:pt>
                <c:pt idx="3">
                  <c:v>6246</c:v>
                </c:pt>
                <c:pt idx="4">
                  <c:v>-11832</c:v>
                </c:pt>
                <c:pt idx="5">
                  <c:v>6730.6861439999484</c:v>
                </c:pt>
                <c:pt idx="6">
                  <c:v>-376.97262387190131</c:v>
                </c:pt>
                <c:pt idx="7">
                  <c:v>8884.9367034161696</c:v>
                </c:pt>
                <c:pt idx="8">
                  <c:v>1122.5539987077645</c:v>
                </c:pt>
                <c:pt idx="9">
                  <c:v>-4025.6389170041366</c:v>
                </c:pt>
              </c:numCache>
            </c:numRef>
          </c:val>
          <c:extLst>
            <c:ext xmlns:c16="http://schemas.microsoft.com/office/drawing/2014/chart" uri="{C3380CC4-5D6E-409C-BE32-E72D297353CC}">
              <c16:uniqueId val="{00000000-5DE8-4988-B5DA-E4472D2BD96B}"/>
            </c:ext>
          </c:extLst>
        </c:ser>
        <c:dLbls>
          <c:showLegendKey val="0"/>
          <c:showVal val="0"/>
          <c:showCatName val="0"/>
          <c:showSerName val="0"/>
          <c:showPercent val="0"/>
          <c:showBubbleSize val="0"/>
        </c:dLbls>
        <c:gapWidth val="164"/>
        <c:overlap val="-22"/>
        <c:axId val="437431352"/>
        <c:axId val="437424792"/>
      </c:barChart>
      <c:catAx>
        <c:axId val="43743135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437424792"/>
        <c:crosses val="autoZero"/>
        <c:auto val="1"/>
        <c:lblAlgn val="ctr"/>
        <c:lblOffset val="100"/>
        <c:noMultiLvlLbl val="0"/>
      </c:catAx>
      <c:valAx>
        <c:axId val="437424792"/>
        <c:scaling>
          <c:orientation val="minMax"/>
        </c:scaling>
        <c:delete val="0"/>
        <c:axPos val="l"/>
        <c:numFmt formatCode="#,##0"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437431352"/>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solidFill>
      <a:round/>
    </a:ln>
    <a:effectLst/>
  </c:spPr>
  <c:txPr>
    <a:bodyPr/>
    <a:lstStyle/>
    <a:p>
      <a:pPr>
        <a:defRPr/>
      </a:pPr>
      <a:endParaRPr lang="sl-SI"/>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3"/>
          <c:tx>
            <c:strRef>
              <c:f>FCFF!$C$110</c:f>
              <c:strCache>
                <c:ptCount val="1"/>
                <c:pt idx="0">
                  <c:v>FCFF po prevzemu</c:v>
                </c:pt>
              </c:strCache>
            </c:strRef>
          </c:tx>
          <c:spPr>
            <a:ln w="19050" cap="rnd" cmpd="sng" algn="ctr">
              <a:solidFill>
                <a:schemeClr val="accent3">
                  <a:shade val="95000"/>
                  <a:satMod val="105000"/>
                </a:schemeClr>
              </a:solidFill>
              <a:round/>
            </a:ln>
            <a:effectLst/>
          </c:spPr>
          <c:marker>
            <c:symbol val="circle"/>
            <c:size val="17"/>
            <c:spPr>
              <a:solidFill>
                <a:schemeClr val="lt1"/>
              </a:solidFill>
              <a:ln>
                <a:no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3EA9-424E-8936-2B013B1A0A46}"/>
                </c:ext>
              </c:extLst>
            </c:dLbl>
            <c:dLbl>
              <c:idx val="1"/>
              <c:layout>
                <c:manualLayout>
                  <c:x val="-8.6793677510038358E-2"/>
                  <c:y val="-3.43883835487207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EA9-424E-8936-2B013B1A0A46}"/>
                </c:ext>
              </c:extLst>
            </c:dLbl>
            <c:dLbl>
              <c:idx val="2"/>
              <c:layout>
                <c:manualLayout>
                  <c:x val="-5.7141897910856755E-2"/>
                  <c:y val="1.81529385069207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EA9-424E-8936-2B013B1A0A46}"/>
                </c:ext>
              </c:extLst>
            </c:dLbl>
            <c:dLbl>
              <c:idx val="3"/>
              <c:layout>
                <c:manualLayout>
                  <c:x val="-0.10367648046268246"/>
                  <c:y val="-2.149265038262318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EA9-424E-8936-2B013B1A0A46}"/>
                </c:ext>
              </c:extLst>
            </c:dLbl>
            <c:dLbl>
              <c:idx val="4"/>
              <c:layout>
                <c:manualLayout>
                  <c:x val="-5.5755999516547174E-2"/>
                  <c:y val="-4.298458608262802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EA9-424E-8936-2B013B1A0A4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3"/>
                    </a:solidFill>
                    <a:latin typeface="+mn-lt"/>
                    <a:ea typeface="+mn-ea"/>
                    <a:cs typeface="+mn-cs"/>
                  </a:defRPr>
                </a:pPr>
                <a:endParaRPr lang="sl-SI"/>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FCFF!$D$108:$H$108</c:f>
              <c:numCache>
                <c:formatCode>General</c:formatCode>
                <c:ptCount val="5"/>
                <c:pt idx="0">
                  <c:v>2018</c:v>
                </c:pt>
                <c:pt idx="1">
                  <c:v>2019</c:v>
                </c:pt>
                <c:pt idx="2">
                  <c:v>2020</c:v>
                </c:pt>
                <c:pt idx="3">
                  <c:v>2021</c:v>
                </c:pt>
                <c:pt idx="4">
                  <c:v>2022</c:v>
                </c:pt>
              </c:numCache>
            </c:numRef>
          </c:cat>
          <c:val>
            <c:numRef>
              <c:f>FCFF!$D$110:$H$110</c:f>
              <c:numCache>
                <c:formatCode>#,##0</c:formatCode>
                <c:ptCount val="5"/>
                <c:pt idx="0">
                  <c:v>25000.0437845095</c:v>
                </c:pt>
                <c:pt idx="1">
                  <c:v>28289.058630723448</c:v>
                </c:pt>
                <c:pt idx="2">
                  <c:v>34559.306724688868</c:v>
                </c:pt>
                <c:pt idx="3">
                  <c:v>45384.754874117993</c:v>
                </c:pt>
                <c:pt idx="4">
                  <c:v>50182.405158464666</c:v>
                </c:pt>
              </c:numCache>
            </c:numRef>
          </c:val>
          <c:smooth val="0"/>
          <c:extLst>
            <c:ext xmlns:c16="http://schemas.microsoft.com/office/drawing/2014/chart" uri="{C3380CC4-5D6E-409C-BE32-E72D297353CC}">
              <c16:uniqueId val="{00000005-3EA9-424E-8936-2B013B1A0A46}"/>
            </c:ext>
          </c:extLst>
        </c:ser>
        <c:ser>
          <c:idx val="4"/>
          <c:order val="4"/>
          <c:tx>
            <c:strRef>
              <c:f>FCFF!$C$109</c:f>
              <c:strCache>
                <c:ptCount val="1"/>
                <c:pt idx="0">
                  <c:v>FCFF pred prevzemom</c:v>
                </c:pt>
              </c:strCache>
            </c:strRef>
          </c:tx>
          <c:spPr>
            <a:ln w="19050" cap="rnd" cmpd="sng" algn="ctr">
              <a:solidFill>
                <a:schemeClr val="accent5">
                  <a:shade val="95000"/>
                  <a:satMod val="105000"/>
                </a:schemeClr>
              </a:solidFill>
              <a:round/>
            </a:ln>
            <a:effectLst/>
          </c:spPr>
          <c:marker>
            <c:symbol val="circle"/>
            <c:size val="17"/>
            <c:spPr>
              <a:solidFill>
                <a:schemeClr val="lt1"/>
              </a:solidFill>
              <a:ln>
                <a:noFill/>
              </a:ln>
              <a:effectLst/>
            </c:spPr>
          </c:marker>
          <c:dLbls>
            <c:dLbl>
              <c:idx val="0"/>
              <c:layout>
                <c:manualLayout>
                  <c:x val="-9.4976363472491734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EA9-424E-8936-2B013B1A0A46}"/>
                </c:ext>
              </c:extLst>
            </c:dLbl>
            <c:dLbl>
              <c:idx val="1"/>
              <c:layout>
                <c:manualLayout>
                  <c:x val="-7.548118978891491E-2"/>
                  <c:y val="3.438824463580614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EA9-424E-8936-2B013B1A0A46}"/>
                </c:ext>
              </c:extLst>
            </c:dLbl>
            <c:dLbl>
              <c:idx val="2"/>
              <c:layout>
                <c:manualLayout>
                  <c:x val="-5.859852367800255E-2"/>
                  <c:y val="3.00895675991488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EA9-424E-8936-2B013B1A0A46}"/>
                </c:ext>
              </c:extLst>
            </c:dLbl>
            <c:dLbl>
              <c:idx val="3"/>
              <c:layout>
                <c:manualLayout>
                  <c:x val="-9.2421427708119869E-2"/>
                  <c:y val="-3.0329343617616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EA9-424E-8936-2B013B1A0A46}"/>
                </c:ext>
              </c:extLst>
            </c:dLbl>
            <c:dLbl>
              <c:idx val="4"/>
              <c:layout>
                <c:manualLayout>
                  <c:x val="-5.5986016105338071E-2"/>
                  <c:y val="0"/>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EA9-424E-8936-2B013B1A0A4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5"/>
                    </a:solidFill>
                    <a:latin typeface="+mn-lt"/>
                    <a:ea typeface="+mn-ea"/>
                    <a:cs typeface="+mn-cs"/>
                  </a:defRPr>
                </a:pPr>
                <a:endParaRPr lang="sl-SI"/>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FCFF!$D$108:$H$108</c:f>
              <c:numCache>
                <c:formatCode>General</c:formatCode>
                <c:ptCount val="5"/>
                <c:pt idx="0">
                  <c:v>2018</c:v>
                </c:pt>
                <c:pt idx="1">
                  <c:v>2019</c:v>
                </c:pt>
                <c:pt idx="2">
                  <c:v>2020</c:v>
                </c:pt>
                <c:pt idx="3">
                  <c:v>2021</c:v>
                </c:pt>
                <c:pt idx="4">
                  <c:v>2022</c:v>
                </c:pt>
              </c:numCache>
            </c:numRef>
          </c:cat>
          <c:val>
            <c:numRef>
              <c:f>FCFF!$D$109:$H$109</c:f>
              <c:numCache>
                <c:formatCode>#,##0</c:formatCode>
                <c:ptCount val="5"/>
                <c:pt idx="0">
                  <c:v>25000.0437845095</c:v>
                </c:pt>
                <c:pt idx="1">
                  <c:v>21210.570715804257</c:v>
                </c:pt>
                <c:pt idx="2">
                  <c:v>25160.481426734186</c:v>
                </c:pt>
                <c:pt idx="3">
                  <c:v>34730.622582007738</c:v>
                </c:pt>
                <c:pt idx="4">
                  <c:v>40847.311656700011</c:v>
                </c:pt>
              </c:numCache>
            </c:numRef>
          </c:val>
          <c:smooth val="0"/>
          <c:extLst>
            <c:ext xmlns:c16="http://schemas.microsoft.com/office/drawing/2014/chart" uri="{C3380CC4-5D6E-409C-BE32-E72D297353CC}">
              <c16:uniqueId val="{0000000B-3EA9-424E-8936-2B013B1A0A46}"/>
            </c:ext>
          </c:extLst>
        </c:ser>
        <c:dLbls>
          <c:dLblPos val="ctr"/>
          <c:showLegendKey val="0"/>
          <c:showVal val="1"/>
          <c:showCatName val="0"/>
          <c:showSerName val="0"/>
          <c:showPercent val="0"/>
          <c:showBubbleSize val="0"/>
        </c:dLbls>
        <c:marker val="1"/>
        <c:smooth val="0"/>
        <c:axId val="593425536"/>
        <c:axId val="422492768"/>
        <c:extLst>
          <c:ext xmlns:c15="http://schemas.microsoft.com/office/drawing/2012/chart" uri="{02D57815-91ED-43cb-92C2-25804820EDAC}">
            <c15:filteredLineSeries>
              <c15:ser>
                <c:idx val="0"/>
                <c:order val="0"/>
                <c:tx>
                  <c:v>FCFF pred prevzemom</c:v>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delete val="1"/>
                    <c:extLst>
                      <c:ext uri="{CE6537A1-D6FC-4f65-9D91-7224C49458BB}"/>
                      <c:ext xmlns:c16="http://schemas.microsoft.com/office/drawing/2014/chart" uri="{C3380CC4-5D6E-409C-BE32-E72D297353CC}">
                        <c16:uniqueId val="{0000000C-3EA9-424E-8936-2B013B1A0A46}"/>
                      </c:ext>
                    </c:extLst>
                  </c:dLbl>
                  <c:dLbl>
                    <c:idx val="1"/>
                    <c:layout>
                      <c:manualLayout>
                        <c:x val="-0.10034863531702716"/>
                        <c:y val="3.5241154788684566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D-3EA9-424E-8936-2B013B1A0A46}"/>
                      </c:ext>
                    </c:extLst>
                  </c:dLbl>
                  <c:dLbl>
                    <c:idx val="2"/>
                    <c:layout>
                      <c:manualLayout>
                        <c:x val="-8.0840332458442701E-2"/>
                        <c:y val="4.6296296296296294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E-3EA9-424E-8936-2B013B1A0A46}"/>
                      </c:ext>
                    </c:extLst>
                  </c:dLbl>
                  <c:dLbl>
                    <c:idx val="3"/>
                    <c:layout>
                      <c:manualLayout>
                        <c:x val="-8.08510041481664E-2"/>
                        <c:y val="-4.0918373142178444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0F-3EA9-424E-8936-2B013B1A0A46}"/>
                      </c:ext>
                    </c:extLst>
                  </c:dLbl>
                  <c:dLbl>
                    <c:idx val="4"/>
                    <c:layout>
                      <c:manualLayout>
                        <c:x val="-5.3030523833932315E-2"/>
                        <c:y val="3.6737888818377341E-2"/>
                      </c:manualLayout>
                    </c:layout>
                    <c:dLblPos val="r"/>
                    <c:showLegendKey val="0"/>
                    <c:showVal val="1"/>
                    <c:showCatName val="0"/>
                    <c:showSerName val="0"/>
                    <c:showPercent val="0"/>
                    <c:showBubbleSize val="0"/>
                    <c:extLst>
                      <c:ext uri="{CE6537A1-D6FC-4f65-9D91-7224C49458BB}"/>
                      <c:ext xmlns:c16="http://schemas.microsoft.com/office/drawing/2014/chart" uri="{C3380CC4-5D6E-409C-BE32-E72D297353CC}">
                        <c16:uniqueId val="{00000010-3EA9-424E-8936-2B013B1A0A4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sl-SI"/>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35000"/>
                                <a:lumOff val="65000"/>
                              </a:schemeClr>
                            </a:solidFill>
                          </a:ln>
                          <a:effectLst/>
                        </c:spPr>
                      </c15:leaderLines>
                    </c:ext>
                  </c:extLst>
                </c:dLbls>
                <c:cat>
                  <c:numRef>
                    <c:extLst>
                      <c:ext uri="{02D57815-91ED-43cb-92C2-25804820EDAC}">
                        <c15:formulaRef>
                          <c15:sqref>FCFF!$D$108:$H$108</c15:sqref>
                        </c15:formulaRef>
                      </c:ext>
                    </c:extLst>
                    <c:numCache>
                      <c:formatCode>General</c:formatCode>
                      <c:ptCount val="5"/>
                      <c:pt idx="0">
                        <c:v>2018</c:v>
                      </c:pt>
                      <c:pt idx="1">
                        <c:v>2019</c:v>
                      </c:pt>
                      <c:pt idx="2">
                        <c:v>2020</c:v>
                      </c:pt>
                      <c:pt idx="3">
                        <c:v>2021</c:v>
                      </c:pt>
                      <c:pt idx="4">
                        <c:v>2022</c:v>
                      </c:pt>
                    </c:numCache>
                  </c:numRef>
                </c:cat>
                <c:val>
                  <c:numLit>
                    <c:formatCode>General</c:formatCode>
                    <c:ptCount val="5"/>
                    <c:pt idx="0">
                      <c:v>25000.0437845095</c:v>
                    </c:pt>
                    <c:pt idx="1">
                      <c:v>21210.570715804257</c:v>
                    </c:pt>
                    <c:pt idx="2">
                      <c:v>22945.428193314947</c:v>
                    </c:pt>
                    <c:pt idx="3">
                      <c:v>34714.206252594144</c:v>
                    </c:pt>
                    <c:pt idx="4">
                      <c:v>35092.990300953636</c:v>
                    </c:pt>
                  </c:numLit>
                </c:val>
                <c:smooth val="0"/>
                <c:extLst>
                  <c:ext xmlns:c16="http://schemas.microsoft.com/office/drawing/2014/chart" uri="{C3380CC4-5D6E-409C-BE32-E72D297353CC}">
                    <c16:uniqueId val="{00000011-3EA9-424E-8936-2B013B1A0A46}"/>
                  </c:ext>
                </c:extLst>
              </c15:ser>
            </c15:filteredLineSeries>
            <c15:filteredLineSeries>
              <c15:ser>
                <c:idx val="1"/>
                <c:order val="1"/>
                <c:tx>
                  <c:v>FCFF po prevzemu</c:v>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0"/>
                    <c:layout>
                      <c:manualLayout>
                        <c:x val="-7.8212736135286898E-2"/>
                        <c:y val="-2.6879833387363487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2-3EA9-424E-8936-2B013B1A0A46}"/>
                      </c:ext>
                    </c:extLst>
                  </c:dLbl>
                  <c:dLbl>
                    <c:idx val="1"/>
                    <c:layout>
                      <c:manualLayout>
                        <c:x val="-7.542961430095102E-2"/>
                        <c:y val="-3.5839777849818011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3-3EA9-424E-8936-2B013B1A0A46}"/>
                      </c:ext>
                    </c:extLst>
                  </c:dLbl>
                  <c:dLbl>
                    <c:idx val="2"/>
                    <c:layout>
                      <c:manualLayout>
                        <c:x val="-0.10047771080997397"/>
                        <c:y val="-4.0319750081045207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4-3EA9-424E-8936-2B013B1A0A46}"/>
                      </c:ext>
                    </c:extLst>
                  </c:dLbl>
                  <c:dLbl>
                    <c:idx val="3"/>
                    <c:layout>
                      <c:manualLayout>
                        <c:x val="-7.5284776902887138E-2"/>
                        <c:y val="-3.2407407407407426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5-3EA9-424E-8936-2B013B1A0A46}"/>
                      </c:ext>
                    </c:extLst>
                  </c:dLbl>
                  <c:dLbl>
                    <c:idx val="4"/>
                    <c:layout>
                      <c:manualLayout>
                        <c:x val="-6.9729221347331685E-2"/>
                        <c:y val="3.2407407407407364E-2"/>
                      </c:manualLayout>
                    </c:layout>
                    <c:dLblPos val="r"/>
                    <c:showLegendKey val="0"/>
                    <c:showVal val="1"/>
                    <c:showCatName val="0"/>
                    <c:showSerName val="0"/>
                    <c:showPercent val="0"/>
                    <c:showBubbleSize val="0"/>
                    <c:extLst xmlns:c15="http://schemas.microsoft.com/office/drawing/2012/chart">
                      <c:ext xmlns:c15="http://schemas.microsoft.com/office/drawing/2012/chart" uri="{CE6537A1-D6FC-4f65-9D91-7224C49458BB}"/>
                      <c:ext xmlns:c16="http://schemas.microsoft.com/office/drawing/2014/chart" uri="{C3380CC4-5D6E-409C-BE32-E72D297353CC}">
                        <c16:uniqueId val="{00000016-3EA9-424E-8936-2B013B1A0A46}"/>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sl-SI"/>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extLst xmlns:c15="http://schemas.microsoft.com/office/drawing/2012/chart">
                      <c:ext xmlns:c15="http://schemas.microsoft.com/office/drawing/2012/chart" uri="{02D57815-91ED-43cb-92C2-25804820EDAC}">
                        <c15:formulaRef>
                          <c15:sqref>FCFF!$D$108:$H$108</c15:sqref>
                        </c15:formulaRef>
                      </c:ext>
                    </c:extLst>
                    <c:numCache>
                      <c:formatCode>General</c:formatCode>
                      <c:ptCount val="5"/>
                      <c:pt idx="0">
                        <c:v>2018</c:v>
                      </c:pt>
                      <c:pt idx="1">
                        <c:v>2019</c:v>
                      </c:pt>
                      <c:pt idx="2">
                        <c:v>2020</c:v>
                      </c:pt>
                      <c:pt idx="3">
                        <c:v>2021</c:v>
                      </c:pt>
                      <c:pt idx="4">
                        <c:v>2022</c:v>
                      </c:pt>
                    </c:numCache>
                  </c:numRef>
                </c:cat>
                <c:val>
                  <c:numLit>
                    <c:formatCode>General</c:formatCode>
                    <c:ptCount val="5"/>
                    <c:pt idx="0">
                      <c:v>57706.87564478584</c:v>
                    </c:pt>
                    <c:pt idx="1">
                      <c:v>61723.333623323975</c:v>
                    </c:pt>
                    <c:pt idx="2">
                      <c:v>47409.889700672364</c:v>
                    </c:pt>
                    <c:pt idx="3">
                      <c:v>54117.996325854539</c:v>
                    </c:pt>
                    <c:pt idx="4">
                      <c:v>46784.235345381028</c:v>
                    </c:pt>
                  </c:numLit>
                </c:val>
                <c:smooth val="0"/>
                <c:extLst xmlns:c15="http://schemas.microsoft.com/office/drawing/2012/chart">
                  <c:ext xmlns:c16="http://schemas.microsoft.com/office/drawing/2014/chart" uri="{C3380CC4-5D6E-409C-BE32-E72D297353CC}">
                    <c16:uniqueId val="{00000017-3EA9-424E-8936-2B013B1A0A46}"/>
                  </c:ext>
                </c:extLst>
              </c15:ser>
            </c15:filteredLineSeries>
            <c15:filteredLineSeries>
              <c15:ser>
                <c:idx val="3"/>
                <c:order val="2"/>
                <c:tx>
                  <c:strRef>
                    <c:extLst xmlns:c15="http://schemas.microsoft.com/office/drawing/2012/chart">
                      <c:ext xmlns:c15="http://schemas.microsoft.com/office/drawing/2012/chart" uri="{02D57815-91ED-43cb-92C2-25804820EDAC}">
                        <c15:formulaRef>
                          <c15:sqref>FCFF!$C$109</c15:sqref>
                        </c15:formulaRef>
                      </c:ext>
                    </c:extLst>
                    <c:strCache>
                      <c:ptCount val="1"/>
                      <c:pt idx="0">
                        <c:v>FCFF pred prevzemom</c:v>
                      </c:pt>
                    </c:strCache>
                  </c:strRef>
                </c:tx>
                <c:spPr>
                  <a:ln w="19050" cap="rnd" cmpd="sng" algn="ctr">
                    <a:solidFill>
                      <a:schemeClr val="accent4">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4"/>
                          </a:solidFill>
                          <a:latin typeface="+mn-lt"/>
                          <a:ea typeface="+mn-ea"/>
                          <a:cs typeface="+mn-cs"/>
                        </a:defRPr>
                      </a:pPr>
                      <a:endParaRPr lang="sl-SI"/>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extLst xmlns:c15="http://schemas.microsoft.com/office/drawing/2012/chart">
                      <c:ext xmlns:c15="http://schemas.microsoft.com/office/drawing/2012/chart" uri="{02D57815-91ED-43cb-92C2-25804820EDAC}">
                        <c15:formulaRef>
                          <c15:sqref>FCFF!$D$108:$H$108</c15:sqref>
                        </c15:formulaRef>
                      </c:ext>
                    </c:extLst>
                    <c:numCache>
                      <c:formatCode>General</c:formatCode>
                      <c:ptCount val="5"/>
                      <c:pt idx="0">
                        <c:v>2018</c:v>
                      </c:pt>
                      <c:pt idx="1">
                        <c:v>2019</c:v>
                      </c:pt>
                      <c:pt idx="2">
                        <c:v>2020</c:v>
                      </c:pt>
                      <c:pt idx="3">
                        <c:v>2021</c:v>
                      </c:pt>
                      <c:pt idx="4">
                        <c:v>2022</c:v>
                      </c:pt>
                    </c:numCache>
                  </c:numRef>
                </c:cat>
                <c:val>
                  <c:numRef>
                    <c:extLst xmlns:c15="http://schemas.microsoft.com/office/drawing/2012/chart">
                      <c:ext xmlns:c15="http://schemas.microsoft.com/office/drawing/2012/chart" uri="{02D57815-91ED-43cb-92C2-25804820EDAC}">
                        <c15:formulaRef>
                          <c15:sqref>FCFF!$D$109:$H$109</c15:sqref>
                        </c15:formulaRef>
                      </c:ext>
                    </c:extLst>
                    <c:numCache>
                      <c:formatCode>#,##0</c:formatCode>
                      <c:ptCount val="5"/>
                      <c:pt idx="0">
                        <c:v>25000.0437845095</c:v>
                      </c:pt>
                      <c:pt idx="1">
                        <c:v>21210.570715804257</c:v>
                      </c:pt>
                      <c:pt idx="2">
                        <c:v>25160.481426734186</c:v>
                      </c:pt>
                      <c:pt idx="3">
                        <c:v>34730.622582007738</c:v>
                      </c:pt>
                      <c:pt idx="4">
                        <c:v>40847.311656700011</c:v>
                      </c:pt>
                    </c:numCache>
                  </c:numRef>
                </c:val>
                <c:smooth val="0"/>
                <c:extLst xmlns:c15="http://schemas.microsoft.com/office/drawing/2012/chart">
                  <c:ext xmlns:c16="http://schemas.microsoft.com/office/drawing/2014/chart" uri="{C3380CC4-5D6E-409C-BE32-E72D297353CC}">
                    <c16:uniqueId val="{00000018-3EA9-424E-8936-2B013B1A0A46}"/>
                  </c:ext>
                </c:extLst>
              </c15:ser>
            </c15:filteredLineSeries>
          </c:ext>
        </c:extLst>
      </c:lineChart>
      <c:catAx>
        <c:axId val="59342553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sl-SI"/>
          </a:p>
        </c:txPr>
        <c:crossAx val="422492768"/>
        <c:crosses val="autoZero"/>
        <c:auto val="1"/>
        <c:lblAlgn val="ctr"/>
        <c:lblOffset val="100"/>
        <c:noMultiLvlLbl val="0"/>
      </c:catAx>
      <c:valAx>
        <c:axId val="422492768"/>
        <c:scaling>
          <c:orientation val="minMax"/>
        </c:scaling>
        <c:delete val="1"/>
        <c:axPos val="l"/>
        <c:numFmt formatCode="#,##0" sourceLinked="1"/>
        <c:majorTickMark val="none"/>
        <c:minorTickMark val="none"/>
        <c:tickLblPos val="nextTo"/>
        <c:crossAx val="59342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ysClr val="windowText" lastClr="000000"/>
      </a:solidFill>
      <a:round/>
    </a:ln>
    <a:effectLst/>
  </c:spPr>
  <c:txPr>
    <a:bodyPr/>
    <a:lstStyle/>
    <a:p>
      <a:pPr>
        <a:defRPr/>
      </a:pPr>
      <a:endParaRPr lang="sl-SI"/>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List1!$B$1</c:f>
              <c:strCache>
                <c:ptCount val="1"/>
                <c:pt idx="0">
                  <c:v>2017</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6350" cap="flat" cmpd="sng" algn="ctr">
              <a:solidFill>
                <a:schemeClr val="accent5"/>
              </a:solidFill>
              <a:prstDash val="solid"/>
              <a:miter lim="800000"/>
            </a:ln>
            <a:effectLst/>
          </c:spPr>
          <c:invertIfNegative val="0"/>
          <c:dLbls>
            <c:dLbl>
              <c:idx val="0"/>
              <c:layout>
                <c:manualLayout>
                  <c:x val="-8.348416005259012E-17"/>
                  <c:y val="1.5612802498048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302-43DC-AF71-3A2CD0460922}"/>
                </c:ext>
              </c:extLst>
            </c:dLbl>
            <c:dLbl>
              <c:idx val="1"/>
              <c:layout>
                <c:manualLayout>
                  <c:x val="-2.2768670309655588E-3"/>
                  <c:y val="7.806401249024199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02-43DC-AF71-3A2CD0460922}"/>
                </c:ext>
              </c:extLst>
            </c:dLbl>
            <c:dLbl>
              <c:idx val="5"/>
              <c:layout>
                <c:manualLayout>
                  <c:x val="0"/>
                  <c:y val="7.80640124902412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02-43DC-AF71-3A2CD0460922}"/>
                </c:ext>
              </c:extLst>
            </c:dLbl>
            <c:dLbl>
              <c:idx val="8"/>
              <c:layout>
                <c:manualLayout>
                  <c:x val="0"/>
                  <c:y val="6.945650286508074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7B5-43D5-9FA8-6AC31168F6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List1!$A$2:$A$13</c:f>
              <c:strCache>
                <c:ptCount val="12"/>
                <c:pt idx="0">
                  <c:v>Consumer Products and Services</c:v>
                </c:pt>
                <c:pt idx="1">
                  <c:v>Consumer Staples</c:v>
                </c:pt>
                <c:pt idx="2">
                  <c:v>Energy and Power</c:v>
                </c:pt>
                <c:pt idx="3">
                  <c:v>Financials</c:v>
                </c:pt>
                <c:pt idx="4">
                  <c:v>Healthcare</c:v>
                </c:pt>
                <c:pt idx="5">
                  <c:v>High Technology</c:v>
                </c:pt>
                <c:pt idx="6">
                  <c:v>Industrials</c:v>
                </c:pt>
                <c:pt idx="7">
                  <c:v>Materials</c:v>
                </c:pt>
                <c:pt idx="8">
                  <c:v>Media and Entertainment</c:v>
                </c:pt>
                <c:pt idx="9">
                  <c:v>Real Estate</c:v>
                </c:pt>
                <c:pt idx="10">
                  <c:v>Retail</c:v>
                </c:pt>
                <c:pt idx="11">
                  <c:v>Telecommunications</c:v>
                </c:pt>
              </c:strCache>
            </c:strRef>
          </c:cat>
          <c:val>
            <c:numRef>
              <c:f>List1!$B$2:$B$13</c:f>
              <c:numCache>
                <c:formatCode>0.00%</c:formatCode>
                <c:ptCount val="12"/>
                <c:pt idx="0">
                  <c:v>0.193</c:v>
                </c:pt>
                <c:pt idx="1">
                  <c:v>0.23699999999999999</c:v>
                </c:pt>
                <c:pt idx="2">
                  <c:v>0.24099999999999999</c:v>
                </c:pt>
                <c:pt idx="3">
                  <c:v>0.23699999999999999</c:v>
                </c:pt>
                <c:pt idx="4">
                  <c:v>0.36199999999999999</c:v>
                </c:pt>
                <c:pt idx="5">
                  <c:v>0.23200000000000001</c:v>
                </c:pt>
                <c:pt idx="6">
                  <c:v>0.222</c:v>
                </c:pt>
                <c:pt idx="7">
                  <c:v>0.22500000000000001</c:v>
                </c:pt>
                <c:pt idx="8">
                  <c:v>0.216</c:v>
                </c:pt>
                <c:pt idx="9">
                  <c:v>0.16</c:v>
                </c:pt>
                <c:pt idx="10">
                  <c:v>0.373</c:v>
                </c:pt>
                <c:pt idx="11">
                  <c:v>0.35799999999999998</c:v>
                </c:pt>
              </c:numCache>
            </c:numRef>
          </c:val>
          <c:extLst>
            <c:ext xmlns:c16="http://schemas.microsoft.com/office/drawing/2014/chart" uri="{C3380CC4-5D6E-409C-BE32-E72D297353CC}">
              <c16:uniqueId val="{00000001-87B5-43D5-9FA8-6AC31168F641}"/>
            </c:ext>
          </c:extLst>
        </c:ser>
        <c:ser>
          <c:idx val="1"/>
          <c:order val="1"/>
          <c:tx>
            <c:strRef>
              <c:f>List1!$C$1</c:f>
              <c:strCache>
                <c:ptCount val="1"/>
                <c:pt idx="0">
                  <c:v>2018</c:v>
                </c:pt>
              </c:strCache>
            </c:strRef>
          </c:tx>
          <c:spPr>
            <a:solidFill>
              <a:schemeClr val="accent1"/>
            </a:solidFill>
            <a:ln w="12700" cap="flat" cmpd="sng" algn="ctr">
              <a:solidFill>
                <a:schemeClr val="accent1">
                  <a:shade val="50000"/>
                </a:schemeClr>
              </a:solidFill>
              <a:prstDash val="solid"/>
              <a:miter lim="800000"/>
            </a:ln>
            <a:effectLst/>
          </c:spPr>
          <c:invertIfNegative val="0"/>
          <c:dLbls>
            <c:dLbl>
              <c:idx val="2"/>
              <c:layout>
                <c:manualLayout>
                  <c:x val="-1.6696832010518024E-16"/>
                  <c:y val="-1.17096018735363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02-43DC-AF71-3A2CD0460922}"/>
                </c:ext>
              </c:extLst>
            </c:dLbl>
            <c:dLbl>
              <c:idx val="3"/>
              <c:layout>
                <c:manualLayout>
                  <c:x val="-8.348416005259012E-17"/>
                  <c:y val="-7.80640124902434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302-43DC-AF71-3A2CD0460922}"/>
                </c:ext>
              </c:extLst>
            </c:dLbl>
            <c:dLbl>
              <c:idx val="4"/>
              <c:layout>
                <c:manualLayout>
                  <c:x val="0"/>
                  <c:y val="-7.80640124902412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02-43DC-AF71-3A2CD0460922}"/>
                </c:ext>
              </c:extLst>
            </c:dLbl>
            <c:dLbl>
              <c:idx val="7"/>
              <c:layout>
                <c:manualLayout>
                  <c:x val="0"/>
                  <c:y val="-1.17096018735363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02-43DC-AF71-3A2CD0460922}"/>
                </c:ext>
              </c:extLst>
            </c:dLbl>
            <c:dLbl>
              <c:idx val="8"/>
              <c:layout>
                <c:manualLayout>
                  <c:x val="-1.6696832010518024E-16"/>
                  <c:y val="-3.90320062451206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02-43DC-AF71-3A2CD0460922}"/>
                </c:ext>
              </c:extLst>
            </c:dLbl>
            <c:dLbl>
              <c:idx val="9"/>
              <c:layout>
                <c:manualLayout>
                  <c:x val="0"/>
                  <c:y val="-7.806401249024199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02-43DC-AF71-3A2CD0460922}"/>
                </c:ext>
              </c:extLst>
            </c:dLbl>
            <c:dLbl>
              <c:idx val="11"/>
              <c:layout>
                <c:manualLayout>
                  <c:x val="2.126271101358232E-3"/>
                  <c:y val="-1.170960187353631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7B5-43D5-9FA8-6AC31168F6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List1!$A$2:$A$13</c:f>
              <c:strCache>
                <c:ptCount val="12"/>
                <c:pt idx="0">
                  <c:v>Consumer Products and Services</c:v>
                </c:pt>
                <c:pt idx="1">
                  <c:v>Consumer Staples</c:v>
                </c:pt>
                <c:pt idx="2">
                  <c:v>Energy and Power</c:v>
                </c:pt>
                <c:pt idx="3">
                  <c:v>Financials</c:v>
                </c:pt>
                <c:pt idx="4">
                  <c:v>Healthcare</c:v>
                </c:pt>
                <c:pt idx="5">
                  <c:v>High Technology</c:v>
                </c:pt>
                <c:pt idx="6">
                  <c:v>Industrials</c:v>
                </c:pt>
                <c:pt idx="7">
                  <c:v>Materials</c:v>
                </c:pt>
                <c:pt idx="8">
                  <c:v>Media and Entertainment</c:v>
                </c:pt>
                <c:pt idx="9">
                  <c:v>Real Estate</c:v>
                </c:pt>
                <c:pt idx="10">
                  <c:v>Retail</c:v>
                </c:pt>
                <c:pt idx="11">
                  <c:v>Telecommunications</c:v>
                </c:pt>
              </c:strCache>
            </c:strRef>
          </c:cat>
          <c:val>
            <c:numRef>
              <c:f>List1!$C$2:$C$13</c:f>
              <c:numCache>
                <c:formatCode>0.00%</c:formatCode>
                <c:ptCount val="12"/>
                <c:pt idx="0">
                  <c:v>0.246</c:v>
                </c:pt>
                <c:pt idx="1">
                  <c:v>0.28000000000000003</c:v>
                </c:pt>
                <c:pt idx="2">
                  <c:v>0.25700000000000001</c:v>
                </c:pt>
                <c:pt idx="3">
                  <c:v>0.23300000000000001</c:v>
                </c:pt>
                <c:pt idx="4">
                  <c:v>0.34499999999999997</c:v>
                </c:pt>
                <c:pt idx="5">
                  <c:v>0.35599999999999998</c:v>
                </c:pt>
                <c:pt idx="6">
                  <c:v>0.3</c:v>
                </c:pt>
                <c:pt idx="7">
                  <c:v>0.161</c:v>
                </c:pt>
                <c:pt idx="8">
                  <c:v>0.23799999999999999</c:v>
                </c:pt>
                <c:pt idx="9">
                  <c:v>0.14499999999999999</c:v>
                </c:pt>
                <c:pt idx="10">
                  <c:v>0.23799999999999999</c:v>
                </c:pt>
                <c:pt idx="11">
                  <c:v>0.29499999999999998</c:v>
                </c:pt>
              </c:numCache>
            </c:numRef>
          </c:val>
          <c:extLst>
            <c:ext xmlns:c16="http://schemas.microsoft.com/office/drawing/2014/chart" uri="{C3380CC4-5D6E-409C-BE32-E72D297353CC}">
              <c16:uniqueId val="{00000003-87B5-43D5-9FA8-6AC31168F641}"/>
            </c:ext>
          </c:extLst>
        </c:ser>
        <c:dLbls>
          <c:dLblPos val="outEnd"/>
          <c:showLegendKey val="0"/>
          <c:showVal val="1"/>
          <c:showCatName val="0"/>
          <c:showSerName val="0"/>
          <c:showPercent val="0"/>
          <c:showBubbleSize val="0"/>
        </c:dLbls>
        <c:gapWidth val="135"/>
        <c:overlap val="-28"/>
        <c:axId val="362389168"/>
        <c:axId val="363098560"/>
      </c:barChart>
      <c:catAx>
        <c:axId val="36238916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363098560"/>
        <c:crosses val="autoZero"/>
        <c:auto val="1"/>
        <c:lblAlgn val="ctr"/>
        <c:lblOffset val="100"/>
        <c:noMultiLvlLbl val="0"/>
      </c:catAx>
      <c:valAx>
        <c:axId val="363098560"/>
        <c:scaling>
          <c:orientation val="minMax"/>
        </c:scaling>
        <c:delete val="0"/>
        <c:axPos val="b"/>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crossAx val="362389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sl-SI"/>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3"/>
          <c:order val="0"/>
          <c:tx>
            <c:strRef>
              <c:f>Primerjava!$A$3</c:f>
              <c:strCache>
                <c:ptCount val="1"/>
                <c:pt idx="0">
                  <c:v>Electrolux</c:v>
                </c:pt>
              </c:strCache>
            </c:strRef>
          </c:tx>
          <c:spPr>
            <a:solidFill>
              <a:schemeClr val="accent6">
                <a:lumMod val="60000"/>
              </a:schemeClr>
            </a:solidFill>
            <a:ln>
              <a:noFill/>
            </a:ln>
            <a:effectLst/>
          </c:spPr>
          <c:invertIfNegative val="0"/>
          <c:cat>
            <c:numRef>
              <c:f>Primerjava!$C$4:$F$4</c:f>
              <c:numCache>
                <c:formatCode>General</c:formatCode>
                <c:ptCount val="4"/>
                <c:pt idx="0">
                  <c:v>2014</c:v>
                </c:pt>
                <c:pt idx="1">
                  <c:v>2015</c:v>
                </c:pt>
                <c:pt idx="2">
                  <c:v>2016</c:v>
                </c:pt>
                <c:pt idx="3">
                  <c:v>2017</c:v>
                </c:pt>
              </c:numCache>
            </c:numRef>
          </c:cat>
          <c:val>
            <c:numRef>
              <c:f>Primerjava!$C$6:$F$6</c:f>
              <c:numCache>
                <c:formatCode>0.00%</c:formatCode>
                <c:ptCount val="4"/>
                <c:pt idx="0">
                  <c:v>2.7411567461590014E-2</c:v>
                </c:pt>
                <c:pt idx="1">
                  <c:v>0.10137057150245665</c:v>
                </c:pt>
                <c:pt idx="2">
                  <c:v>-1.9577203649877362E-2</c:v>
                </c:pt>
                <c:pt idx="3">
                  <c:v>7.9855978462834987E-3</c:v>
                </c:pt>
              </c:numCache>
            </c:numRef>
          </c:val>
          <c:extLst>
            <c:ext xmlns:c16="http://schemas.microsoft.com/office/drawing/2014/chart" uri="{C3380CC4-5D6E-409C-BE32-E72D297353CC}">
              <c16:uniqueId val="{00000000-E2DE-4C31-A6DC-D8CC871FB7F6}"/>
            </c:ext>
          </c:extLst>
        </c:ser>
        <c:ser>
          <c:idx val="0"/>
          <c:order val="1"/>
          <c:tx>
            <c:strRef>
              <c:f>Primerjava!$H$4</c:f>
              <c:strCache>
                <c:ptCount val="1"/>
                <c:pt idx="0">
                  <c:v>Skupina Gorenje</c:v>
                </c:pt>
              </c:strCache>
            </c:strRef>
          </c:tx>
          <c:spPr>
            <a:solidFill>
              <a:schemeClr val="accent6"/>
            </a:solidFill>
            <a:ln>
              <a:noFill/>
            </a:ln>
            <a:effectLst/>
          </c:spPr>
          <c:invertIfNegative val="0"/>
          <c:cat>
            <c:numRef>
              <c:f>Primerjava!$C$4:$F$4</c:f>
              <c:numCache>
                <c:formatCode>General</c:formatCode>
                <c:ptCount val="4"/>
                <c:pt idx="0">
                  <c:v>2014</c:v>
                </c:pt>
                <c:pt idx="1">
                  <c:v>2015</c:v>
                </c:pt>
                <c:pt idx="2">
                  <c:v>2016</c:v>
                </c:pt>
                <c:pt idx="3">
                  <c:v>2017</c:v>
                </c:pt>
              </c:numCache>
            </c:numRef>
          </c:cat>
          <c:val>
            <c:numRef>
              <c:f>Primerjava!$J$6:$M$6</c:f>
              <c:numCache>
                <c:formatCode>0.00%</c:formatCode>
                <c:ptCount val="4"/>
                <c:pt idx="0">
                  <c:v>1.066923985998991E-2</c:v>
                </c:pt>
                <c:pt idx="1">
                  <c:v>-2.2882357023155997E-2</c:v>
                </c:pt>
                <c:pt idx="2">
                  <c:v>2.701568697557355E-2</c:v>
                </c:pt>
                <c:pt idx="3">
                  <c:v>4.1178770931959097E-2</c:v>
                </c:pt>
              </c:numCache>
            </c:numRef>
          </c:val>
          <c:extLst>
            <c:ext xmlns:c16="http://schemas.microsoft.com/office/drawing/2014/chart" uri="{C3380CC4-5D6E-409C-BE32-E72D297353CC}">
              <c16:uniqueId val="{00000001-E2DE-4C31-A6DC-D8CC871FB7F6}"/>
            </c:ext>
          </c:extLst>
        </c:ser>
        <c:dLbls>
          <c:showLegendKey val="0"/>
          <c:showVal val="0"/>
          <c:showCatName val="0"/>
          <c:showSerName val="0"/>
          <c:showPercent val="0"/>
          <c:showBubbleSize val="0"/>
        </c:dLbls>
        <c:gapWidth val="219"/>
        <c:overlap val="-27"/>
        <c:axId val="500220120"/>
        <c:axId val="500218480"/>
      </c:barChart>
      <c:catAx>
        <c:axId val="500220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0218480"/>
        <c:crosses val="autoZero"/>
        <c:auto val="1"/>
        <c:lblAlgn val="ctr"/>
        <c:lblOffset val="500"/>
        <c:noMultiLvlLbl val="0"/>
      </c:catAx>
      <c:valAx>
        <c:axId val="500218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0220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Stroški!$C$14</c:f>
              <c:strCache>
                <c:ptCount val="1"/>
                <c:pt idx="0">
                  <c:v>Nabavna vrednost prodanega blaga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Stroški!$D$13:$H$13</c:f>
              <c:numCache>
                <c:formatCode>General</c:formatCode>
                <c:ptCount val="5"/>
                <c:pt idx="0">
                  <c:v>2013</c:v>
                </c:pt>
                <c:pt idx="1">
                  <c:v>2014</c:v>
                </c:pt>
                <c:pt idx="2">
                  <c:v>2015</c:v>
                </c:pt>
                <c:pt idx="3">
                  <c:v>2016</c:v>
                </c:pt>
                <c:pt idx="4">
                  <c:v>2017</c:v>
                </c:pt>
              </c:numCache>
            </c:numRef>
          </c:cat>
          <c:val>
            <c:numRef>
              <c:f>Stroški!$D$14:$H$14</c:f>
              <c:numCache>
                <c:formatCode>#,##0</c:formatCode>
                <c:ptCount val="5"/>
                <c:pt idx="0">
                  <c:v>215851</c:v>
                </c:pt>
                <c:pt idx="1">
                  <c:v>228938</c:v>
                </c:pt>
                <c:pt idx="2">
                  <c:v>238939</c:v>
                </c:pt>
                <c:pt idx="3">
                  <c:v>250392</c:v>
                </c:pt>
                <c:pt idx="4">
                  <c:v>261602</c:v>
                </c:pt>
              </c:numCache>
            </c:numRef>
          </c:val>
          <c:smooth val="0"/>
          <c:extLst>
            <c:ext xmlns:c16="http://schemas.microsoft.com/office/drawing/2014/chart" uri="{C3380CC4-5D6E-409C-BE32-E72D297353CC}">
              <c16:uniqueId val="{00000000-F6A2-48CA-99FC-20A7E98B47EB}"/>
            </c:ext>
          </c:extLst>
        </c:ser>
        <c:dLbls>
          <c:showLegendKey val="0"/>
          <c:showVal val="0"/>
          <c:showCatName val="0"/>
          <c:showSerName val="0"/>
          <c:showPercent val="0"/>
          <c:showBubbleSize val="0"/>
        </c:dLbls>
        <c:smooth val="0"/>
        <c:axId val="1956289504"/>
        <c:axId val="1761036416"/>
        <c:extLst>
          <c:ext xmlns:c15="http://schemas.microsoft.com/office/drawing/2012/chart" uri="{02D57815-91ED-43cb-92C2-25804820EDAC}">
            <c15:filteredLineSeries>
              <c15:ser>
                <c:idx val="1"/>
                <c:order val="1"/>
                <c:tx>
                  <c:strRef>
                    <c:extLst>
                      <c:ext uri="{02D57815-91ED-43cb-92C2-25804820EDAC}">
                        <c15:formulaRef>
                          <c15:sqref>Stroški!$C$15</c15:sqref>
                        </c15:formulaRef>
                      </c:ext>
                    </c:extLst>
                    <c:strCache>
                      <c:ptCount val="1"/>
                      <c:pt idx="0">
                        <c:v>Stroški materiala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c:ext uri="{02D57815-91ED-43cb-92C2-25804820EDAC}">
                        <c15:formulaRef>
                          <c15:sqref>Stroški!$D$15:$H$15</c15:sqref>
                        </c15:formulaRef>
                      </c:ext>
                    </c:extLst>
                    <c:numCache>
                      <c:formatCode>#,##0</c:formatCode>
                      <c:ptCount val="5"/>
                      <c:pt idx="0">
                        <c:v>477833</c:v>
                      </c:pt>
                      <c:pt idx="1">
                        <c:v>491470</c:v>
                      </c:pt>
                      <c:pt idx="2">
                        <c:v>488899</c:v>
                      </c:pt>
                      <c:pt idx="3">
                        <c:v>475798</c:v>
                      </c:pt>
                      <c:pt idx="4">
                        <c:v>489111</c:v>
                      </c:pt>
                    </c:numCache>
                  </c:numRef>
                </c:val>
                <c:smooth val="0"/>
                <c:extLst>
                  <c:ext xmlns:c16="http://schemas.microsoft.com/office/drawing/2014/chart" uri="{C3380CC4-5D6E-409C-BE32-E72D297353CC}">
                    <c16:uniqueId val="{00000001-F6A2-48CA-99FC-20A7E98B47E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Stroški!$C$16</c15:sqref>
                        </c15:formulaRef>
                      </c:ext>
                    </c:extLst>
                    <c:strCache>
                      <c:ptCount val="1"/>
                      <c:pt idx="0">
                        <c:v>Stroški storitev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xmlns:c15="http://schemas.microsoft.com/office/drawing/2012/chart">
                      <c:ext xmlns:c15="http://schemas.microsoft.com/office/drawing/2012/chart" uri="{02D57815-91ED-43cb-92C2-25804820EDAC}">
                        <c15:formulaRef>
                          <c15:sqref>Stroški!$D$16:$H$16</c15:sqref>
                        </c15:formulaRef>
                      </c:ext>
                    </c:extLst>
                    <c:numCache>
                      <c:formatCode>#,##0</c:formatCode>
                      <c:ptCount val="5"/>
                      <c:pt idx="0">
                        <c:v>216832</c:v>
                      </c:pt>
                      <c:pt idx="1">
                        <c:v>207278</c:v>
                      </c:pt>
                      <c:pt idx="2">
                        <c:v>209407</c:v>
                      </c:pt>
                      <c:pt idx="3">
                        <c:v>215964</c:v>
                      </c:pt>
                      <c:pt idx="4">
                        <c:v>230700</c:v>
                      </c:pt>
                    </c:numCache>
                  </c:numRef>
                </c:val>
                <c:smooth val="0"/>
                <c:extLst xmlns:c15="http://schemas.microsoft.com/office/drawing/2012/chart">
                  <c:ext xmlns:c16="http://schemas.microsoft.com/office/drawing/2014/chart" uri="{C3380CC4-5D6E-409C-BE32-E72D297353CC}">
                    <c16:uniqueId val="{00000002-F6A2-48CA-99FC-20A7E98B47EB}"/>
                  </c:ext>
                </c:extLst>
              </c15:ser>
            </c15:filteredLineSeries>
          </c:ext>
        </c:extLst>
      </c:lineChart>
      <c:catAx>
        <c:axId val="19562895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761036416"/>
        <c:crosses val="autoZero"/>
        <c:auto val="1"/>
        <c:lblAlgn val="ctr"/>
        <c:lblOffset val="100"/>
        <c:noMultiLvlLbl val="0"/>
      </c:catAx>
      <c:valAx>
        <c:axId val="1761036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956289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Stroški!$C$15</c:f>
              <c:strCache>
                <c:ptCount val="1"/>
                <c:pt idx="0">
                  <c:v>Stroški materiala </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Stroški!$D$13:$H$13</c:f>
              <c:numCache>
                <c:formatCode>General</c:formatCode>
                <c:ptCount val="5"/>
                <c:pt idx="0">
                  <c:v>2013</c:v>
                </c:pt>
                <c:pt idx="1">
                  <c:v>2014</c:v>
                </c:pt>
                <c:pt idx="2">
                  <c:v>2015</c:v>
                </c:pt>
                <c:pt idx="3">
                  <c:v>2016</c:v>
                </c:pt>
                <c:pt idx="4">
                  <c:v>2017</c:v>
                </c:pt>
              </c:numCache>
            </c:numRef>
          </c:cat>
          <c:val>
            <c:numRef>
              <c:f>Stroški!$D$15:$H$15</c:f>
              <c:numCache>
                <c:formatCode>#,##0</c:formatCode>
                <c:ptCount val="5"/>
                <c:pt idx="0">
                  <c:v>477833</c:v>
                </c:pt>
                <c:pt idx="1">
                  <c:v>491470</c:v>
                </c:pt>
                <c:pt idx="2">
                  <c:v>488899</c:v>
                </c:pt>
                <c:pt idx="3">
                  <c:v>475798</c:v>
                </c:pt>
                <c:pt idx="4">
                  <c:v>489111</c:v>
                </c:pt>
              </c:numCache>
            </c:numRef>
          </c:val>
          <c:smooth val="0"/>
          <c:extLst>
            <c:ext xmlns:c16="http://schemas.microsoft.com/office/drawing/2014/chart" uri="{C3380CC4-5D6E-409C-BE32-E72D297353CC}">
              <c16:uniqueId val="{00000000-212B-4728-987F-CE20FC42F26F}"/>
            </c:ext>
          </c:extLst>
        </c:ser>
        <c:dLbls>
          <c:showLegendKey val="0"/>
          <c:showVal val="0"/>
          <c:showCatName val="0"/>
          <c:showSerName val="0"/>
          <c:showPercent val="0"/>
          <c:showBubbleSize val="0"/>
        </c:dLbls>
        <c:smooth val="0"/>
        <c:axId val="1956289504"/>
        <c:axId val="1761036416"/>
        <c:extLst>
          <c:ext xmlns:c15="http://schemas.microsoft.com/office/drawing/2012/chart" uri="{02D57815-91ED-43cb-92C2-25804820EDAC}">
            <c15:filteredLineSeries>
              <c15:ser>
                <c:idx val="0"/>
                <c:order val="0"/>
                <c:tx>
                  <c:strRef>
                    <c:extLst>
                      <c:ext uri="{02D57815-91ED-43cb-92C2-25804820EDAC}">
                        <c15:formulaRef>
                          <c15:sqref>Stroški!$C$14</c15:sqref>
                        </c15:formulaRef>
                      </c:ext>
                    </c:extLst>
                    <c:strCache>
                      <c:ptCount val="1"/>
                      <c:pt idx="0">
                        <c:v>Nabavna vrednost prodanega blaga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c:ext uri="{02D57815-91ED-43cb-92C2-25804820EDAC}">
                        <c15:formulaRef>
                          <c15:sqref>Stroški!$D$14:$H$14</c15:sqref>
                        </c15:formulaRef>
                      </c:ext>
                    </c:extLst>
                    <c:numCache>
                      <c:formatCode>#,##0</c:formatCode>
                      <c:ptCount val="5"/>
                      <c:pt idx="0">
                        <c:v>215851</c:v>
                      </c:pt>
                      <c:pt idx="1">
                        <c:v>228938</c:v>
                      </c:pt>
                      <c:pt idx="2">
                        <c:v>238939</c:v>
                      </c:pt>
                      <c:pt idx="3">
                        <c:v>250392</c:v>
                      </c:pt>
                      <c:pt idx="4">
                        <c:v>261602</c:v>
                      </c:pt>
                    </c:numCache>
                  </c:numRef>
                </c:val>
                <c:smooth val="0"/>
                <c:extLst>
                  <c:ext xmlns:c16="http://schemas.microsoft.com/office/drawing/2014/chart" uri="{C3380CC4-5D6E-409C-BE32-E72D297353CC}">
                    <c16:uniqueId val="{00000001-212B-4728-987F-CE20FC42F26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Stroški!$C$16</c15:sqref>
                        </c15:formulaRef>
                      </c:ext>
                    </c:extLst>
                    <c:strCache>
                      <c:ptCount val="1"/>
                      <c:pt idx="0">
                        <c:v>Stroški storitev </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xmlns:c15="http://schemas.microsoft.com/office/drawing/2012/chart">
                      <c:ext xmlns:c15="http://schemas.microsoft.com/office/drawing/2012/chart" uri="{02D57815-91ED-43cb-92C2-25804820EDAC}">
                        <c15:formulaRef>
                          <c15:sqref>Stroški!$D$16:$H$16</c15:sqref>
                        </c15:formulaRef>
                      </c:ext>
                    </c:extLst>
                    <c:numCache>
                      <c:formatCode>#,##0</c:formatCode>
                      <c:ptCount val="5"/>
                      <c:pt idx="0">
                        <c:v>216832</c:v>
                      </c:pt>
                      <c:pt idx="1">
                        <c:v>207278</c:v>
                      </c:pt>
                      <c:pt idx="2">
                        <c:v>209407</c:v>
                      </c:pt>
                      <c:pt idx="3">
                        <c:v>215964</c:v>
                      </c:pt>
                      <c:pt idx="4">
                        <c:v>230700</c:v>
                      </c:pt>
                    </c:numCache>
                  </c:numRef>
                </c:val>
                <c:smooth val="0"/>
                <c:extLst xmlns:c15="http://schemas.microsoft.com/office/drawing/2012/chart">
                  <c:ext xmlns:c16="http://schemas.microsoft.com/office/drawing/2014/chart" uri="{C3380CC4-5D6E-409C-BE32-E72D297353CC}">
                    <c16:uniqueId val="{00000002-212B-4728-987F-CE20FC42F26F}"/>
                  </c:ext>
                </c:extLst>
              </c15:ser>
            </c15:filteredLineSeries>
          </c:ext>
        </c:extLst>
      </c:lineChart>
      <c:catAx>
        <c:axId val="19562895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761036416"/>
        <c:crosses val="autoZero"/>
        <c:auto val="1"/>
        <c:lblAlgn val="ctr"/>
        <c:lblOffset val="100"/>
        <c:noMultiLvlLbl val="0"/>
      </c:catAx>
      <c:valAx>
        <c:axId val="1761036416"/>
        <c:scaling>
          <c:orientation val="minMax"/>
          <c:max val="500000"/>
          <c:min val="4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956289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strRef>
              <c:f>Stroški!$C$16</c:f>
              <c:strCache>
                <c:ptCount val="1"/>
                <c:pt idx="0">
                  <c:v>Stroški storitev </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Stroški!$D$13:$H$13</c:f>
              <c:numCache>
                <c:formatCode>General</c:formatCode>
                <c:ptCount val="5"/>
                <c:pt idx="0">
                  <c:v>2013</c:v>
                </c:pt>
                <c:pt idx="1">
                  <c:v>2014</c:v>
                </c:pt>
                <c:pt idx="2">
                  <c:v>2015</c:v>
                </c:pt>
                <c:pt idx="3">
                  <c:v>2016</c:v>
                </c:pt>
                <c:pt idx="4">
                  <c:v>2017</c:v>
                </c:pt>
              </c:numCache>
            </c:numRef>
          </c:cat>
          <c:val>
            <c:numRef>
              <c:f>Stroški!$D$16:$H$16</c:f>
              <c:numCache>
                <c:formatCode>#,##0</c:formatCode>
                <c:ptCount val="5"/>
                <c:pt idx="0">
                  <c:v>216832</c:v>
                </c:pt>
                <c:pt idx="1">
                  <c:v>207278</c:v>
                </c:pt>
                <c:pt idx="2">
                  <c:v>209407</c:v>
                </c:pt>
                <c:pt idx="3">
                  <c:v>215964</c:v>
                </c:pt>
                <c:pt idx="4">
                  <c:v>230700</c:v>
                </c:pt>
              </c:numCache>
            </c:numRef>
          </c:val>
          <c:smooth val="0"/>
          <c:extLst>
            <c:ext xmlns:c16="http://schemas.microsoft.com/office/drawing/2014/chart" uri="{C3380CC4-5D6E-409C-BE32-E72D297353CC}">
              <c16:uniqueId val="{00000000-B345-43C9-AD3F-2445ACE78BC3}"/>
            </c:ext>
          </c:extLst>
        </c:ser>
        <c:dLbls>
          <c:showLegendKey val="0"/>
          <c:showVal val="0"/>
          <c:showCatName val="0"/>
          <c:showSerName val="0"/>
          <c:showPercent val="0"/>
          <c:showBubbleSize val="0"/>
        </c:dLbls>
        <c:smooth val="0"/>
        <c:axId val="1956289504"/>
        <c:axId val="1761036416"/>
        <c:extLst>
          <c:ext xmlns:c15="http://schemas.microsoft.com/office/drawing/2012/chart" uri="{02D57815-91ED-43cb-92C2-25804820EDAC}">
            <c15:filteredLineSeries>
              <c15:ser>
                <c:idx val="0"/>
                <c:order val="0"/>
                <c:tx>
                  <c:strRef>
                    <c:extLst>
                      <c:ext uri="{02D57815-91ED-43cb-92C2-25804820EDAC}">
                        <c15:formulaRef>
                          <c15:sqref>Stroški!$C$14</c15:sqref>
                        </c15:formulaRef>
                      </c:ext>
                    </c:extLst>
                    <c:strCache>
                      <c:ptCount val="1"/>
                      <c:pt idx="0">
                        <c:v>Nabavna vrednost prodanega blaga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extLst>
                      <c:ex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c:ext uri="{02D57815-91ED-43cb-92C2-25804820EDAC}">
                        <c15:formulaRef>
                          <c15:sqref>Stroški!$D$14:$H$14</c15:sqref>
                        </c15:formulaRef>
                      </c:ext>
                    </c:extLst>
                    <c:numCache>
                      <c:formatCode>#,##0</c:formatCode>
                      <c:ptCount val="5"/>
                      <c:pt idx="0">
                        <c:v>215851</c:v>
                      </c:pt>
                      <c:pt idx="1">
                        <c:v>228938</c:v>
                      </c:pt>
                      <c:pt idx="2">
                        <c:v>238939</c:v>
                      </c:pt>
                      <c:pt idx="3">
                        <c:v>250392</c:v>
                      </c:pt>
                      <c:pt idx="4">
                        <c:v>261602</c:v>
                      </c:pt>
                    </c:numCache>
                  </c:numRef>
                </c:val>
                <c:smooth val="0"/>
                <c:extLst>
                  <c:ext xmlns:c16="http://schemas.microsoft.com/office/drawing/2014/chart" uri="{C3380CC4-5D6E-409C-BE32-E72D297353CC}">
                    <c16:uniqueId val="{00000001-B345-43C9-AD3F-2445ACE78BC3}"/>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Stroški!$C$15</c15:sqref>
                        </c15:formulaRef>
                      </c:ext>
                    </c:extLst>
                    <c:strCache>
                      <c:ptCount val="1"/>
                      <c:pt idx="0">
                        <c:v>Stroški materiala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extLst xmlns:c15="http://schemas.microsoft.com/office/drawing/2012/chart">
                      <c:ext xmlns:c15="http://schemas.microsoft.com/office/drawing/2012/chart" uri="{02D57815-91ED-43cb-92C2-25804820EDAC}">
                        <c15:formulaRef>
                          <c15:sqref>Stroški!$D$13:$H$13</c15:sqref>
                        </c15:formulaRef>
                      </c:ext>
                    </c:extLst>
                    <c:numCache>
                      <c:formatCode>General</c:formatCode>
                      <c:ptCount val="5"/>
                      <c:pt idx="0">
                        <c:v>2013</c:v>
                      </c:pt>
                      <c:pt idx="1">
                        <c:v>2014</c:v>
                      </c:pt>
                      <c:pt idx="2">
                        <c:v>2015</c:v>
                      </c:pt>
                      <c:pt idx="3">
                        <c:v>2016</c:v>
                      </c:pt>
                      <c:pt idx="4">
                        <c:v>2017</c:v>
                      </c:pt>
                    </c:numCache>
                  </c:numRef>
                </c:cat>
                <c:val>
                  <c:numRef>
                    <c:extLst xmlns:c15="http://schemas.microsoft.com/office/drawing/2012/chart">
                      <c:ext xmlns:c15="http://schemas.microsoft.com/office/drawing/2012/chart" uri="{02D57815-91ED-43cb-92C2-25804820EDAC}">
                        <c15:formulaRef>
                          <c15:sqref>Stroški!$D$15:$H$15</c15:sqref>
                        </c15:formulaRef>
                      </c:ext>
                    </c:extLst>
                    <c:numCache>
                      <c:formatCode>#,##0</c:formatCode>
                      <c:ptCount val="5"/>
                      <c:pt idx="0">
                        <c:v>477833</c:v>
                      </c:pt>
                      <c:pt idx="1">
                        <c:v>491470</c:v>
                      </c:pt>
                      <c:pt idx="2">
                        <c:v>488899</c:v>
                      </c:pt>
                      <c:pt idx="3">
                        <c:v>475798</c:v>
                      </c:pt>
                      <c:pt idx="4">
                        <c:v>489111</c:v>
                      </c:pt>
                    </c:numCache>
                  </c:numRef>
                </c:val>
                <c:smooth val="0"/>
                <c:extLst xmlns:c15="http://schemas.microsoft.com/office/drawing/2012/chart">
                  <c:ext xmlns:c16="http://schemas.microsoft.com/office/drawing/2014/chart" uri="{C3380CC4-5D6E-409C-BE32-E72D297353CC}">
                    <c16:uniqueId val="{00000002-B345-43C9-AD3F-2445ACE78BC3}"/>
                  </c:ext>
                </c:extLst>
              </c15:ser>
            </c15:filteredLineSeries>
          </c:ext>
        </c:extLst>
      </c:lineChart>
      <c:catAx>
        <c:axId val="19562895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761036416"/>
        <c:crosses val="autoZero"/>
        <c:auto val="1"/>
        <c:lblAlgn val="ctr"/>
        <c:lblOffset val="100"/>
        <c:noMultiLvlLbl val="0"/>
      </c:catAx>
      <c:valAx>
        <c:axId val="17610364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956289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Stroški!$C$6</c:f>
              <c:strCache>
                <c:ptCount val="1"/>
                <c:pt idx="0">
                  <c:v>Stroški dela      </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cat>
            <c:numRef>
              <c:f>Stroški!$D$2:$H$2</c:f>
              <c:numCache>
                <c:formatCode>General</c:formatCode>
                <c:ptCount val="5"/>
                <c:pt idx="0">
                  <c:v>2013</c:v>
                </c:pt>
                <c:pt idx="1">
                  <c:v>2014</c:v>
                </c:pt>
                <c:pt idx="2">
                  <c:v>2015</c:v>
                </c:pt>
                <c:pt idx="3">
                  <c:v>2016</c:v>
                </c:pt>
                <c:pt idx="4">
                  <c:v>2017</c:v>
                </c:pt>
              </c:numCache>
            </c:numRef>
          </c:cat>
          <c:val>
            <c:numRef>
              <c:f>Stroški!$D$6:$H$6</c:f>
              <c:numCache>
                <c:formatCode>#,##0</c:formatCode>
                <c:ptCount val="5"/>
                <c:pt idx="0">
                  <c:v>237914</c:v>
                </c:pt>
                <c:pt idx="1">
                  <c:v>228479</c:v>
                </c:pt>
                <c:pt idx="2">
                  <c:v>231362</c:v>
                </c:pt>
                <c:pt idx="3">
                  <c:v>235325</c:v>
                </c:pt>
                <c:pt idx="4">
                  <c:v>249012</c:v>
                </c:pt>
              </c:numCache>
            </c:numRef>
          </c:val>
          <c:smooth val="0"/>
          <c:extLst>
            <c:ext xmlns:c16="http://schemas.microsoft.com/office/drawing/2014/chart" uri="{C3380CC4-5D6E-409C-BE32-E72D297353CC}">
              <c16:uniqueId val="{00000000-0C81-4591-91C1-91D2BA3118ED}"/>
            </c:ext>
          </c:extLst>
        </c:ser>
        <c:dLbls>
          <c:showLegendKey val="0"/>
          <c:showVal val="0"/>
          <c:showCatName val="0"/>
          <c:showSerName val="0"/>
          <c:showPercent val="0"/>
          <c:showBubbleSize val="0"/>
        </c:dLbls>
        <c:smooth val="0"/>
        <c:axId val="1954041328"/>
        <c:axId val="1985529168"/>
      </c:lineChart>
      <c:catAx>
        <c:axId val="19540413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985529168"/>
        <c:crosses val="autoZero"/>
        <c:auto val="1"/>
        <c:lblAlgn val="ctr"/>
        <c:lblOffset val="100"/>
        <c:noMultiLvlLbl val="0"/>
      </c:catAx>
      <c:valAx>
        <c:axId val="19855291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1954041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3"/>
          <c:order val="0"/>
          <c:tx>
            <c:strRef>
              <c:f>Primerjava!$A$3</c:f>
              <c:strCache>
                <c:ptCount val="1"/>
                <c:pt idx="0">
                  <c:v>Electrolux</c:v>
                </c:pt>
              </c:strCache>
            </c:strRef>
          </c:tx>
          <c:spPr>
            <a:solidFill>
              <a:schemeClr val="accent1">
                <a:lumMod val="60000"/>
                <a:alpha val="70000"/>
              </a:schemeClr>
            </a:solidFill>
            <a:ln>
              <a:noFill/>
            </a:ln>
            <a:effectLst/>
          </c:spPr>
          <c:invertIfNegative val="0"/>
          <c:cat>
            <c:numRef>
              <c:f>Primerjava!$B$4:$F$4</c:f>
              <c:numCache>
                <c:formatCode>General</c:formatCode>
                <c:ptCount val="5"/>
                <c:pt idx="0">
                  <c:v>2013</c:v>
                </c:pt>
                <c:pt idx="1">
                  <c:v>2014</c:v>
                </c:pt>
                <c:pt idx="2">
                  <c:v>2015</c:v>
                </c:pt>
                <c:pt idx="3">
                  <c:v>2016</c:v>
                </c:pt>
                <c:pt idx="4">
                  <c:v>2017</c:v>
                </c:pt>
              </c:numCache>
            </c:numRef>
          </c:cat>
          <c:val>
            <c:numRef>
              <c:f>Primerjava!$B$13:$F$13</c:f>
              <c:numCache>
                <c:formatCode>0.00%</c:formatCode>
                <c:ptCount val="5"/>
                <c:pt idx="0">
                  <c:v>0.96290460004947276</c:v>
                </c:pt>
                <c:pt idx="1">
                  <c:v>0.96898602676939261</c:v>
                </c:pt>
                <c:pt idx="2">
                  <c:v>0.96065127802381978</c:v>
                </c:pt>
                <c:pt idx="3">
                  <c:v>0.94836200275821059</c:v>
                </c:pt>
                <c:pt idx="4">
                  <c:v>0.9418155005734884</c:v>
                </c:pt>
              </c:numCache>
            </c:numRef>
          </c:val>
          <c:extLst>
            <c:ext xmlns:c16="http://schemas.microsoft.com/office/drawing/2014/chart" uri="{C3380CC4-5D6E-409C-BE32-E72D297353CC}">
              <c16:uniqueId val="{00000000-227D-4AF5-A834-E2C974C14B8D}"/>
            </c:ext>
          </c:extLst>
        </c:ser>
        <c:ser>
          <c:idx val="0"/>
          <c:order val="1"/>
          <c:tx>
            <c:strRef>
              <c:f>Primerjava!$H$4</c:f>
              <c:strCache>
                <c:ptCount val="1"/>
                <c:pt idx="0">
                  <c:v>Skupina Gorenje</c:v>
                </c:pt>
              </c:strCache>
            </c:strRef>
          </c:tx>
          <c:spPr>
            <a:solidFill>
              <a:schemeClr val="accent1">
                <a:alpha val="70000"/>
              </a:schemeClr>
            </a:solidFill>
            <a:ln>
              <a:noFill/>
            </a:ln>
            <a:effectLst/>
          </c:spPr>
          <c:invertIfNegative val="0"/>
          <c:cat>
            <c:numRef>
              <c:f>Primerjava!$B$4:$F$4</c:f>
              <c:numCache>
                <c:formatCode>General</c:formatCode>
                <c:ptCount val="5"/>
                <c:pt idx="0">
                  <c:v>2013</c:v>
                </c:pt>
                <c:pt idx="1">
                  <c:v>2014</c:v>
                </c:pt>
                <c:pt idx="2">
                  <c:v>2015</c:v>
                </c:pt>
                <c:pt idx="3">
                  <c:v>2016</c:v>
                </c:pt>
                <c:pt idx="4">
                  <c:v>2017</c:v>
                </c:pt>
              </c:numCache>
            </c:numRef>
          </c:cat>
          <c:val>
            <c:numRef>
              <c:f>Primerjava!$I$13:$M$13</c:f>
              <c:numCache>
                <c:formatCode>0.00%</c:formatCode>
                <c:ptCount val="5"/>
                <c:pt idx="0">
                  <c:v>0.92579336096775289</c:v>
                </c:pt>
                <c:pt idx="1">
                  <c:v>0.92218977648065714</c:v>
                </c:pt>
                <c:pt idx="2">
                  <c:v>0.9539423148349957</c:v>
                </c:pt>
                <c:pt idx="3">
                  <c:v>0.9359005948539254</c:v>
                </c:pt>
                <c:pt idx="4">
                  <c:v>0.93930448298079594</c:v>
                </c:pt>
              </c:numCache>
            </c:numRef>
          </c:val>
          <c:extLst>
            <c:ext xmlns:c16="http://schemas.microsoft.com/office/drawing/2014/chart" uri="{C3380CC4-5D6E-409C-BE32-E72D297353CC}">
              <c16:uniqueId val="{00000001-227D-4AF5-A834-E2C974C14B8D}"/>
            </c:ext>
          </c:extLst>
        </c:ser>
        <c:dLbls>
          <c:showLegendKey val="0"/>
          <c:showVal val="0"/>
          <c:showCatName val="0"/>
          <c:showSerName val="0"/>
          <c:showPercent val="0"/>
          <c:showBubbleSize val="0"/>
        </c:dLbls>
        <c:gapWidth val="80"/>
        <c:overlap val="25"/>
        <c:axId val="500220120"/>
        <c:axId val="500218480"/>
      </c:barChart>
      <c:catAx>
        <c:axId val="5002201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dk1"/>
                </a:solidFill>
                <a:latin typeface="+mn-lt"/>
                <a:ea typeface="+mn-ea"/>
                <a:cs typeface="+mn-cs"/>
              </a:defRPr>
            </a:pPr>
            <a:endParaRPr lang="sl-SI"/>
          </a:p>
        </c:txPr>
        <c:crossAx val="500218480"/>
        <c:crosses val="autoZero"/>
        <c:auto val="1"/>
        <c:lblAlgn val="ctr"/>
        <c:lblOffset val="100"/>
        <c:noMultiLvlLbl val="0"/>
      </c:catAx>
      <c:valAx>
        <c:axId val="500218480"/>
        <c:scaling>
          <c:orientation val="minMax"/>
        </c:scaling>
        <c:delete val="0"/>
        <c:axPos val="l"/>
        <c:majorGridlines>
          <c:spPr>
            <a:ln w="9525" cap="flat" cmpd="sng" algn="ctr">
              <a:solidFill>
                <a:schemeClr val="tx1">
                  <a:lumMod val="5000"/>
                  <a:lumOff val="9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sl-SI"/>
          </a:p>
        </c:txPr>
        <c:crossAx val="500220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1"/>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Primerjava!$A$84</c:f>
              <c:strCache>
                <c:ptCount val="1"/>
                <c:pt idx="0">
                  <c:v>Electrolux</c:v>
                </c:pt>
              </c:strCache>
            </c:strRef>
          </c:tx>
          <c:spPr>
            <a:solidFill>
              <a:schemeClr val="accent2">
                <a:shade val="76000"/>
              </a:schemeClr>
            </a:solidFill>
            <a:ln>
              <a:noFill/>
            </a:ln>
            <a:effectLst/>
          </c:spPr>
          <c:invertIfNegative val="0"/>
          <c:cat>
            <c:numRef>
              <c:f>Primerjava!$B$83:$F$83</c:f>
              <c:numCache>
                <c:formatCode>General</c:formatCode>
                <c:ptCount val="5"/>
                <c:pt idx="0">
                  <c:v>2013</c:v>
                </c:pt>
                <c:pt idx="1">
                  <c:v>2014</c:v>
                </c:pt>
                <c:pt idx="2">
                  <c:v>2015</c:v>
                </c:pt>
                <c:pt idx="3">
                  <c:v>2016</c:v>
                </c:pt>
                <c:pt idx="4">
                  <c:v>2017</c:v>
                </c:pt>
              </c:numCache>
            </c:numRef>
          </c:cat>
          <c:val>
            <c:numRef>
              <c:f>Primerjava!$B$84:$F$84</c:f>
              <c:numCache>
                <c:formatCode>0.00%</c:formatCode>
                <c:ptCount val="5"/>
                <c:pt idx="0">
                  <c:v>4.5221757015510622E-2</c:v>
                </c:pt>
                <c:pt idx="1">
                  <c:v>6.4667433544670638E-2</c:v>
                </c:pt>
                <c:pt idx="2">
                  <c:v>5.4059962270566995E-2</c:v>
                </c:pt>
                <c:pt idx="3">
                  <c:v>8.4298844689618721E-2</c:v>
                </c:pt>
                <c:pt idx="4">
                  <c:v>9.3265607078485996E-2</c:v>
                </c:pt>
              </c:numCache>
            </c:numRef>
          </c:val>
          <c:extLst>
            <c:ext xmlns:c16="http://schemas.microsoft.com/office/drawing/2014/chart" uri="{C3380CC4-5D6E-409C-BE32-E72D297353CC}">
              <c16:uniqueId val="{00000000-B3B3-4719-8FF3-C86C869DAD52}"/>
            </c:ext>
          </c:extLst>
        </c:ser>
        <c:ser>
          <c:idx val="1"/>
          <c:order val="1"/>
          <c:tx>
            <c:strRef>
              <c:f>Primerjava!$A$85</c:f>
              <c:strCache>
                <c:ptCount val="1"/>
                <c:pt idx="0">
                  <c:v>Skupina Gorenje</c:v>
                </c:pt>
              </c:strCache>
            </c:strRef>
          </c:tx>
          <c:spPr>
            <a:solidFill>
              <a:schemeClr val="accent2">
                <a:tint val="77000"/>
              </a:schemeClr>
            </a:solidFill>
            <a:ln>
              <a:noFill/>
            </a:ln>
            <a:effectLst/>
          </c:spPr>
          <c:invertIfNegative val="0"/>
          <c:cat>
            <c:numRef>
              <c:f>Primerjava!$B$83:$F$83</c:f>
              <c:numCache>
                <c:formatCode>General</c:formatCode>
                <c:ptCount val="5"/>
                <c:pt idx="0">
                  <c:v>2013</c:v>
                </c:pt>
                <c:pt idx="1">
                  <c:v>2014</c:v>
                </c:pt>
                <c:pt idx="2">
                  <c:v>2015</c:v>
                </c:pt>
                <c:pt idx="3">
                  <c:v>2016</c:v>
                </c:pt>
                <c:pt idx="4">
                  <c:v>2017</c:v>
                </c:pt>
              </c:numCache>
            </c:numRef>
          </c:cat>
          <c:val>
            <c:numRef>
              <c:f>Primerjava!$B$85:$F$85</c:f>
              <c:numCache>
                <c:formatCode>0.00%</c:formatCode>
                <c:ptCount val="5"/>
                <c:pt idx="0">
                  <c:v>6.3044042557650976E-2</c:v>
                </c:pt>
                <c:pt idx="1">
                  <c:v>6.8240280701306597E-2</c:v>
                </c:pt>
                <c:pt idx="2">
                  <c:v>6.5376411497197209E-2</c:v>
                </c:pt>
                <c:pt idx="3">
                  <c:v>6.9346105789254472E-2</c:v>
                </c:pt>
                <c:pt idx="4">
                  <c:v>5.8301499619827592E-2</c:v>
                </c:pt>
              </c:numCache>
            </c:numRef>
          </c:val>
          <c:extLst>
            <c:ext xmlns:c16="http://schemas.microsoft.com/office/drawing/2014/chart" uri="{C3380CC4-5D6E-409C-BE32-E72D297353CC}">
              <c16:uniqueId val="{00000001-B3B3-4719-8FF3-C86C869DAD52}"/>
            </c:ext>
          </c:extLst>
        </c:ser>
        <c:dLbls>
          <c:showLegendKey val="0"/>
          <c:showVal val="0"/>
          <c:showCatName val="0"/>
          <c:showSerName val="0"/>
          <c:showPercent val="0"/>
          <c:showBubbleSize val="0"/>
        </c:dLbls>
        <c:gapWidth val="219"/>
        <c:overlap val="-27"/>
        <c:axId val="504736752"/>
        <c:axId val="504730520"/>
      </c:barChart>
      <c:catAx>
        <c:axId val="50473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730520"/>
        <c:crosses val="autoZero"/>
        <c:auto val="1"/>
        <c:lblAlgn val="ctr"/>
        <c:lblOffset val="100"/>
        <c:noMultiLvlLbl val="0"/>
      </c:catAx>
      <c:valAx>
        <c:axId val="504730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50473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withinLinear" id="15">
  <a:schemeClr val="accent2"/>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5.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11215</Words>
  <Characters>63929</Characters>
  <Application>Microsoft Office Word</Application>
  <DocSecurity>0</DocSecurity>
  <Lines>532</Lines>
  <Paragraphs>149</Paragraphs>
  <ScaleCrop>false</ScaleCrop>
  <HeadingPairs>
    <vt:vector size="2" baseType="variant">
      <vt:variant>
        <vt:lpstr>Naslov</vt:lpstr>
      </vt:variant>
      <vt:variant>
        <vt:i4>1</vt:i4>
      </vt:variant>
    </vt:vector>
  </HeadingPairs>
  <TitlesOfParts>
    <vt:vector size="1" baseType="lpstr">
      <vt:lpstr>Vrednotenje delnice družbe Gorenje d. d. v kontekstu prevzema s strani kitajske družbe Hisense</vt:lpstr>
    </vt:vector>
  </TitlesOfParts>
  <Company>Univerza v Ljubljani, Fakulteta za matematiko in fiziko</Company>
  <LinksUpToDate>false</LinksUpToDate>
  <CharactersWithSpaces>74995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Vrednotenje delnice družbe Gorenje d. d. v kontekstu prevzema s strani kitajske družbe Hisense</dc:title>
  <dc:subject/>
  <dc:creator>Klemen Hovnik</dc:creator>
  <cp:keywords>vrednotenje delnice, diskontirani denarni tok, sinergije, analiza, kontrolna premija, Gorenje, Hisense</cp:keywords>
  <dc:description/>
  <cp:lastModifiedBy>Habjan, Neža</cp:lastModifiedBy>
  <cp:revision>2</cp:revision>
  <cp:lastPrinted>2019-08-27T08:36:00Z</cp:lastPrinted>
  <dcterms:created xsi:type="dcterms:W3CDTF">2020-04-04T14:10:00Z</dcterms:created>
  <dcterms:modified xsi:type="dcterms:W3CDTF">2020-04-04T14:10:00Z</dcterms:modified>
</cp:coreProperties>
</file>