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7786D" w14:textId="77777777" w:rsidR="00F8250D" w:rsidRPr="00F8250D" w:rsidRDefault="00F8250D" w:rsidP="00F8250D">
      <w:pPr>
        <w:keepNext/>
        <w:jc w:val="center"/>
        <w:rPr>
          <w:noProof/>
          <w:sz w:val="36"/>
          <w:szCs w:val="36"/>
        </w:rPr>
      </w:pPr>
      <w:bookmarkStart w:id="0" w:name="_GoBack"/>
      <w:bookmarkEnd w:id="0"/>
      <w:r w:rsidRPr="00F8250D">
        <w:rPr>
          <w:noProof/>
          <w:sz w:val="36"/>
          <w:szCs w:val="36"/>
        </w:rPr>
        <w:t>Results</w:t>
      </w:r>
    </w:p>
    <w:p w14:paraId="56B3A412" w14:textId="77777777" w:rsidR="00423053" w:rsidRDefault="00F8250D" w:rsidP="00CE1B74">
      <w:pPr>
        <w:keepNext/>
        <w:ind w:firstLine="720"/>
        <w:rPr>
          <w:noProof/>
          <w:sz w:val="24"/>
          <w:szCs w:val="24"/>
        </w:rPr>
      </w:pPr>
      <w:r w:rsidRPr="005D756D">
        <w:rPr>
          <w:noProof/>
          <w:sz w:val="24"/>
          <w:szCs w:val="24"/>
        </w:rPr>
        <w:t xml:space="preserve">This study looked at how Western Spruce Budworms affected nutrient contents in </w:t>
      </w:r>
      <w:r w:rsidR="00CE1B74">
        <w:rPr>
          <w:noProof/>
          <w:sz w:val="24"/>
          <w:szCs w:val="24"/>
        </w:rPr>
        <w:t xml:space="preserve">Central Washington </w:t>
      </w:r>
      <w:r w:rsidR="00423053">
        <w:rPr>
          <w:noProof/>
          <w:sz w:val="24"/>
          <w:szCs w:val="24"/>
        </w:rPr>
        <w:t>coniferous forest throughfall as well as soil nutrient concentrations. S</w:t>
      </w:r>
      <w:r w:rsidRPr="005D756D">
        <w:rPr>
          <w:noProof/>
          <w:sz w:val="24"/>
          <w:szCs w:val="24"/>
        </w:rPr>
        <w:t>oil organic matter and moisture content</w:t>
      </w:r>
      <w:r w:rsidR="00423053">
        <w:rPr>
          <w:noProof/>
          <w:sz w:val="24"/>
          <w:szCs w:val="24"/>
        </w:rPr>
        <w:t xml:space="preserve"> were also investigated as well as the decomposition rate of coniferous needles</w:t>
      </w:r>
      <w:r w:rsidRPr="005D756D">
        <w:rPr>
          <w:noProof/>
          <w:sz w:val="24"/>
          <w:szCs w:val="24"/>
        </w:rPr>
        <w:t>.</w:t>
      </w:r>
      <w:r w:rsidR="005D756D">
        <w:rPr>
          <w:noProof/>
          <w:sz w:val="24"/>
          <w:szCs w:val="24"/>
        </w:rPr>
        <w:t xml:space="preserve"> </w:t>
      </w:r>
    </w:p>
    <w:p w14:paraId="44AA2267" w14:textId="46FFBF63" w:rsidR="00CE1B74" w:rsidRPr="005D756D" w:rsidRDefault="005D756D" w:rsidP="00CE1B74">
      <w:pPr>
        <w:keepNext/>
        <w:ind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Areas with greater budworm activity tended to have increased phosphorous in both throughfall and soils. </w:t>
      </w:r>
      <w:r w:rsidR="009B0DCF">
        <w:rPr>
          <w:noProof/>
          <w:sz w:val="24"/>
          <w:szCs w:val="24"/>
        </w:rPr>
        <w:t>Budworms also showed an</w:t>
      </w:r>
      <w:r w:rsidR="00423053">
        <w:rPr>
          <w:noProof/>
          <w:sz w:val="24"/>
          <w:szCs w:val="24"/>
        </w:rPr>
        <w:t xml:space="preserve"> increase in throughfall NH4+</w:t>
      </w:r>
      <w:r w:rsidR="009B0DCF">
        <w:rPr>
          <w:noProof/>
          <w:sz w:val="24"/>
          <w:szCs w:val="24"/>
        </w:rPr>
        <w:t xml:space="preserve"> concentrations, but not in soils. </w:t>
      </w:r>
      <w:r w:rsidR="006E04E6">
        <w:rPr>
          <w:noProof/>
          <w:sz w:val="24"/>
          <w:szCs w:val="24"/>
        </w:rPr>
        <w:t xml:space="preserve">The percent organic matter in soils tended to be higher in low activity sites, but moisture was not impacted by budworm activity. </w:t>
      </w:r>
      <w:r w:rsidR="00423053">
        <w:rPr>
          <w:noProof/>
          <w:sz w:val="24"/>
          <w:szCs w:val="24"/>
        </w:rPr>
        <w:t>Soil NO3- and total inorganic N were not affected by budworms, but the N:P ratio was greater in low budowrm sites.</w:t>
      </w:r>
      <w:r w:rsidR="006E04E6">
        <w:rPr>
          <w:noProof/>
          <w:sz w:val="24"/>
          <w:szCs w:val="24"/>
        </w:rPr>
        <w:t xml:space="preserve"> </w:t>
      </w:r>
    </w:p>
    <w:p w14:paraId="4DF6976B" w14:textId="41881896" w:rsidR="003602A8" w:rsidRDefault="002023D4" w:rsidP="003602A8">
      <w:pPr>
        <w:keepNext/>
      </w:pPr>
      <w:r>
        <w:rPr>
          <w:noProof/>
        </w:rPr>
        <w:drawing>
          <wp:inline distT="0" distB="0" distL="0" distR="0" wp14:anchorId="7900064C" wp14:editId="2744A567">
            <wp:extent cx="5943600" cy="38036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BC116" w14:textId="77777777" w:rsidR="003602A8" w:rsidRDefault="003602A8" w:rsidP="003602A8">
      <w:pPr>
        <w:pStyle w:val="Caption"/>
      </w:pPr>
      <w:r>
        <w:t xml:space="preserve">Figure </w:t>
      </w:r>
      <w:r w:rsidR="00EB1D91">
        <w:fldChar w:fldCharType="begin"/>
      </w:r>
      <w:r w:rsidR="00EB1D91">
        <w:instrText xml:space="preserve"> SEQ Figure \* ARABIC </w:instrText>
      </w:r>
      <w:r w:rsidR="00EB1D91">
        <w:fldChar w:fldCharType="separate"/>
      </w:r>
      <w:r w:rsidR="00D26D7D">
        <w:rPr>
          <w:noProof/>
        </w:rPr>
        <w:t>1</w:t>
      </w:r>
      <w:r w:rsidR="00EB1D91">
        <w:rPr>
          <w:noProof/>
        </w:rPr>
        <w:fldChar w:fldCharType="end"/>
      </w:r>
      <w:r>
        <w:t>: Moisture content in soils changes with seasonality. Months with more rain tended to increase moisture content in soils</w:t>
      </w:r>
      <w:r w:rsidR="00CE1B74">
        <w:t>, but budworms had minimal effects</w:t>
      </w:r>
      <w:r>
        <w:t>.</w:t>
      </w:r>
    </w:p>
    <w:p w14:paraId="2BCB1AF9" w14:textId="57849C60" w:rsidR="003602A8" w:rsidRDefault="00AA4F32" w:rsidP="003602A8">
      <w:pPr>
        <w:keepNext/>
      </w:pPr>
      <w:r>
        <w:rPr>
          <w:noProof/>
        </w:rPr>
        <w:lastRenderedPageBreak/>
        <w:drawing>
          <wp:inline distT="0" distB="0" distL="0" distR="0" wp14:anchorId="30EEE2B5" wp14:editId="714B0A7E">
            <wp:extent cx="5943600" cy="3803650"/>
            <wp:effectExtent l="0" t="0" r="952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67BDB" w14:textId="77777777" w:rsidR="003602A8" w:rsidRDefault="003602A8" w:rsidP="003602A8">
      <w:pPr>
        <w:pStyle w:val="Caption"/>
        <w:rPr>
          <w:noProof/>
        </w:rPr>
      </w:pPr>
      <w:r>
        <w:t xml:space="preserve">Figure </w:t>
      </w:r>
      <w:r w:rsidR="00EB1D91">
        <w:fldChar w:fldCharType="begin"/>
      </w:r>
      <w:r w:rsidR="00EB1D91">
        <w:instrText xml:space="preserve"> SEQ Figure \* ARABIC </w:instrText>
      </w:r>
      <w:r w:rsidR="00EB1D91">
        <w:fldChar w:fldCharType="separate"/>
      </w:r>
      <w:r w:rsidR="00D26D7D">
        <w:rPr>
          <w:noProof/>
        </w:rPr>
        <w:t>2</w:t>
      </w:r>
      <w:r w:rsidR="00EB1D91">
        <w:rPr>
          <w:noProof/>
        </w:rPr>
        <w:fldChar w:fldCharType="end"/>
      </w:r>
      <w:r>
        <w:t>: Organic matter tended to be higher in sites with low budworm activity but not significantly.</w:t>
      </w:r>
    </w:p>
    <w:p w14:paraId="245A3948" w14:textId="77777777" w:rsidR="003602A8" w:rsidRDefault="003602A8" w:rsidP="003602A8">
      <w:pPr>
        <w:keepNext/>
        <w:rPr>
          <w:noProof/>
        </w:rPr>
      </w:pPr>
    </w:p>
    <w:p w14:paraId="345445E4" w14:textId="431B2A8B" w:rsidR="003602A8" w:rsidRDefault="00AA4F32" w:rsidP="003602A8">
      <w:pPr>
        <w:keepNext/>
      </w:pPr>
      <w:r>
        <w:rPr>
          <w:noProof/>
        </w:rPr>
        <w:drawing>
          <wp:inline distT="0" distB="0" distL="0" distR="0" wp14:anchorId="540AD541" wp14:editId="6945855A">
            <wp:extent cx="5943600" cy="38036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A014A" w14:textId="2716C36D" w:rsidR="00FA6F3A" w:rsidRDefault="003602A8" w:rsidP="003602A8">
      <w:pPr>
        <w:pStyle w:val="Caption"/>
      </w:pPr>
      <w:r>
        <w:t xml:space="preserve">Figure </w:t>
      </w:r>
      <w:r w:rsidR="00EB1D91">
        <w:fldChar w:fldCharType="begin"/>
      </w:r>
      <w:r w:rsidR="00EB1D91">
        <w:instrText xml:space="preserve"> SEQ Figure \* ARABIC </w:instrText>
      </w:r>
      <w:r w:rsidR="00EB1D91">
        <w:fldChar w:fldCharType="separate"/>
      </w:r>
      <w:r w:rsidR="00D26D7D">
        <w:rPr>
          <w:noProof/>
        </w:rPr>
        <w:t>3</w:t>
      </w:r>
      <w:r w:rsidR="00EB1D91">
        <w:rPr>
          <w:noProof/>
        </w:rPr>
        <w:fldChar w:fldCharType="end"/>
      </w:r>
      <w:r>
        <w:t xml:space="preserve">: </w:t>
      </w:r>
      <w:r w:rsidRPr="002B1831">
        <w:t>Litter decomposition rates were lower in areas with higher budworm activity.</w:t>
      </w:r>
      <w:r w:rsidR="00AB49C3">
        <w:t xml:space="preserve"> These rates were calculated from bags collected starting from September 2015 through November 2016.</w:t>
      </w:r>
    </w:p>
    <w:p w14:paraId="3AE035F8" w14:textId="32C7CFA6" w:rsidR="00D26D7D" w:rsidRDefault="00AA4F32" w:rsidP="00D26D7D">
      <w:pPr>
        <w:keepNext/>
      </w:pPr>
      <w:r>
        <w:rPr>
          <w:noProof/>
        </w:rPr>
        <w:lastRenderedPageBreak/>
        <w:drawing>
          <wp:inline distT="0" distB="0" distL="0" distR="0" wp14:anchorId="564308F7" wp14:editId="6BF2ABE3">
            <wp:extent cx="5943600" cy="38036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34CE0" w14:textId="77777777" w:rsidR="00D26D7D" w:rsidRDefault="00D26D7D" w:rsidP="00D26D7D">
      <w:pPr>
        <w:pStyle w:val="Caption"/>
      </w:pPr>
      <w:r>
        <w:t xml:space="preserve">Figure </w:t>
      </w:r>
      <w:r w:rsidR="00EB1D91">
        <w:fldChar w:fldCharType="begin"/>
      </w:r>
      <w:r w:rsidR="00EB1D91">
        <w:instrText xml:space="preserve"> SEQ Figure \* ARABIC </w:instrText>
      </w:r>
      <w:r w:rsidR="00EB1D91">
        <w:fldChar w:fldCharType="separate"/>
      </w:r>
      <w:r>
        <w:rPr>
          <w:noProof/>
        </w:rPr>
        <w:t>4</w:t>
      </w:r>
      <w:r w:rsidR="00EB1D91">
        <w:rPr>
          <w:noProof/>
        </w:rPr>
        <w:fldChar w:fldCharType="end"/>
      </w:r>
      <w:r>
        <w:t>: Soil phosphorous was significantly greater in sites with high budworm activity</w:t>
      </w:r>
      <w:r w:rsidR="00DD5B8B">
        <w:t>. This supports throughfall data.</w:t>
      </w:r>
    </w:p>
    <w:p w14:paraId="362908CA" w14:textId="18A33B64" w:rsidR="003602A8" w:rsidRDefault="00AA4F32" w:rsidP="003602A8">
      <w:r>
        <w:rPr>
          <w:noProof/>
        </w:rPr>
        <w:drawing>
          <wp:inline distT="0" distB="0" distL="0" distR="0" wp14:anchorId="111BE7B8" wp14:editId="1A967214">
            <wp:extent cx="5943600" cy="38036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A21CD" w14:textId="4B30DD1A" w:rsidR="00AA4F32" w:rsidRPr="00AA4F32" w:rsidRDefault="00AA4F32" w:rsidP="003602A8">
      <w:pPr>
        <w:rPr>
          <w:i/>
          <w:iCs/>
          <w:sz w:val="18"/>
          <w:szCs w:val="18"/>
        </w:rPr>
      </w:pPr>
      <w:r w:rsidRPr="00AA4F32">
        <w:rPr>
          <w:i/>
          <w:iCs/>
          <w:sz w:val="18"/>
          <w:szCs w:val="18"/>
        </w:rPr>
        <w:lastRenderedPageBreak/>
        <w:t>Figure 5:</w:t>
      </w:r>
      <w:r>
        <w:rPr>
          <w:i/>
          <w:iCs/>
          <w:sz w:val="18"/>
          <w:szCs w:val="18"/>
        </w:rPr>
        <w:t xml:space="preserve"> Soil Ammonium was significantly greater in</w:t>
      </w:r>
      <w:r w:rsidR="00EB1D91">
        <w:rPr>
          <w:i/>
          <w:iCs/>
          <w:sz w:val="18"/>
          <w:szCs w:val="18"/>
        </w:rPr>
        <w:t xml:space="preserve"> sites with high budworm activity.</w:t>
      </w:r>
    </w:p>
    <w:p w14:paraId="09702A8B" w14:textId="13F1CF0A" w:rsidR="00AA4F32" w:rsidRDefault="00AA4F32" w:rsidP="003602A8">
      <w:r>
        <w:rPr>
          <w:noProof/>
        </w:rPr>
        <w:drawing>
          <wp:inline distT="0" distB="0" distL="0" distR="0" wp14:anchorId="4CAC8432" wp14:editId="0201A3B4">
            <wp:extent cx="5943600" cy="38036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07147" w14:textId="429DD538" w:rsidR="00AA4F32" w:rsidRPr="00EB1D91" w:rsidRDefault="00AA4F32" w:rsidP="003602A8">
      <w:pPr>
        <w:rPr>
          <w:i/>
          <w:iCs/>
          <w:sz w:val="18"/>
          <w:szCs w:val="18"/>
        </w:rPr>
      </w:pPr>
      <w:r w:rsidRPr="00EB1D91">
        <w:rPr>
          <w:i/>
          <w:iCs/>
          <w:sz w:val="18"/>
          <w:szCs w:val="18"/>
        </w:rPr>
        <w:t xml:space="preserve">Figure 6: </w:t>
      </w:r>
      <w:r w:rsidR="00EB1D91">
        <w:rPr>
          <w:i/>
          <w:iCs/>
          <w:sz w:val="18"/>
          <w:szCs w:val="18"/>
        </w:rPr>
        <w:t>Budworm impact did not affect soil nitrate concentrations, but concentrations during sampling events did significantly differed.</w:t>
      </w:r>
    </w:p>
    <w:p w14:paraId="4228FACD" w14:textId="7BCEB44E" w:rsidR="00AA4F32" w:rsidRDefault="00AA4F32" w:rsidP="003602A8">
      <w:r>
        <w:rPr>
          <w:noProof/>
        </w:rPr>
        <w:lastRenderedPageBreak/>
        <w:drawing>
          <wp:inline distT="0" distB="0" distL="0" distR="0" wp14:anchorId="33FF7D41" wp14:editId="6B6E26AD">
            <wp:extent cx="5943600" cy="38036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9E20C" w14:textId="41F562BE" w:rsidR="00AA4F32" w:rsidRPr="00EB1D91" w:rsidRDefault="00AA4F32" w:rsidP="003602A8">
      <w:pPr>
        <w:rPr>
          <w:i/>
          <w:iCs/>
          <w:sz w:val="18"/>
          <w:szCs w:val="18"/>
        </w:rPr>
      </w:pPr>
      <w:r w:rsidRPr="00EB1D91">
        <w:rPr>
          <w:i/>
          <w:iCs/>
          <w:sz w:val="18"/>
          <w:szCs w:val="18"/>
        </w:rPr>
        <w:t>Figure 7:</w:t>
      </w:r>
      <w:r w:rsidR="00EB1D91">
        <w:rPr>
          <w:i/>
          <w:iCs/>
          <w:sz w:val="18"/>
          <w:szCs w:val="18"/>
        </w:rPr>
        <w:t xml:space="preserve"> </w:t>
      </w:r>
      <w:r w:rsidR="00EB1D91">
        <w:rPr>
          <w:i/>
          <w:iCs/>
          <w:sz w:val="18"/>
          <w:szCs w:val="18"/>
        </w:rPr>
        <w:t xml:space="preserve">Budworm impact did not affect </w:t>
      </w:r>
      <w:r w:rsidR="00EB1D91">
        <w:rPr>
          <w:i/>
          <w:iCs/>
          <w:sz w:val="18"/>
          <w:szCs w:val="18"/>
        </w:rPr>
        <w:t xml:space="preserve">total soil inorganic N </w:t>
      </w:r>
      <w:r w:rsidR="00EB1D91">
        <w:rPr>
          <w:i/>
          <w:iCs/>
          <w:sz w:val="18"/>
          <w:szCs w:val="18"/>
        </w:rPr>
        <w:t>concentrations, but concentrations during sampling events did significantly differed.</w:t>
      </w:r>
    </w:p>
    <w:p w14:paraId="7B5E72EB" w14:textId="36CCBA63" w:rsidR="00AA4F32" w:rsidRDefault="00AA4F32" w:rsidP="003602A8">
      <w:r>
        <w:rPr>
          <w:noProof/>
        </w:rPr>
        <w:drawing>
          <wp:inline distT="0" distB="0" distL="0" distR="0" wp14:anchorId="12A37CE5" wp14:editId="7C78867F">
            <wp:extent cx="5943600" cy="38036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7325E" w14:textId="0257926F" w:rsidR="00AA4F32" w:rsidRPr="00EB1D91" w:rsidRDefault="00AA4F32" w:rsidP="003602A8">
      <w:pPr>
        <w:rPr>
          <w:i/>
          <w:iCs/>
          <w:sz w:val="18"/>
          <w:szCs w:val="18"/>
        </w:rPr>
      </w:pPr>
      <w:r w:rsidRPr="00EB1D91">
        <w:rPr>
          <w:i/>
          <w:iCs/>
          <w:sz w:val="18"/>
          <w:szCs w:val="18"/>
        </w:rPr>
        <w:lastRenderedPageBreak/>
        <w:t xml:space="preserve">Figure 8: </w:t>
      </w:r>
      <w:r w:rsidR="00EB1D91">
        <w:rPr>
          <w:i/>
          <w:iCs/>
          <w:sz w:val="18"/>
          <w:szCs w:val="18"/>
        </w:rPr>
        <w:t>Both budworm impact and sampling event had significant differences over the course of the study.</w:t>
      </w:r>
    </w:p>
    <w:p w14:paraId="3DABEA6F" w14:textId="34E60B95" w:rsidR="00AA4F32" w:rsidRDefault="00AA4F32" w:rsidP="003602A8">
      <w:r>
        <w:rPr>
          <w:noProof/>
        </w:rPr>
        <w:drawing>
          <wp:inline distT="0" distB="0" distL="0" distR="0" wp14:anchorId="260004E0" wp14:editId="56A9386A">
            <wp:extent cx="5943600" cy="38036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71B22" w14:textId="6531C8E8" w:rsidR="00AA4F32" w:rsidRPr="00EB1D91" w:rsidRDefault="00AA4F32" w:rsidP="003602A8">
      <w:pPr>
        <w:rPr>
          <w:i/>
          <w:iCs/>
          <w:sz w:val="18"/>
          <w:szCs w:val="18"/>
        </w:rPr>
      </w:pPr>
      <w:r w:rsidRPr="00EB1D91">
        <w:rPr>
          <w:i/>
          <w:iCs/>
          <w:sz w:val="18"/>
          <w:szCs w:val="18"/>
        </w:rPr>
        <w:t>Figure 9:</w:t>
      </w:r>
      <w:r w:rsidR="00EB1D91">
        <w:rPr>
          <w:i/>
          <w:iCs/>
          <w:sz w:val="18"/>
          <w:szCs w:val="18"/>
        </w:rPr>
        <w:t xml:space="preserve"> Nitrification pre </w:t>
      </w:r>
      <w:proofErr w:type="gramStart"/>
      <w:r w:rsidR="00EB1D91">
        <w:rPr>
          <w:i/>
          <w:iCs/>
          <w:sz w:val="18"/>
          <w:szCs w:val="18"/>
        </w:rPr>
        <w:t>snow pack</w:t>
      </w:r>
      <w:proofErr w:type="gramEnd"/>
      <w:r w:rsidR="00EB1D91">
        <w:rPr>
          <w:i/>
          <w:iCs/>
          <w:sz w:val="18"/>
          <w:szCs w:val="18"/>
        </w:rPr>
        <w:t xml:space="preserve"> was significantly lower than post snow melt.</w:t>
      </w:r>
    </w:p>
    <w:sectPr w:rsidR="00AA4F32" w:rsidRPr="00EB1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2A8"/>
    <w:rsid w:val="002023D4"/>
    <w:rsid w:val="003602A8"/>
    <w:rsid w:val="00423053"/>
    <w:rsid w:val="004F1B90"/>
    <w:rsid w:val="005D756D"/>
    <w:rsid w:val="006E04E6"/>
    <w:rsid w:val="009B0DCF"/>
    <w:rsid w:val="00AA4F32"/>
    <w:rsid w:val="00AB49C3"/>
    <w:rsid w:val="00CE1B74"/>
    <w:rsid w:val="00D26D7D"/>
    <w:rsid w:val="00DD5B8B"/>
    <w:rsid w:val="00EB1D91"/>
    <w:rsid w:val="00F8250D"/>
    <w:rsid w:val="00FA6F3A"/>
    <w:rsid w:val="00FC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A153"/>
  <w15:chartTrackingRefBased/>
  <w15:docId w15:val="{F6C0EA32-7A8E-4AFD-825D-AEA0D343E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602A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Izak Neziri</dc:creator>
  <cp:keywords/>
  <dc:description/>
  <cp:lastModifiedBy>Izak Neziri</cp:lastModifiedBy>
  <cp:revision>3</cp:revision>
  <dcterms:created xsi:type="dcterms:W3CDTF">2019-06-28T20:09:00Z</dcterms:created>
  <dcterms:modified xsi:type="dcterms:W3CDTF">2019-06-28T20:23:00Z</dcterms:modified>
</cp:coreProperties>
</file>