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.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  <w:szCs w:val="40"/>
          <w:lang w:val="ru-RU" w:eastAsia="zh-CN"/>
        </w:rPr>
        <w:t xml:space="preserve">SmartMed Ambient EHR Copilot</w:t>
      </w:r>
    </w:p>
    <w:p>
      <w:pPr>
        <w:spacing w:after="40"/>
        <w:jc w:val="center"/>
      </w:pPr>
      <w:r>
        <w:rPr>
          <w:b/>
          <w:sz w:val="26"/>
          <w:szCs w:val="26"/>
          <w:lang w:val="ru-RU" w:eastAsia="zh-CN"/>
        </w:rPr>
        <w:t xml:space="preserve">Проектная записка и алгоритмический дизайн</w:t>
      </w:r>
    </w:p>
    <w:p>
      <w:pPr>
        <w:spacing w:after="320"/>
        <w:jc w:val="center"/>
      </w:pPr>
      <w:r>
        <w:rPr>
          <w:i/>
          <w:sz w:val="21"/>
          <w:szCs w:val="21"/>
          <w:lang w:val="ru-RU" w:eastAsia="zh-CN"/>
        </w:rPr>
        <w:t xml:space="preserve">VIII глобальный кампусный конкурс алгоритмов искусственного интеллекта, отборочный этап северо-восточного региона</w:t>
      </w:r>
      <w:r>
        <w:rPr>
          <w:i/>
          <w:sz w:val="21"/>
          <w:szCs w:val="21"/>
          <w:lang w:val="ru-RU" w:eastAsia="zh-CN"/>
        </w:rPr>
        <w:br/>
      </w:r>
      <w:r>
        <w:rPr>
          <w:i/>
          <w:sz w:val="21"/>
          <w:szCs w:val="21"/>
          <w:lang w:val="ru-RU" w:eastAsia="zh-CN"/>
        </w:rPr>
        <w:t xml:space="preserve">Трек «ИИ-агенты в цифровой экономике», тема (4) «ИИ и инновации в сценариях применения»</w:t>
      </w:r>
      <w:r>
        <w:rPr>
          <w:i/>
          <w:sz w:val="21"/>
          <w:szCs w:val="21"/>
          <w:lang w:val="ru-RU" w:eastAsia="zh-CN"/>
        </w:rPr>
        <w:br/>
      </w:r>
      <w:r>
        <w:rPr>
          <w:i/>
          <w:sz w:val="21"/>
          <w:szCs w:val="21"/>
          <w:lang w:val="ru-RU" w:eastAsia="zh-CN"/>
        </w:rPr>
        <w:t xml:space="preserve">Даляньский университет информации «Неусофт», факультет программного обеспечения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1. Концепция проекта и основная ценность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1.1 Проблема</w:t>
      </w:r>
    </w:p>
    <w:p>
      <w:pPr>
        <w:spacing w:after="120"/>
        <w:jc w:val="both"/>
      </w:pPr>
      <w:r>
        <w:rPr>
          <w:lang w:val="ru-RU" w:eastAsia="zh-CN"/>
        </w:rPr>
        <w:t xml:space="preserve">На амбулаторном приёме врач тратит значительную часть рабочего времени не на пациента, а на документ. Единых публичных измерений времени амбулаторного документирования нет; в отрасльных обсуждениях обычно называют 30-40% рабочего времени на ручной ввод, и мы трактуем этот диапазон как рабочее допущение, подтверждаемое хронометражем в пилоте, а не как измеренный факт. Последствия видны в любой загруженной клинике: записи пишутся вечером по памяти, структурированные поля остаются пустыми или переносятся с прошлого приёма, а пропускная способность отделения упирается в бумажную работу, а не в клиническое решение. Документ — это место, где теряется и безопасность: аллергия, описанная свободным текстом, а не структурированным полем, ниже по потоку нечем проверить, и конфликт в назначении всплывает только если его заметит фармацевт.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1.2 Решение</w:t>
      </w:r>
    </w:p>
    <w:p>
      <w:pPr>
        <w:spacing w:after="120"/>
        <w:jc w:val="both"/>
      </w:pPr>
      <w:r>
        <w:rPr>
          <w:lang w:val="ru-RU" w:eastAsia="zh-CN"/>
        </w:rPr>
        <w:t xml:space="preserve">SmartMed — агент амбиентного документирования. Он ведёт запись приёма внутри сети клиники, разделяет говорящих, превращает диалог в структурированную запись по SOAP с кодами диагнозов из национальной клинической ревизии МКБ-10, прогоняет проект назначения через детерминированную проверку безопасности и отдаёт врачу предзаполненную карту на подтверждение. Система никогда не подписывает документ; это делает врач.</w:t>
      </w:r>
    </w:p>
    <w:p>
      <w:pPr>
        <w:spacing w:after="120"/>
        <w:jc w:val="both"/>
      </w:pPr>
      <w:r>
        <w:rPr>
          <w:lang w:val="ru-RU" w:eastAsia="zh-CN"/>
        </w:rPr>
        <w:t xml:space="preserve">Границы подачи: исследовательский прототип для студенческого конкурса. Два студента, соглашения с клиникой нет, выделенного GPU нет. Обучение идёт на открытых китайских медицинских корпусах и синтетических диалогах в Colab и на ноутбуке Apple Silicon. Всё, что требует клинического партнёра (реальные записи, этическое одобрение, аттестация по уровням защиты), отнесено в план развития и помечено в тексте соответствующим образом.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1.3 Свойства агента и соответствие треку</w:t>
      </w:r>
    </w:p>
    <w:p>
      <w:pPr>
        <w:spacing w:after="120"/>
        <w:jc w:val="both"/>
      </w:pPr>
      <w:r>
        <w:rPr>
          <w:lang w:val="ru-RU" w:eastAsia="zh-CN"/>
        </w:rPr>
        <w:t xml:space="preserve">Система ведёт себя как агент, а не как обёртка над запросом: она воспринимает непрерывный аудиопоток с детекцией речи, ролями говорящих и отслеживанием фазы приёма; планирует через вызов дискретных инструментов (рескоринг ASR, поиск по базе препаратов и кодов, валидатор схемы, движок правил), а не отдаёт извлечение на свободную генерацию; хранит рабочую память эпизода и постоянную выписку пациента из локального хранилища клиники с явным контролем доступа; и её единственное необратимое действие — поместить черновик в очередь на проверку, поскольку запись документа требует авторизованного подтверждения врача. Последнее и удерживает клиническую и юридическую ответственность у специалиста.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1.4 Алгоритмическая новизна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Извлечение с ограничением схемы. </w:t>
      </w:r>
      <w:r>
        <w:rPr>
          <w:lang w:val="ru-RU" w:eastAsia="zh-CN"/>
        </w:rPr>
        <w:t xml:space="preserve">Декодирование с грамматическим ограничением плюс валидация Pydantic дают типизированную запись, которая ложится в базу без постобработки, а скрытый сбой формата становится невозможным.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Разделение вероятностного и детерминированного этапов. </w:t>
      </w:r>
      <w:r>
        <w:rPr>
          <w:lang w:val="ru-RU" w:eastAsia="zh-CN"/>
        </w:rPr>
        <w:t xml:space="preserve">LLM генерирует черновик; правила и небольшой клинический граф знаний проверяют. Одна модель не может быть одновременно генератором и органом безопасности.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Подавление галлюцинаций с измеримым отказом. </w:t>
      </w:r>
      <w:r>
        <w:rPr>
          <w:lang w:val="ru-RU" w:eastAsia="zh-CN"/>
        </w:rPr>
        <w:t xml:space="preserve">Привязка каждого поля к фрагменту стенограммы, опора на поиск и порог уверенности, при котором поле остаётся пустым вместо выдумки. Доля отказов публикуется как полноценная метрика.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Кодирование как ограниченный поиск. </w:t>
      </w:r>
      <w:r>
        <w:rPr>
          <w:lang w:val="ru-RU" w:eastAsia="zh-CN"/>
        </w:rPr>
        <w:t xml:space="preserve">Код выбирается только из найденных кандидатов по национальной клинической ревизии МКБ-10 с отображением на переходную МКБ-11, предпочитая наиболее конкретный подтверждённый код и откатываясь к симптому.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2. Алгоритмический дизайн и выбор моделей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2.1 Речевой фронтенд</w:t>
      </w:r>
    </w:p>
    <w:p>
      <w:pPr>
        <w:spacing w:after="120"/>
        <w:jc w:val="both"/>
      </w:pPr>
      <w:r>
        <w:rPr>
          <w:lang w:val="ru-RU" w:eastAsia="zh-CN"/>
        </w:rPr>
        <w:t xml:space="preserve">Основной ASR — Paraformer (потоковая и офлайн-варианты, FunASR), Whisper large-v3 остаётся кандидатом для сравнения. Выбор определяется измеренной символьной ошибкой на аудио, похожем на приём, а не репутацией модели: в кабинете шумит вентиляция, стучат по клавиатуре, врач и пациент говорят с наложениями. Разделение говорящих строится на эмбеддингах (CAM++) с онлайн-кластеризацией и привязкой к таймлайну стенограммы, чтобы этапу извлечения было понятно, кто именно сказал. Список горячих слов (торговые названия препаратов, отделения, устойчивые формулировки симптомов) подаётся через контекстное смещение и рескоринг n-best, потому что именно медицинские сущности обычные ASR теряют чаще всего. Звучание предполагается с одного ближнего микрофона со стороны врача (настольного или планшетного) при двух основных говорящих. Метрики заданы в этих границах: CER ≤ 8% на сегментах без наложения, real-time factor ≤ 0.3 на узле 16 ГБ. Наложение речи — акустически самая сложная часть задачи разделения, поэтому проходного порога для него не обещаем: DER и CER с учётом позиций говорящих (cpCER) измеряются на удержанном аудио и сообщаются как результат, по которому решают, менять ли речевой фронтенд, а не как числа, которые мы берёмся достичь.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2.2 Выбор языковой модели</w:t>
      </w:r>
    </w:p>
    <w:p>
      <w:pPr>
        <w:spacing w:after="120"/>
        <w:jc w:val="both"/>
      </w:pPr>
      <w:r>
        <w:rPr>
          <w:lang w:val="ru-RU" w:eastAsia="zh-CN"/>
        </w:rPr>
        <w:t xml:space="preserve">Кандидаты отобраны по четырём условиям: качество на китайском медицинском тексте, лицензия, допускающая локальную коммерческую установку, возможность QLoRA в 4 битах в пределах 16 ГБ VRAM и надёжность структурированного вывода. При 4-битных весах, страничной оптимизации состояния, бюджете 4096 токенов и градиентном чекпойнтинге обучение модели 7–8B занимает примерно 12–14 ГБ VRAM, поэтому узла 16 ГБ достаточно и 24 ГБ не требуется. Это проектное решение; раздел 5.2 задаёт абляцию, которая его проверяет.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0"/>
        <w:gridCol w:w="1900"/>
        <w:gridCol w:w="1900"/>
        <w:gridCol w:w="2000"/>
        <w:gridCol w:w="2000"/>
      </w:tblGrid>
      <w:tr>
        <w:tc>
          <w:tcPr>
            <w:tcW w:type="dxa" w:w="205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Кандидат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Качество на китайской медицине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Лицензия для локальной установки</w:t>
            </w:r>
          </w:p>
        </w:tc>
        <w:tc>
          <w:tcPr>
            <w:tcW w:type="dxa" w:w="2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Требования к обучению</w:t>
            </w:r>
          </w:p>
        </w:tc>
        <w:tc>
          <w:tcPr>
            <w:tcW w:type="dxa" w:w="2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Роль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Qwen2.5-7B-Instruct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Сильное на открытых китайских медицинских бенчмарках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Открытые веса, разрешительная лицензия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4-битная QLoRA в 1x16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Базовая модель извлечения и кодирования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Baichuan-Med-7B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Медико-ориентированный предобученный корпус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Открытые веса, условия уточняются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1x16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Доменный базлайн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ChatGLM3-6B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Хороший китайский диалог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Открытые веса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1x16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Запасной вариант с меньшим требованием к памяти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LLaMA-3-8B-Instruct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Слабее по китайской клинической лексике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Community licence с коммерческими ограничениями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1x16 ГБ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Контроль кросс-языковой способности</w:t>
            </w:r>
          </w:p>
        </w:tc>
      </w:tr>
      <w:tr>
        <w:tc>
          <w:tcPr>
            <w:tcW w:type="dxa" w:w="205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Облачный LLM API общего назначения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 общая способность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PHI уходит из контура клиники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Без обучения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Только базлайн без дообучения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2.3 Конфигурация дообучения</w:t>
      </w:r>
    </w:p>
    <w:p>
      <w:pPr>
        <w:spacing w:after="120"/>
        <w:jc w:val="both"/>
      </w:pPr>
      <w:r>
        <w:rPr>
          <w:lang w:val="ru-RU" w:eastAsia="zh-CN"/>
        </w:rPr>
        <w:t xml:space="preserve">Обучение идёт QLoRA с замороженной базой в 4-бит NF4, двойным квантованием и страничной оптимизацией состояния, LoRA-адаптерами на проекциях внимания и прямых свёрток, вычислением в fp16 (T4) либо bf16 (A100 и новее), тремя эпохами с ранней остановкой по F1 на удержанной выборке и бюджетом последовательности 4096 токенов. Полные гиперпараметры, три этапа (инструктированный SFT, отсев по schema-valid выводам, калибровка вероятностей) и реально доступные вычисления приведены в приложении A. Калибровка важна именно потому, что пороги уверенности из 2.5 и 2.6 осмысленны только на откалиброванных вероятностях.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2.4 Ограниченное декодирование и валидация</w:t>
      </w:r>
    </w:p>
    <w:p>
      <w:pPr>
        <w:spacing w:after="120"/>
        <w:jc w:val="both"/>
      </w:pPr>
      <w:r>
        <w:rPr>
          <w:lang w:val="ru-RU" w:eastAsia="zh-CN"/>
        </w:rPr>
        <w:t xml:space="preserve">Верхнеуровневый JSON строится грамматически ограниченным декодированием, поэтому вывод всегда разбираем; каждая секция проверяется моделью Pydantic с перечислениями для единиц, кратности и тяжести, при сбое разрешается одна попытка починки. Политика отказа важнее парсера: поле, которое стенограмма не подтверждает, остаётся пустым и помечается для ручного ввода. Модель никогда не просят дописать правдоподобно там, где данных нет.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2.5 Кодирование диагнозов</w:t>
      </w:r>
    </w:p>
    <w:p>
      <w:pPr>
        <w:spacing w:after="120"/>
        <w:jc w:val="both"/>
      </w:pPr>
      <w:r>
        <w:rPr>
          <w:lang w:val="ru-RU" w:eastAsia="zh-CN"/>
        </w:rPr>
        <w:t xml:space="preserve">Цель — МКБ-10 в национальной клинической ревизии 2.0 (国家临床版2.0), то есть версия, по которой реально кодируют истории болезни в китайских стационарах, плюс слой отображения на переходную МКБ-11 (过渡版), чтобы прототип не обесценился в ходе миграции; ориентироваться только на международный базовый вариант для этого рынка было бы ошибкой. Кодирование — ограниченный поиск с классификацией: би-энкодер индексирует названия рубрик, синонимы и формулировки включения, кандидаты перезаупорядочиваются, а модель выбирает только среди них, предпочитая наиболее конкретный подтверждённый код и выдавая код симптома вместо предполагаемой болезни. Если вероятность лидера ниже порога, поле остаётся пустым, а врачу показывают три кандидата с фрагментами-основаниями.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2.6 Подавление галлюцинаций</w:t>
      </w:r>
    </w:p>
    <w:p>
      <w:pPr>
        <w:spacing w:after="120"/>
        <w:jc w:val="both"/>
      </w:pPr>
      <w:r>
        <w:rPr>
          <w:lang w:val="ru-RU" w:eastAsia="zh-CN"/>
        </w:rPr>
        <w:t xml:space="preserve">Мы заявляем конвейер с подавлением галлюцинаций, а не конвейер без галлюцинаций: гарантировать отсутствие выдуманных содержаний не может ни одна LLM-система, и абсолютная формулировка не прошла бы проверку. Под каждый механизм есть измерение в разделе 5.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Опора на поиск. </w:t>
      </w:r>
      <w:r>
        <w:rPr>
          <w:lang w:val="ru-RU" w:eastAsia="zh-CN"/>
        </w:rPr>
        <w:t xml:space="preserve">Сведения о препаратах, противопоказаниях и предельных дозах берутся из локальной базы знаний, собранной по опубликованным инструкциям и открытым резюме клинических рекомендаций, а не из параметрической памяти.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Привязка поля к основанию. </w:t>
      </w:r>
      <w:r>
        <w:rPr>
          <w:lang w:val="ru-RU" w:eastAsia="zh-CN"/>
        </w:rPr>
        <w:t xml:space="preserve">Каждое заполненное поле хранит ссылку на фрагмент стенограммы; поле без разрешаемого основания снимается до попадания в очередь на проверку.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Порог уверенности с отказом. </w:t>
      </w:r>
      <w:r>
        <w:rPr>
          <w:lang w:val="ru-RU" w:eastAsia="zh-CN"/>
        </w:rPr>
        <w:t xml:space="preserve">Ниже порога агент не выдаёт ничего для этого поля и помечает его как требующее ввода врача.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Согласованность и состязательные тесты. </w:t>
      </w:r>
      <w:r>
        <w:rPr>
          <w:lang w:val="ru-RU" w:eastAsia="zh-CN"/>
        </w:rPr>
        <w:t xml:space="preserve">Аллергия против назначенного препарата, возраст против диапазона дозы, дубликаты действующих веществ; плюс выборка с намеренно отсутствующей информацией, чтобы доля необоснованных полей измерялась, а не предполагалась.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2.7 Детерминированный движок безопасности</w:t>
      </w:r>
    </w:p>
    <w:p>
      <w:pPr>
        <w:spacing w:after="120"/>
        <w:jc w:val="both"/>
      </w:pPr>
      <w:r>
        <w:rPr>
          <w:lang w:val="ru-RU" w:eastAsia="zh-CN"/>
        </w:rPr>
        <w:t xml:space="preserve">Слой безопасности — не LLM. Это движок правил поверх небольшого клинического графа знаний: противопоказания «аллергия-препарат», лекарственные взаимодействия, предельные дозы по возрасту и функции почек, противопоказания при беременности. Проверка занимает миллисекунды и выдаёт полный аудиторский след с идентификатором правила и основанием. Правила формируются по опубликованным инструкциям к препаратам, рецензируются медицинским консультантом проекта, версионируются в репозитории и обновляются по фиксированному циклу. Движок предупреждает и блокирует автоподтверждение; назначений врача он не меняет.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3. Архитектура системы и развёртывание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0"/>
        <w:gridCol w:w="4300"/>
        <w:gridCol w:w="4200"/>
      </w:tblGrid>
      <w:tr>
        <w:tc>
          <w:tcPr>
            <w:tcW w:type="dxa" w:w="13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Слой</w:t>
            </w:r>
          </w:p>
        </w:tc>
        <w:tc>
          <w:tcPr>
            <w:tcW w:type="dxa" w:w="43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Компоненты</w:t>
            </w:r>
          </w:p>
        </w:tc>
        <w:tc>
          <w:tcPr>
            <w:tcW w:type="dxa" w:w="4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Жёсткое ограничение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1 Захват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Ближний микрофон, детекция речи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Без обращения в облако; видимое уведомление о записи в кабинете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2 Речь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Paraformer потоковый, диаризация CAM++, список медицинских горячих слов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real-time factor ≤ 0.3 на узле 16 ГБ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3 Извлечение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Qwen2.5-7B с QLoRA, ограниченное декодирование, трассировка полей до стенограммы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Вывод по схеме, поле пусто ниже порога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4 Знания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Индекс инструкций к препаратам и кодов, фрагменты-основания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Индекс обновляется автономно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5 Безопасность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Движок правил плюс малый клинический граф знаний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Модель вне контура принятия решений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6 Проверка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Веб-интерфейс: подтвердить / править / экспорт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Единственный автор записи, действие с авторизацией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7 Хранение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Локальное шифрованное хранилище, журнал аудита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Сроки хранения и удаления задаёт политика клиники</w:t>
            </w:r>
          </w:p>
        </w:tc>
      </w:tr>
      <w:tr>
        <w:tc>
          <w:tcPr>
            <w:tcW w:type="dxa" w:w="13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8 Интеграция</w:t>
            </w:r>
          </w:p>
        </w:tc>
        <w:tc>
          <w:tcPr>
            <w:tcW w:type="dxa" w:w="43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Ресурсы FHIR либо сообщения HL7 v2, SDK партнёра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До получения интерфейса — экспорт .docx, PDF, JSON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/>
        <w:jc w:val="both"/>
      </w:pPr>
      <w:r>
        <w:rPr>
          <w:lang w:val="ru-RU" w:eastAsia="zh-CN"/>
        </w:rPr>
        <w:t xml:space="preserve">Все компоненты развёрнуты внутри сети клиники; аудио и защищённая медицинская информация не уходит во внешние облачные эндпоинты. Ни один шаг в контуре принятия решений слоя безопасности не вызывает модель — именно поэтому его вывод пригоден для аудита. Панель проверки — единственный автор записи в медицинской документации, поэтому подтверждение врача является действием с последствиями, а не формальностью.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3.1 Интеграция с больничной информационной системой</w:t>
      </w:r>
    </w:p>
    <w:p>
      <w:pPr>
        <w:spacing w:after="120"/>
        <w:jc w:val="both"/>
      </w:pPr>
      <w:r>
        <w:rPr>
          <w:lang w:val="ru-RU" w:eastAsia="zh-CN"/>
        </w:rPr>
        <w:t xml:space="preserve">Прямая интеграция с HIS стационара — то, чего прототип из двух студентов сертифицировать не может, и мы этого не обещаем. Технический путь — стандартный слой интерфейса: ресурсы FHIR либо сообщения HL7 v2, либо SDK партнёра-интегратора, с встраиванием панели проверки в привычный рабочий процесс врача. Пока такого доступа нет, экспорт — .docx и PDF плюс структурированная JSON-нагрузка.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4. Стратегия данных и разметка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4.1 Источники</w:t>
      </w:r>
    </w:p>
    <w:p>
      <w:pPr>
        <w:spacing w:after="120"/>
        <w:jc w:val="both"/>
      </w:pPr>
      <w:r>
        <w:rPr>
          <w:lang w:val="ru-RU" w:eastAsia="zh-CN"/>
        </w:rPr>
        <w:t xml:space="preserve">Данные для обучения берутся из трёх мест. Открытые китайские медицинские корпуса (Huatuo-26M для покрытия тематики, DISC-MedLLM для диалогов в инструктированном формате, MedDialog для структуры разговора) дают язык и клиническое содержание, но стенограммами приёма не являются. Генератор синтетических диалогов строит беседы врача и пациента по шаблонам SOAP с управляемым разнообразием формулировок, неполнотой и перебивами и одновременно выдаёт структурированную запись как эталон — именно это делает поэлементную оценку возможной без затрат на данные. Реальное аудио вне объёма до соглашения с клиникой, этического одобрения и информированного согласия пациентов и стоит в плане развития, а не в текущем обучающем корпусе.</w:t>
      </w:r>
    </w:p>
    <w:p>
      <w:pPr>
        <w:spacing w:after="120"/>
        <w:jc w:val="both"/>
      </w:pPr>
      <w:r>
        <w:rPr>
          <w:lang w:val="ru-RU" w:eastAsia="zh-CN"/>
        </w:rPr>
        <w:t xml:space="preserve">Ограничение формулируем прямо: открытый текст и синтетические диалоги не воспроизводят акустику и разговорные свойства реального кабинета. Поэтому оценка явно сообщает чувствительность к доменному сдвигу, а первым шагом после конкурса стоит малый записанный пилот при наличии всех разрешений.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4.2 Обезличивание</w:t>
      </w:r>
    </w:p>
    <w:p>
      <w:pPr>
        <w:spacing w:after="120"/>
        <w:jc w:val="both"/>
      </w:pPr>
      <w:r>
        <w:rPr>
          <w:lang w:val="ru-RU" w:eastAsia="zh-CN"/>
        </w:rPr>
        <w:t xml:space="preserve">Применяется ко всем создаваемым и принимаемым наборам данных: прямые идентификаторы удаляются, косвенные обобщаются (возрастные интервалы, смещение дат, отделение вместо адреса), проверяется k-анонимность по комбинациям из трёх полей, а вторым участником команды делается атака деанонимизации на случайной подвыборке. Процесс опирается на закон о защите персональной информации и требования GB/T 35273; при появлении клинического партнёра эти правила становятся условиями соглашения.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4.3 Стандарт разметки и контроль качества</w:t>
      </w:r>
    </w:p>
    <w:p>
      <w:pPr>
        <w:spacing w:after="120"/>
        <w:jc w:val="both"/>
      </w:pPr>
      <w:r>
        <w:rPr>
          <w:lang w:val="ru-RU" w:eastAsia="zh-CN"/>
        </w:rPr>
        <w:t xml:space="preserve">Письменная спецификация задаёт каждое поле SOAP, границу между субъективными и объективными данными, правила извлечения препаратов и аллергий, правила присвоения кодов, включая случай «код присваивать нельзя». Разметка идёт в Label Studio, два участника команды размечают общую выборку независимо друг от друга: сначала пробный раунд на 50 примеров с разбором расхождений и правкой спецификации, затем порог согласия Коэна ≥ 0.75 по группам полей до заморозки корпуса. Клинические расхождения решает медицинский консультант проекта, и его решение сохраняется в составе записи о разметке.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4.4 Разделения и контроль утечек</w:t>
      </w:r>
    </w:p>
    <w:p>
      <w:pPr>
        <w:spacing w:after="120"/>
        <w:jc w:val="both"/>
      </w:pPr>
      <w:r>
        <w:rPr>
          <w:lang w:val="ru-RU" w:eastAsia="zh-CN"/>
        </w:rPr>
        <w:t xml:space="preserve">Разделение по группам (диалог и идентификатор пациента) не даёт почти дублирующим примерам попасть в разные части. Удержанная тестовая выборка исключается из промптов генерации и из few-shot примеров, а вместе с каждой оценкой выдаётся отчёт о пересечении n-грамм между обучением и тестом, потому что синтетический корпус может протечь через повторное использование шаблонов.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5. Метрики оценки и план экспериментов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5.1 Метрики</w:t>
      </w:r>
    </w:p>
    <w:p>
      <w:pPr>
        <w:spacing w:after="120"/>
        <w:jc w:val="both"/>
      </w:pPr>
      <w:r>
        <w:rPr>
          <w:lang w:val="ru-RU" w:eastAsia="zh-CN"/>
        </w:rPr>
        <w:t xml:space="preserve">Все значения ниже — цели, заданные до начала экспериментов. Измеренных результатов у нас нет, и проектные цели за результаты не выдаются.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0"/>
        <w:gridCol w:w="4000"/>
        <w:gridCol w:w="1400"/>
        <w:gridCol w:w="1900"/>
      </w:tblGrid>
      <w:tr>
        <w:tc>
          <w:tcPr>
            <w:tcW w:type="dxa" w:w="25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Метрика</w:t>
            </w:r>
          </w:p>
        </w:tc>
        <w:tc>
          <w:tcPr>
            <w:tcW w:type="dxa" w:w="4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Определение</w:t>
            </w:r>
          </w:p>
        </w:tc>
        <w:tc>
          <w:tcPr>
            <w:tcW w:type="dxa" w:w="1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Цель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Способ измерения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F1 по полям SOAP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Точность, полнота, макро-F1 по каждому полю против эталона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0.85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 на удержанных диалогах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Точность кодов top-1 / top-3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Совпадение кода на уровне рубрик национальной клинической ревизии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0.70 / ≥ 0.85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 плюс врачебная проверка на подвыборке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Доля пропущенных критичных полей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Поля аллергии, дозы, диагноза пустые или ошибочные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3%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 плюс врачебный аудит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Доля необоснованных полей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Заполненные поля без разрешаемого фрагмента стенограммы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1%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Проверка оснований на состязательной выборке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Доля отказов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Поля, оставленные пустыми намеренно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публикуется, не оптимизируется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Автоматически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Оценка пригодности врачом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Трёхбалльная шкала клинической достаточности, независимый клиницист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среднее ≥ 2.5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Слепая оценка 60 записей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CER ASR, DER, cpCER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Символьная ошибка на сегментах без наложения; ошибки разделения и наложений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CER ≤ 8%; DER и cpCER — по факту измерения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Стандартные инструменты на удержанном аудио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Полнота правил / ложные срабатывания</w:t>
            </w:r>
          </w:p>
        </w:tc>
        <w:tc>
          <w:tcPr>
            <w:tcW w:type="dxa" w:w="4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Выявление на синтетических противопоказаниях</w:t>
            </w:r>
          </w:p>
        </w:tc>
        <w:tc>
          <w:tcPr>
            <w:tcW w:type="dxa" w:w="1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0.98 / ≤ 5%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Отобранная состязательная выборка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5.2 Базлайны и абляция</w:t>
      </w:r>
    </w:p>
    <w:p>
      <w:pPr>
        <w:spacing w:after="120"/>
        <w:jc w:val="both"/>
      </w:pPr>
      <w:r>
        <w:rPr>
          <w:lang w:val="ru-RU" w:eastAsia="zh-CN"/>
        </w:rPr>
        <w:t xml:space="preserve">Сетка в приложении B изолирует по одному фактору в строке: облачный LLM общего назначения со свободным текстом как граница того, что даёт прямое использование облачной модели общего назначения; та же базовая модель без дообучения; затем полная модель без ограничения схемы, без опоры на поиск и без движка правил — против полного конвейера как опорной конфигурации. Колонка результатов заполняется по мере экспериментов, а не прикидывается заранее.</w:t>
      </w:r>
    </w:p>
    <w:p>
      <w:pPr>
        <w:keepNext/>
        <w:spacing w:before="120" w:after="100"/>
      </w:pPr>
      <w:r>
        <w:rPr>
          <w:b/>
          <w:sz w:val="23"/>
          <w:szCs w:val="23"/>
          <w:lang w:val="ru-RU" w:eastAsia="zh-CN"/>
        </w:rPr>
        <w:t xml:space="preserve">5.3 Протокол измерений</w:t>
      </w:r>
    </w:p>
    <w:p>
      <w:pPr>
        <w:spacing w:after="120"/>
        <w:jc w:val="both"/>
      </w:pPr>
      <w:r>
        <w:rPr>
          <w:lang w:val="ru-RU" w:eastAsia="zh-CN"/>
        </w:rPr>
        <w:t xml:space="preserve">По три случайных сида на конфигурацию, в отчёт идут среднее и стандартное отклонение. Железо, версии библиотек, параметры квантования и промпты фиксируются в воспроизводимом пакете, чтобы результаты можно было проверить, а не принять на веру. Скрипты оценки запускаются только по замороженной тестовой выборке.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6. Бюджет задержки и производительность</w:t>
      </w:r>
    </w:p>
    <w:p>
      <w:pPr>
        <w:spacing w:after="120"/>
        <w:jc w:val="both"/>
      </w:pPr>
      <w:r>
        <w:rPr>
          <w:lang w:val="ru-RU" w:eastAsia="zh-CN"/>
        </w:rPr>
        <w:t xml:space="preserve">В амбулаторном кабинете черновик, появившийся после ухода пациента, бесполезен, поэтому бюджет задержки — проектное ограничение архитектуры. Числа подлежат проверке в ресурсной среде из раздела 12.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00"/>
        <w:gridCol w:w="1900"/>
        <w:gridCol w:w="5000"/>
      </w:tblGrid>
      <w:tr>
        <w:tc>
          <w:tcPr>
            <w:tcW w:type="dxa" w:w="2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Участок</w:t>
            </w:r>
          </w:p>
        </w:tc>
        <w:tc>
          <w:tcPr>
            <w:tcW w:type="dxa" w:w="19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Цель</w:t>
            </w:r>
          </w:p>
        </w:tc>
        <w:tc>
          <w:tcPr>
            <w:tcW w:type="dxa" w:w="5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Способ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Частичная стенограмма на экране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3 с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Потоковый ASR с локальным буфером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Черновик, готовый к проверке, после приёма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60 с (P95 ≤ 90 с)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Пакетное извлечение на контексте 4096 токенов, вывод в 4 битах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Детерминированная проверка безопасности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300 мс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Движок правил, без обращения к модели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Сквозное время на приём с диалогом в 10 минут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≤ 75 с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Сумма участков плюс отрисовка интерфейса</w:t>
            </w:r>
          </w:p>
        </w:tc>
      </w:tr>
      <w:tr>
        <w:tc>
          <w:tcPr>
            <w:tcW w:type="dxa" w:w="29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Одновременных приёмов на узел</w:t>
            </w:r>
          </w:p>
        </w:tc>
        <w:tc>
          <w:tcPr>
            <w:tcW w:type="dxa" w:w="19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≥ 1 на конкурсном узле (1x16 ГБ); ≥ 3 на эталонном узле развёртывания (1x24 ГБ)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Непрерывная пакетная обработка, 4-битные веса, ограничение KV-кэша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7. Анализ конкурентов</w:t>
      </w:r>
    </w:p>
    <w:p>
      <w:pPr>
        <w:spacing w:after="120"/>
        <w:jc w:val="both"/>
      </w:pPr>
      <w:r>
        <w:rPr>
          <w:lang w:val="ru-RU" w:eastAsia="zh-CN"/>
        </w:rPr>
        <w:t xml:space="preserve">Сравниваем с реально развёрнутыми в Китае медицинскими ИИ-продуктами, а не с чат-ботами общего назначения: iFlytek (智医助理, 晓医), Baidu Lingyi (灵医), Tencent Miying (觅影). Полная матрица по формату развёртывания, речевому фронтенду, структурированию SOAP, покрытию кодирования, комплаенсу, интеграции с HIS, сроку внедрения и стоимости — в приложении C. Две оговорки о честности сравнения: ячейки про конкурентов сведены из публичных материалов вендоров и нами не воспроизводились; и ни один из сравниваемых продуктов не является агентом амбиентного амбулаторного документирования нашего типа, поэтому таблица показывает позиционирование, а не сопоставимый бенчмарк. Наша защищаемая позиция против всех трёх — один локальный узел на открытых весах, программная диаризация с одного ближнего микрофона со стороны врача, наложения выносятся в отдельную метрику cpCER и вывод по жёсткой схеме с публикуемыми поэлементными метриками.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8. Регуляторика и соответствие требованиям</w:t>
      </w:r>
    </w:p>
    <w:p>
      <w:pPr>
        <w:spacing w:after="120"/>
        <w:jc w:val="both"/>
      </w:pPr>
      <w:r>
        <w:rPr>
          <w:lang w:val="ru-RU" w:eastAsia="zh-CN"/>
        </w:rPr>
        <w:t xml:space="preserve">Соответствие требованиям — главный барьер между работающим прототипом и внедрённым продуктом, и ему место в тексте заявки, а не в сноске.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Безопасность и данные. </w:t>
      </w:r>
      <w:r>
        <w:rPr>
          <w:lang w:val="ru-RU" w:eastAsia="zh-CN"/>
        </w:rPr>
        <w:t xml:space="preserve">Система, хранящая медицинские записи в клиническом контуре, подпадает под режим уровневой защиты, где для больничных систем практическим ожиданием является III уровень (等级保护三级), плюс законы о кибербезопасности, о данных и о защите персональной информации. Аттестация внешняя и платная, поэтому она планируется, а не исключается из рассмотрения.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Генеративный ИИ. </w:t>
      </w:r>
      <w:r>
        <w:rPr>
          <w:lang w:val="ru-RU" w:eastAsia="zh-CN"/>
        </w:rPr>
        <w:t xml:space="preserve">Для публично доступных генеративных сервисов требуется регистрация алгоритма по применимым положениям. Наша модель развёртывания — закрытый внутренний инструмент для лицензированных врачей, что сужает, но не снимает обязанность; статус регистрации — задача плана развития.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Классификация как медизделия. </w:t>
      </w:r>
      <w:r>
        <w:rPr>
          <w:lang w:val="ru-RU" w:eastAsia="zh-CN"/>
        </w:rPr>
        <w:t xml:space="preserve">ПО, которое только готовит документацию, а лицензированный врач проверяет и подписывает каждую запись, как правило не относится к классификации диагностических медицинских изделий; ПО, рекомендующее диагноз или лечение, является медицинским изделием и требует регистрации NMPA. Мы намеренно держим продукт на стороне документирования, и любой шаг в сторону клинических рекомендаций сначала формализуется запросом на классификацию.</w:t>
      </w:r>
    </w:p>
    <w:p>
      <w:pPr>
        <w:spacing w:after="120"/>
        <w:jc w:val="both"/>
      </w:pPr>
      <w:r>
        <w:rPr>
          <w:lang w:val="ru-RU" w:eastAsia="zh-CN"/>
        </w:rPr>
        <w:t xml:space="preserve">Это план соответствия, составленный студентами, а не юридическое заключение. Конкретный следующий шаг формулируем так: до любого пилота с реальными данными получить одобрение институционального этического комитета и письменную оценку классификации от регуляторной команды будущего партнёра-интегратора.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9. Состав команды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00"/>
        <w:gridCol w:w="5600"/>
      </w:tblGrid>
      <w:tr>
        <w:tc>
          <w:tcPr>
            <w:tcW w:type="dxa" w:w="4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Участник</w:t>
            </w:r>
          </w:p>
        </w:tc>
        <w:tc>
          <w:tcPr>
            <w:tcW w:type="dxa" w:w="56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Статус и профиль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Сафонов Павел</w:t>
            </w:r>
          </w:p>
        </w:tc>
        <w:tc>
          <w:tcPr>
            <w:tcW w:type="dxa" w:w="5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Студент факультета программного обеспечения, специальность «программная инженерия»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Алексеенко Денис</w:t>
            </w:r>
          </w:p>
        </w:tc>
        <w:tc>
          <w:tcPr>
            <w:tcW w:type="dxa" w:w="5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Студент факультета программного обеспечения, специальность «программная инженерия»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Жэнь Чжэн (任政)</w:t>
            </w:r>
          </w:p>
        </w:tc>
        <w:tc>
          <w:tcPr>
            <w:tcW w:type="dxa" w:w="5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Факультет программного обеспечения, кафедра программного обеспечения и технологий больших данных; научный руководитель</w:t>
            </w:r>
          </w:p>
        </w:tc>
      </w:tr>
      <w:tr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Сафонова Мария Владимировна</w:t>
            </w:r>
          </w:p>
        </w:tc>
        <w:tc>
          <w:tcPr>
            <w:tcW w:type="dxa" w:w="56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Практикующий врач; медицинский консультант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/>
        <w:jc w:val="both"/>
      </w:pPr>
      <w:r>
        <w:rPr>
          <w:lang w:val="ru-RU" w:eastAsia="zh-CN"/>
        </w:rPr>
        <w:t xml:space="preserve">Медицинский консультант — практикующий врач со стажем 16 лет, специализации: терапия, общая врачебная практика, организация общественного здоровья и здравоохранения, функциональная диагностика. Оба члена команды, напротив, студенты-программисты, а не клиницисты. Для медицинского проекта это реальное ограничение, и мы закрываем его тремя способами: внешний врач рецензирует стандарт разметки и правила безопасности, все клинические утверждения привязаны к измеримому протоколу, а конвейер построен так, чтобы непроверенное поле оставалось пустым, а не правдоподобным. Двое студентов покрывают речевой фронтенд, обучение и оценку моделей и системную интеграцию; клиническое суждение компетенцией команды не заявляется и целиком отнесено к врачу и к подтверждению в панели проверки.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10. План работ</w:t>
      </w:r>
    </w:p>
    <w:p>
      <w:pPr>
        <w:spacing w:after="120"/>
        <w:jc w:val="both"/>
      </w:pPr>
      <w:r>
        <w:rPr>
          <w:lang w:val="ru-RU" w:eastAsia="zh-CN"/>
        </w:rPr>
        <w:t xml:space="preserve">Регистрация и оплата взноса закрываются 15 октября 2026 в 20:00, внутренняя подача на уровне университета — 10 октября; обе даты обеспечиваются этой заявкой. Инженерный план идёт четырьмя блоками до конца декабря 2026: конвейер данных и спецификация разметки, затем речевой фронтенд и базлайны без дообучения, затем дообучение с ограничением схемы и индексом кодов, затем опора на поиск, движок безопасности и панель проверки, с завершением оптимизацией задержки и отчётом об оценке. Периоды, результаты и критерии завершения перечислены в приложении D; работа 2027 года по клинике, этической заявке и записанному пилоту — план развития вне объёма конкурса.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11. Оценка рисков</w:t>
      </w:r>
    </w:p>
    <w:p>
      <w:pPr>
        <w:spacing w:after="120"/>
        <w:jc w:val="both"/>
      </w:pPr>
      <w:r>
        <w:rPr>
          <w:lang w:val="ru-RU" w:eastAsia="zh-CN"/>
        </w:rPr>
        <w:t xml:space="preserve">Восемь рисков с вероятностью, эффектом и мерами снижения зарегистрированы в приложении E. Три из них напрямую формируют проектные решения. Без реальных записей приёма модель усваивает синтетические речевые паттерны — поэтому речевой фронтенд модульный, а доменный сдвиг сообщается, а не замалчивается. Без клинициста в штате разметка смещена — поэтому спецификация письменно пробивается пилотом, удерживается порогом каппы и разрешается консультантом. У двух студентов совмещение с учебной нагрузкой, и единственная защита — срезанный объём: один конвейер, еженедельные контрольные точки, разбор с руководителем на каждой вехе.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12. Ресурсы и ограничения среды</w:t>
      </w:r>
    </w:p>
    <w:p>
      <w:pPr>
        <w:spacing w:after="120"/>
        <w:jc w:val="both"/>
      </w:pPr>
      <w:r>
        <w:rPr>
          <w:lang w:val="ru-RU" w:eastAsia="zh-CN"/>
        </w:rPr>
        <w:t xml:space="preserve">Ресурсный контур — жёсткое ограничение, и все числа задержки и обучения в заявке определены относительно него: обучение идёт в Google Colab (по умолчанию T4 16 ГБ, A100 при доступной квоте), отладка конвейера и вывод на одном узле идут на имеющемся ноутбуке Apple Silicon с 4-битными весами, корпуса и адаптеры хранятся на локальном зашифрованном диске и в одном ведре объектного хранения, скрипты оценки и версии зависимостей зафиксированы в воспроизводимом пакете; полный перечень — приложение F. Клинические данные не покупаются. Разметка и медицинская рецензия — время студентов и консультанта, а не денежные затраты; взнос за участие — по опубликованному на aicomp.cn. Сознательно исключено на этом этапе и отнесено в план развития: аттестация по III уровню защиты, подготовка регистрации алгоритма, сертификация интеграции с больничным вендором и выездное сопровождение внедрения — каждое стоит реальных денег и относится к коммерческому пилоту, а не к студенческому прототипу.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13. Ожидаемые результаты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  <w:gridCol w:w="3400"/>
      </w:tblGrid>
      <w:tr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Результат</w:t>
            </w:r>
          </w:p>
        </w:tc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Текущая база</w:t>
            </w:r>
          </w:p>
        </w:tc>
        <w:tc>
          <w:tcPr>
            <w:tcW w:type="dxa" w:w="3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Ожидаемая цель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Время до проверяемой записи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Около 8 минут ручного ввода (отраслевая величина, не наше измерение)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Черновик за 60 с, подтверждение врача за дополнительные 15 с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Время на клавиатуру за приём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Полный ручной ввод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Снижение на 70-90%, измеряется в пилоте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Полнота структурированного кодирования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При ручном вводе часто неполная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Каждое критичное поле либо заполнено с основанием, либо явно помечено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Материальные результаты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нет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Работающий прототип, веса обученного адаптера, отчёт об оценке с таблицей абляции, воспроизводимый пакет, техническая документация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Результаты интеллектуальной деятельности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нет</w:t>
            </w:r>
          </w:p>
        </w:tc>
        <w:tc>
          <w:tcPr>
            <w:tcW w:type="dxa" w:w="3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Заявка на регистрацию программы для ЭВМ и задокументированный протокол оценки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spacing w:after="120"/>
        <w:jc w:val="both"/>
      </w:pPr>
      <w:r>
        <w:rPr>
          <w:lang w:val="ru-RU" w:eastAsia="zh-CN"/>
        </w:rPr>
        <w:t xml:space="preserve">Цифра в 8 минут — отраслевой ориентир, а не измеренная величина, и тем более не наше измерение. Проверка наблюдением с секундомером в реальной клинике входит в пилот, и все проценты снижения выше остаются целями, пока измерения нет.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14. Бизнес-модель и выход на рынок</w:t>
      </w:r>
    </w:p>
    <w:p>
      <w:pPr>
        <w:spacing w:after="120"/>
        <w:jc w:val="both"/>
      </w:pPr>
      <w:r>
        <w:rPr>
          <w:lang w:val="ru-RU" w:eastAsia="zh-CN"/>
        </w:rPr>
        <w:t xml:space="preserve">Платящий клиент — учреждение, а не отдельный врач, и путь на рынок — B2B2C через существующий медицинский ИТ-канал, а не прямые больничные продажи: студенческая команда из двух человек не выигрывает годовой больничный тендер, но может сделать модуль, который вендор HIS или региональная медицинская платформа добавит в свою установленную базу. Подходящих партнёров такого типа на внутреннем рынке несколько, ни один не заявлен как подписанный. Выручка — подписка за рабочее место врача в месяц плюс разовый платёж за развёртывание и интеграцию на учреждение, для платформенных партнёров тарификация по объёму. Точка входа — трёхмесячный бесплатный пилот в одном амбулаторном отделении в обмен на хронометраж и обратную связь по разметке; цель пилота — доказательства, а не выручка. Открытые веса и один локальный узел вывода держат предельную стоимость на клинику низкой, и именно это делает подписку посильной для средних частных сетей и поликлиник, которым аппаратный комплекс не по карману. Продаж в конкурсном этапе нет, и каждый барьер из раздела 8 стоит перед любым из этих шагов.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15. Использованные стандарты, модели и датасеты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Модели и инструменты. </w:t>
      </w:r>
      <w:r>
        <w:rPr>
          <w:lang w:val="ru-RU" w:eastAsia="zh-CN"/>
        </w:rPr>
        <w:t xml:space="preserve">Инструктированное семейство Qwen2.5, Baichuan-Med, ChatGLM3, LLaMA 3, Paraformer и FunASR, Whisper, диаризация CAM++, QLoRA, Pydantic, Label Studio.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Датасеты. </w:t>
      </w:r>
      <w:r>
        <w:rPr>
          <w:lang w:val="ru-RU" w:eastAsia="zh-CN"/>
        </w:rPr>
        <w:t xml:space="preserve">Huatuo-26M, DISC-MedLLM, MedDialog (китайская часть).</w:t>
      </w:r>
    </w:p>
    <w:p>
      <w:pPr>
        <w:pStyle w:val="ListBullet"/>
        <w:spacing w:after="60"/>
        <w:jc w:val="both"/>
      </w:pPr>
      <w:r>
        <w:rPr>
          <w:b/>
          <w:lang w:val="ru-RU" w:eastAsia="zh-CN"/>
        </w:rPr>
        <w:t xml:space="preserve">Стандарты и регулирование. </w:t>
      </w:r>
      <w:r>
        <w:rPr>
          <w:lang w:val="ru-RU" w:eastAsia="zh-CN"/>
        </w:rPr>
        <w:t xml:space="preserve">МКБ-10 национальная клиническая ревизия 2.0, переходная версия МКБ-11, HL7 FHIR, структура записи SOAP, базовые требования уровневой защиты GB/T 22239, спецификация безопасности персональной информации GB/T 35273, законы о защите персональной информации, о данных и о кибербезопасности, положения об управлении сервисами генеративного ИИ, регламент надзора за медицинскими изделиями и руководство по классификации программного обеспечения ИИ в медицине.</w:t>
      </w:r>
    </w:p>
    <w:p>
      <w:r>
        <w:br w:type="page"/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A. Конфигурация дообучения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7200"/>
      </w:tblGrid>
      <w:tr>
        <w:tc>
          <w:tcPr>
            <w:tcW w:type="dxa" w:w="26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Параметр</w:t>
            </w:r>
          </w:p>
        </w:tc>
        <w:tc>
          <w:tcPr>
            <w:tcW w:type="dxa" w:w="7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Значение и обоснование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Метод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QLoRA: замороженная база в 4-бит NF4, двойное квантование, страничная оптимизация состояния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Конфигурация LoRA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r = 16, alpha = 32, dropout 0.05, над проекциями q/k/v/o и gate/up/down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Точность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4-битные веса; вычисления в fp16 на T4 и bf16 на A100 и новее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Оптимизация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AdamW, lr 2e-4, косинусное затухание, разогрев 3%, эффективный батч 16 за счёт аккумуляции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Бюджет последовательности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4096 токенов, включён градиентный чекпоинтинг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Эпохи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3, ранняя остановка по F1 на удержанной выборке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Реальная вычислительная база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Colab (T4 либо A100 по доступности) для полных прогонов; Apple Silicon на 4-битном MLX для отладки конвейера на уменьшенной подвыборке; арендный облачный GPU резервируется под финальный блок обучения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Этапы обучения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(1) инструктированный SFT на извлечение SOAP и кодирование; (2) rejection sampling на валидных по схеме выводах, только если первый этап всё ещё даёт сбои формата; (3) калибровка вероятностей, чтобы порог уверенности из 2.5 имел смысл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B. План базлайнов и аблации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4200"/>
        <w:gridCol w:w="2400"/>
      </w:tblGrid>
      <w:tr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Конфигурация</w:t>
            </w:r>
          </w:p>
        </w:tc>
        <w:tc>
          <w:tcPr>
            <w:tcW w:type="dxa" w:w="4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Что измеряет</w:t>
            </w:r>
          </w:p>
        </w:tc>
        <w:tc>
          <w:tcPr>
            <w:tcW w:type="dxa" w:w="2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Результат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Облачный LLM общего назначения, zero-shot, свободный текст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Что даёт прямое использование облачной модели общего назначения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Qwen2.5-7B без дообучения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Изолирует вклад дообучения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Дообучение без ограничения схемы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Показывает цену сбоев формата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Дообучение без поиска по базе знаний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Показывает вклад опоры на поиск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Дообучение без движка правил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Показывает, что ловит детерминированная проверка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  <w:tr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Полный конвейер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Опорная конфигурация для всех приводимых чисел</w:t>
            </w:r>
          </w:p>
        </w:tc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заполняется по итогам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C. Матрица сравнения конкурентов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0"/>
        <w:gridCol w:w="2100"/>
        <w:gridCol w:w="2100"/>
        <w:gridCol w:w="2000"/>
        <w:gridCol w:w="2100"/>
      </w:tblGrid>
      <w:tr>
        <w:tc>
          <w:tcPr>
            <w:tcW w:type="dxa" w:w="15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Критерий</w:t>
            </w:r>
          </w:p>
        </w:tc>
        <w:tc>
          <w:tcPr>
            <w:tcW w:type="dxa" w:w="21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iFlytek (智医助理, 晓医)</w:t>
            </w:r>
          </w:p>
        </w:tc>
        <w:tc>
          <w:tcPr>
            <w:tcW w:type="dxa" w:w="21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Baidu Lingyi (灵医)</w:t>
            </w:r>
          </w:p>
        </w:tc>
        <w:tc>
          <w:tcPr>
            <w:tcW w:type="dxa" w:w="2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Tencent Miying (觅影)</w:t>
            </w:r>
          </w:p>
        </w:tc>
        <w:tc>
          <w:tcPr>
            <w:tcW w:type="dxa" w:w="21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SmartMed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Основной фокус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Поддержка врачебных решений в первичном звене, платформа распознавания речи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Медицинская большая модель, ассистент приёма и документирования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Медицинская визуализация, расширение в мультимодальное генерирование записей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Агент амбиентного амбулаторного документирования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Развёртывание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Локально и платформенно, ориентация на крупные учреждения и региональные проекты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Основа — облачный API, локальная установка как корпоративная опция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Исследовательские партнёрства с больницами, инфраструктура визуализации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Один локальный узел, приватность по умолчанию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Речь и разделение говорящих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Сильное, собственный стек ASR, отработан на шумовой полевой эксплуатации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Публичных данных об амбиентном многоговорящем входе мало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 ключевая способность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Программная диаризация с медицинскими горячими словами, без требования фирменного железа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Структурирование SOAP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Шаблоны и формы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Генерация моделью, строгость схемы не публикуется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 основной выход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Вывод по жёсткой схеме с основанием на поле, публикуется F1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Кодирование диагнозов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Использует национальные стандарты кодирования в продуктах поддержки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Заявлена способность к кодированию, ревизия не публикуется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Не в фокусе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МКБ-10 национальная клиническая ревизия 2.0 плюс отображение на переходную МКБ-11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Конфиденциальность и комплаенс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Отработанная практика соответствия в учреждениях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Отраслевые сертификации, облачный поток данных требует оценки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Партнёрства с учреждениями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Только локально, без исходящего PHI; планируются аттестация по III уровню защиты и регистрация алгоритма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Интеграция с HIS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Глубокая, зрелые отношения с вендорами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Через платформенные партнёрства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Через исследовательские отделения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Через существующий интерфейс HIS партнёра-интегратора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Срок внедрения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Месяцы, институциональные закупки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 недель до месяцев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Месяцы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Цель: готовый к пилоту прототип в рамках окна конкурса</w:t>
            </w:r>
          </w:p>
        </w:tc>
      </w:tr>
      <w:tr>
        <w:tc>
          <w:tcPr>
            <w:tcW w:type="dxa" w:w="15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Стоимость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Высокая, много железа и интеграции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Постоянные расходы на токены и платформу</w:t>
            </w:r>
          </w:p>
        </w:tc>
        <w:tc>
          <w:tcPr>
            <w:tcW w:type="dxa" w:w="2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Высокая, ориентир на визуализацию</w:t>
            </w:r>
          </w:p>
        </w:tc>
        <w:tc>
          <w:tcPr>
            <w:tcW w:type="dxa" w:w="21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Низкая: один узел вывода на 7B, открытые веса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D. Вехи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3200"/>
        <w:gridCol w:w="4200"/>
      </w:tblGrid>
      <w:tr>
        <w:tc>
          <w:tcPr>
            <w:tcW w:type="dxa" w:w="2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Период</w:t>
            </w:r>
          </w:p>
        </w:tc>
        <w:tc>
          <w:tcPr>
            <w:tcW w:type="dxa" w:w="3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Результат</w:t>
            </w:r>
          </w:p>
        </w:tc>
        <w:tc>
          <w:tcPr>
            <w:tcW w:type="dxa" w:w="4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Критерий завершения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 10 октября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Внутренняя подача на уровне университета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Материалы приняты факультетом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до 15 октября 2026, 20:00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Регистрация и оплата взноса на aicomp.cn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Участие подтверждено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конец октября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Конвейер данных, спецификация разметки, пробный раунд на 50 примеров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Измерена каппа, спецификация пересмотрена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1-2 недели ноября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Базлайн ASR, диаризация, список горячих слов, базлайн извлечения без дообучения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Зафиксированы числа базлайнов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3-4 недели ноября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QLoRA-обучение v1, декодирование по схеме, индекс кодов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Первый сквозной прогон полного конвейера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1-2 недели декабря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Опора на поиск, движок правил, панель проверки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Выполнены все шесть строк абляции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3-4 недели декабря 2026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Оптимизация задержки, отчёт об оценке, воспроизводимый пакет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Цели раздела 5 либо достигнуты, либо объяснены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 января 2027</w:t>
            </w:r>
          </w:p>
        </w:tc>
        <w:tc>
          <w:tcPr>
            <w:tcW w:type="dxa" w:w="3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Переговоры с клиникой, заявка в этический комитет, проект записанного пилота</w:t>
            </w:r>
          </w:p>
        </w:tc>
        <w:tc>
          <w:tcPr>
            <w:tcW w:type="dxa" w:w="4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Блок плана развития, вне объёма конкурса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E. Реестр рисков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1200"/>
        <w:gridCol w:w="1200"/>
        <w:gridCol w:w="5000"/>
      </w:tblGrid>
      <w:tr>
        <w:tc>
          <w:tcPr>
            <w:tcW w:type="dxa" w:w="24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Риск</w:t>
            </w:r>
          </w:p>
        </w:tc>
        <w:tc>
          <w:tcPr>
            <w:tcW w:type="dxa" w:w="1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Вероятность</w:t>
            </w:r>
          </w:p>
        </w:tc>
        <w:tc>
          <w:tcPr>
            <w:tcW w:type="dxa" w:w="1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Эффект</w:t>
            </w:r>
          </w:p>
        </w:tc>
        <w:tc>
          <w:tcPr>
            <w:tcW w:type="dxa" w:w="50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Снижение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Нет реальных записей приёма, модель усваивает синтетическую речь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Отчёт о чувствительности к доменному сдвигу, модульный речевой фронтенд, записанный пилот как первый шаг после конкурса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Выдуманное клиническое содержание попадает в черновик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Обязательное основание на поле, отказ ниже порога, подтверждение врачом, состязательная оценка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Смещение разметки из-за отсутствия клинициста в команде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Письменная спецификация, пробный раунд, порог каппы, врачебное разрешение споров в журнале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Ограничения Colab и ноутбука по вычислениям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4-битное обучение, потолок по длине последовательности, отладка на уменьшенной подвыборке, аренда облачного GPU под финальные прогоны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Неопределённость классификации медизделия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Удержание продукта на стороне документации, отказ от диагностических рекомендаций, запрос на классификацию до расширения объёма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Врачи не готовы проверять машинный вывод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Интерфейс с удобной правкой, основание показано на поле, время до подтверждения измеряется как метрика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Однотипные конкуренты и копируемые продукты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Средняя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Узкий фокус на амбиентном документировании с локальной установкой, публикуемый протокол оценки</w:t>
            </w:r>
          </w:p>
        </w:tc>
      </w:tr>
      <w:tr>
        <w:tc>
          <w:tcPr>
            <w:tcW w:type="dxa" w:w="24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Два студента совмещают с учебной нагрузкой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Высокая</w:t>
            </w:r>
          </w:p>
        </w:tc>
        <w:tc>
          <w:tcPr>
            <w:tcW w:type="dxa" w:w="1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Средний</w:t>
            </w:r>
          </w:p>
        </w:tc>
        <w:tc>
          <w:tcPr>
            <w:tcW w:type="dxa" w:w="50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Срезка объёма до одного конвейера, еженедельные контрольные точки, разбор с руководителем на каждой вехе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p>
      <w:pPr>
        <w:keepNext/>
        <w:spacing w:before="200" w:after="120"/>
      </w:pPr>
      <w:r>
        <w:rPr>
          <w:b/>
          <w:sz w:val="27"/>
          <w:szCs w:val="27"/>
          <w:lang w:val="ru-RU" w:eastAsia="zh-CN"/>
        </w:rPr>
        <w:t xml:space="preserve">F. Ресурсы и окружение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0"/>
        <w:gridCol w:w="7200"/>
      </w:tblGrid>
      <w:tr>
        <w:tc>
          <w:tcPr>
            <w:tcW w:type="dxa" w:w="26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Позиция</w:t>
            </w:r>
          </w:p>
        </w:tc>
        <w:tc>
          <w:tcPr>
            <w:tcW w:type="dxa" w:w="7200"/>
            <w:shd w:val="clear" w:fill="D9D9D9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Описание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Вычисления для обучения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Google Colab: по умолчанию T4 16 ГБ, A100 при доступной квоте; финальный блок обучения резервируется на арендном облачном GPU в объёме фактической квоты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Вычисления для отладки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Имеющийся ноутбук Apple Silicon, 4-битные веса MLX — конвейер и вывод на уменьшенной подвыборке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Ограничение по памяти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4-битная QLoRA модели 7–8B занимает около 12–14 ГБ при бюджете 4096 токенов; все числа из раздела 6 измеряются в этой среде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Данные и хранение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Открытые китайские медицинские корпуса плюс синтетические диалоги; локальное шифрованное хранение плюс одно ведро объектного хранения, покупка клинических данных отсутствует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Программная база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Фреймворки обучения и вывода, FunASR, библиотека ограниченного декодирования, скрипты оценки — версии зафиксированы в воспроизводимом пакете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Люди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Время студентов плюс рецензия врача-консультанта, без денежных статей</w:t>
            </w:r>
          </w:p>
        </w:tc>
      </w:tr>
      <w:tr>
        <w:tc>
          <w:tcPr>
            <w:tcW w:type="dxa" w:w="2600"/>
            <w:vAlign w:val="top"/>
          </w:tcPr>
          <w:p>
            <w:pPr>
              <w:spacing w:before="40" w:after="40" w:line="240" w:lineRule="auto"/>
            </w:pPr>
            <w:r>
              <w:rPr>
                <w:b/>
                <w:sz w:val="16"/>
                <w:szCs w:val="16"/>
                <w:lang w:val="ru-RU" w:eastAsia="zh-CN"/>
              </w:rPr>
              <w:t xml:space="preserve">Взнос за участие</w:t>
            </w:r>
          </w:p>
        </w:tc>
        <w:tc>
          <w:tcPr>
            <w:tcW w:type="dxa" w:w="7200"/>
            <w:vAlign w:val="top"/>
          </w:tcPr>
          <w:p>
            <w:pPr>
              <w:spacing w:before="40" w:after="40" w:line="240" w:lineRule="auto"/>
            </w:pPr>
            <w:r>
              <w:rPr>
                <w:sz w:val="16"/>
                <w:szCs w:val="16"/>
                <w:lang w:val="ru-RU" w:eastAsia="zh-CN"/>
              </w:rPr>
              <w:t xml:space="preserve">Размер и способ — по официальному уведомлению aicomp.cn</w:t>
            </w:r>
          </w:p>
        </w:tc>
      </w:tr>
    </w:tbl>
    <w:p>
      <w:pPr>
        <w:spacing w:after="80"/>
      </w:pPr>
      <w:r>
        <w:rPr>
          <w:sz w:val="8"/>
        </w:rPr>
        <w:t xml:space="preserve"> </w:t>
      </w:r>
    </w:p>
    <w:sectPr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4186</Words>
  <Characters>33082</Characters>
  <Application>Microsoft Macintosh Word</Application>
  <DocSecurity>0</DocSecurity>
  <Lines>348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Dalian Neusoft University of Information</Company>
  <LinksUpToDate>false</LinksUpToDate>
  <CharactersWithSpaces>4980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SmartMed Ambient EHR Copilot - проектная записка и алгоритмический дизайн</dc:title>
  <dc:subject>8-й глобальный кампусный конкурс ИИ-алгоритмов, трек ИИ-агенты в цифровой экономике</dc:subject>
  <dc:creator>Pavel Safonov</dc:creator>
  <cp:keywords/>
  <dc:description/>
  <cp:lastModifiedBy>Pavel Safonov</cp:lastModifiedBy>
  <cp:revision>4</cp:revision>
  <dcterms:created xsi:type="dcterms:W3CDTF">2026-09-21T09:42:00Z</dcterms:created>
  <dcterms:modified xsi:type="dcterms:W3CDTF">2026-09-24T13:05:00Z</dcterms:modified>
  <cp:category/>
  <dc:language>ru-RU</dc:language>
</cp:coreProperties>
</file>