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Outpatient clinical documentation assistant</w:t>
      </w:r>
    </w:p>
    <w:p>
      <w:pPr>
        <w:pStyle w:val="Subtitle"/>
      </w:pPr>
      <w:r>
        <w:t>SmartMed Technical proposal</w:t>
      </w:r>
    </w:p>
    <w:p>
      <w:r>
        <w:t>Eighth Global Campus Artificial Intelligence Algorithm Elite Competition</w:t>
        <w:br/>
        <w:t>Algorithm Innovation Track Topic 4 AI+场景创新</w:t>
        <w:br/>
        <w:t>4 October 2026</w:t>
      </w:r>
    </w:p>
    <w:p>
      <w:pPr>
        <w:pStyle w:val="Heading1"/>
      </w:pPr>
      <w:r>
        <w:t>1 Project overview</w:t>
      </w:r>
    </w:p>
    <w:p>
      <w:pPr>
        <w:pStyle w:val="Heading2"/>
      </w:pPr>
      <w:r>
        <w:t>Application summary</w:t>
      </w:r>
    </w:p>
    <w:p>
      <w:r>
        <w:t>SmartMed is proposed as an assistant that converts Chinese clinician–patient dialogue into a traceable clinical note draft. Chinese speech recognition, an existing language model, terminology retrieval and deterministic checks will connect key fields to source statements, leave missing facts unknown, and flag allergies, duplicate ingredients and incomplete medication information. Export follows clinician review. The first stage targets a local Chinese demonstration and independent tests of completeness, factual consistency and workflow reliability. Clinical effectiveness remains to be validated.</w:t>
      </w:r>
    </w:p>
    <w:p>
      <w:pPr>
        <w:pStyle w:val="Heading2"/>
      </w:pPr>
      <w:r>
        <w:t>Scenario and user need</w:t>
      </w:r>
    </w:p>
    <w:p>
      <w:r>
        <w:t>The intended user is a clinician preparing a note after an outpatient consultation. Symptoms, duration, negatives, history and medications are distributed across turns. The proposed screen places dialogue and audio segments alongside structured fields, source evidence and items requiring clarification.</w:t>
      </w:r>
    </w:p>
    <w:p>
      <w:r>
        <w:t>The first stage uses simulated Chinese consultations. Text input is validated before short audio files are added. SOAP organizes subjective information, objective observations, assessment already expressed by the clinician, and the stated plan. Diagnoses, examination results and treatment absent from the input must not be invented.</w:t>
      </w:r>
    </w:p>
    <w:p>
      <w:pPr>
        <w:pStyle w:val="Heading2"/>
      </w:pPr>
      <w:r>
        <w:t>First stage objective</w:t>
      </w:r>
    </w:p>
    <w:p>
      <w:r>
        <w:t>At the time of writing, the project has no measured results or clinical pilot evidence. Deliverables are a reproducible prototype, a frozen test set, evaluation scripts and actual result tables. The engineering contribution focuses on evidence links, missing information, checks and clinician confirmation.</w:t>
      </w:r>
    </w:p>
    <w:p>
      <w:r>
        <w:t>The first stage does not depend on fine tuning, live multi-speaker separation, a comprehensive drug knowledge graph or hospital integration. Extensions depend on error analysis, data permissions and resource measurements.</w:t>
      </w:r>
    </w:p>
    <w:p>
      <w:r>
        <w:br w:type="page"/>
      </w:r>
    </w:p>
    <w:p>
      <w:pPr>
        <w:pStyle w:val="Heading1"/>
      </w:pPr>
      <w:r>
        <w:t>2 Architecture and processing</w:t>
      </w:r>
    </w:p>
    <w:p>
      <w:r>
        <w:t>The proposed system has one Chinese web interface and one backend. React and TypeScript serve the interface, FastAPI provides the service, and SQLite stores jobs, draft versions and confirmation records. Audio and data files remain local. The backend uses explicit workflow states and model adapters.</w:t>
      </w:r>
    </w:p>
    <w:p>
      <w:pPr>
        <w:pStyle w:val="Heading2"/>
      </w:pPr>
      <w:r>
        <w:t>Input to reviewable draft</w:t>
      </w:r>
    </w:p>
    <w:p>
      <w:r>
        <w:t>Chinese text or audio → transcription and correction → structured extraction → evidence links → terminology candidates → rules → clinician editing and confirmation → export. Text bypasses speech recognition. Audio first produces a transcript for correction. Failures retain the job and display a specific reason.</w:t>
      </w:r>
    </w:p>
    <w:p>
      <w:r>
        <w:t>The speech component will initially test a Chinese FunASR model. Automatic speaker roles are optional; unreliable separation requires manual labels. Models and dictionaries are downloaded before an offline demonstration.</w:t>
      </w:r>
    </w:p>
    <w:p>
      <w:r>
        <w:t>Qwen2.5 Instruct is the planned extraction baseline. A quantized 7B version will be tested first, with model size chosen using measured memory and latency. An independent JSON Schema validates the response. One format repair is allowed; a second invalid response stops generation. Model self-reported confidence is not treated as a probability.</w:t>
      </w:r>
    </w:p>
    <w:p>
      <w:pPr>
        <w:pStyle w:val="Heading2"/>
      </w:pPr>
      <w:r>
        <w:t>Field contract and clinician control</w:t>
      </w:r>
    </w:p>
    <w:p>
      <w:r>
        <w:t>Each field carries a normalized value, status, source turn and quotation. Status distinguishes present, negated, unknown and conflicting information. Missing values remain null; numbers and units retain their original meaning. A quotation supports verification but does not by itself establish medical correctness.</w:t>
      </w:r>
    </w:p>
    <w:p>
      <w:r>
        <w:t>Diagnosis terminology retrieval is triggered by content already expressed by the clinician. Candidates include dictionary source and version. Without a verifiable coding source, the system shows terms without fabricated ICD codes. Initial rules cover known allergy matching, duplicate ingredients and incomplete dosage information. Outside coverage or with insufficient information, the result is unknown rather than safe.</w:t>
      </w:r>
    </w:p>
    <w:p>
      <w:r>
        <w:t>The clinician edits fields, inspects evidence and resolves warnings. Confirmation enables JSON and one printable format, recording the version and time. This is a prototype action record without a claim of legally valid electronic signature.</w:t>
      </w:r>
    </w:p>
    <w:p>
      <w:r>
        <w:br w:type="page"/>
      </w:r>
    </w:p>
    <w:p>
      <w:pPr>
        <w:pStyle w:val="Heading1"/>
      </w:pPr>
      <w:r>
        <w:t>3 Data and provenance</w:t>
      </w:r>
    </w:p>
    <w:p>
      <w:pPr>
        <w:pStyle w:val="Heading2"/>
      </w:pPr>
      <w:r>
        <w:t>Sources before generation</w:t>
      </w:r>
    </w:p>
    <w:p>
      <w:r>
        <w:t>Four data types are separated: dialogues, reference field annotations, speech tests and rule dictionaries. Provenance, permissions, availability and quality are checked before inclusion. Medical question answering is not treated as ready-made SOAP supervision. Each case records its source, original ID, version, transformation and split. Variants of one source cannot cross development and test sets.</w:t>
      </w:r>
    </w:p>
    <w:p>
      <w:r>
        <w:t>IMCS-21 is the first candidate: Chinese consultations with a medical report generation task. Its primarily pediatric scope and report format differ from the proposed SOAP contract. Data conditions must be checked and field-to-turn mappings annotated manually. Published benchmark results are not SmartMed results.</w:t>
      </w:r>
    </w:p>
    <w:p>
      <w:r>
        <w:t>DISC-Med-SFT is a supplementary candidate with processed and reconstructed consultations. Huatuo-26M mainly contains medical questions and answers and may support terminology and scenario exploration. Neither provides real consultation audio or an independent project gold standard. A code license does not establish permission for every underlying source.</w:t>
      </w:r>
    </w:p>
    <w:p>
      <w:pPr>
        <w:pStyle w:val="Heading2"/>
      </w:pPr>
      <w:r>
        <w:t>Small first stage evaluation set</w:t>
      </w:r>
    </w:p>
    <w:p>
      <w:r>
        <w:t>The plan is 40 Chinese text cases: 20 for development and 20 frozen for testing. At least 8 test cases cover missing information, negation, contradiction or medication risks. Adapted public cases and team-authored scenarios are labeled separately. If a model helps draft a case, the method is recorded and both facts and reference annotations are checked manually.</w:t>
      </w:r>
    </w:p>
    <w:p>
      <w:r>
        <w:t>Annotations cover symptoms, time, negatives, allergies, medications and explicitly stated doses, with source turns. Both members cross-check annotations and record disagreements. A fluent Chinese reviewer is sought when available; clinical interpretation requires medical expertise. Machine translation is not medical review.</w:t>
      </w:r>
    </w:p>
    <w:p>
      <w:pPr>
        <w:pStyle w:val="Heading2"/>
      </w:pPr>
      <w:r>
        <w:t>Audio and dictionaries</w:t>
      </w:r>
    </w:p>
    <w:p>
      <w:r>
        <w:t>Six simulated Chinese clips of 1–2 minutes are planned, split equally between development and testing, with manual transcripts and roles. Synthetic speech and human readings are labeled separately; they do not represent real clinical acoustics. General speech corpora can provide supplementary tests only.</w:t>
      </w:r>
    </w:p>
    <w:p>
      <w:r>
        <w:t>Medication ingredients, allergy mappings and diagnosis terms use small, traceable versioned dictionaries. Each rule records its source, conditions and coverage. Dose ceilings and complex interactions are excluded without reliable support. No real patient recordings are collected in the first stage.</w:t>
      </w:r>
    </w:p>
    <w:p>
      <w:r>
        <w:br w:type="page"/>
      </w:r>
    </w:p>
    <w:p>
      <w:pPr>
        <w:pStyle w:val="Heading1"/>
      </w:pPr>
      <w:r>
        <w:t>4 Contribution and evaluation</w:t>
      </w:r>
    </w:p>
    <w:p>
      <w:pPr>
        <w:pStyle w:val="Heading2"/>
      </w:pPr>
      <w:r>
        <w:t>Testable scenario contributions</w:t>
      </w:r>
    </w:p>
    <w:p>
      <w:r>
        <w:t>First, each note field links to dialogue evidence on the same screen. Second, negatives, unknowns and conflicts are explicit states that discourage filling gaps by inference. Third, terminology retrieval and deterministic checks follow extraction, with coverage and clinician confirmation integrated into the workflow.</w:t>
      </w:r>
    </w:p>
    <w:p>
      <w:r>
        <w:t>These are proposed engineering contributions requiring validation. Original foundation model research and superiority over clinical products are not claimed. External models, tools and data are credited. The team contribution concerns workflow, contracts, interface, rules and evaluation.</w:t>
      </w:r>
    </w:p>
    <w:p>
      <w:pPr>
        <w:pStyle w:val="Heading2"/>
      </w:pPr>
      <w:r>
        <w:t>Comparison and component analysis</w:t>
      </w:r>
    </w:p>
    <w:p>
      <w:r>
        <w:t>The same frozen text cases compare direct drafting by the existing model with the full workflow. Separate runs remove retrieval or rules to inspect candidate matching and warnings. Model, input, prompt version and configuration remain fixed. Test cases must not be used to tune prompts or select examples.</w:t>
      </w:r>
    </w:p>
    <w:p>
      <w:r>
        <w:t>Audio evaluation compares extraction from manual transcripts with extraction from ASR transcripts to separate recognition and extraction errors. Per-case errors, latency and resource use are retained. Findings from this small simulated set apply only to the tested scenarios.</w:t>
      </w:r>
    </w:p>
    <w:tbl>
      <w:tblPr>
        <w:tblW w:type="auto" w:w="0"/>
        <w:tblLayout w:type="fixed"/>
        <w:tblLook w:firstColumn="1" w:firstRow="1" w:lastColumn="0" w:lastRow="0" w:noHBand="0" w:noVBand="1" w:val="04A0"/>
      </w:tblPr>
      <w:tblGrid>
        <w:gridCol w:w="1984"/>
        <w:gridCol w:w="7654"/>
      </w:tblGrid>
      <w:tr>
        <w:trPr>
          <w:cantSplit/>
          <w:tblHeader/>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Evaluation item</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Method</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Field extraction</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P, R and F1 using predefined field/value matching; negatives and doses reported separately.</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Facts and evidence</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Manual counts of unsupported facts, correct evidence links and correctly retained unknowns.</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Dictionary and rules</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Candidate hits and warning correctness within coverage; uncovered and insufficient cases reported separately.</w:t>
            </w:r>
          </w:p>
        </w:tc>
      </w:tr>
      <w:tr>
        <w:trPr>
          <w:cantSplit/>
        </w:trPr>
        <w:tc>
          <w:tcPr>
            <w:tcW w:type="dxa" w:w="198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Speech and workflow</w:t>
            </w:r>
          </w:p>
        </w:tc>
        <w:tc>
          <w:tcPr>
            <w:tcW w:type="dxa" w:w="7654"/>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CER against manual transcripts; DER only with reference roles; confirmation and export checks.</w:t>
            </w:r>
          </w:p>
        </w:tc>
      </w:tr>
    </w:tbl>
    <w:p>
      <w:pPr>
        <w:spacing w:after="0"/>
      </w:pPr>
    </w:p>
    <w:p>
      <w:pPr>
        <w:pStyle w:val="Heading2"/>
      </w:pPr>
      <w:r>
        <w:t>Acceptance conditions</w:t>
      </w:r>
    </w:p>
    <w:p>
      <w:r>
        <w:t>Three Chinese scenarios must complete the workflow: normal documentation, allergy and missing information. Invalid JSON cannot reach confirmation; absent doses remain unknown in targeted tests; unconfirmed drafts cannot be exported as confirmed notes. Numerical results are filled after experiments. No F1, speed or time-saving percentage is promised in advance.</w:t>
      </w:r>
    </w:p>
    <w:p>
      <w:r>
        <w:br w:type="page"/>
      </w:r>
    </w:p>
    <w:p>
      <w:pPr>
        <w:pStyle w:val="Heading1"/>
      </w:pPr>
      <w:r>
        <w:t>5 First stage implementation and demonstration</w:t>
      </w:r>
    </w:p>
    <w:p>
      <w:r>
        <w:t>The development window is 4–9 October 2026. The official notice sets campus selection completion by 10 October; the internal submission time must be checked with the institution. Regional registration and payment close at 20:00 on 15 October. Regional and national preparations are subsequent iterations, rather than a December deadline for the current submission.</w:t>
      </w:r>
    </w:p>
    <w:tbl>
      <w:tblPr>
        <w:tblW w:type="auto" w:w="0"/>
        <w:tblLayout w:type="fixed"/>
        <w:tblLook w:firstColumn="1" w:firstRow="1" w:lastColumn="0" w:lastRow="0" w:noHBand="0" w:noVBand="1" w:val="04A0"/>
      </w:tblPr>
      <w:tblGrid>
        <w:gridCol w:w="1191"/>
        <w:gridCol w:w="2863"/>
        <w:gridCol w:w="2863"/>
        <w:gridCol w:w="2721"/>
      </w:tblGrid>
      <w:tr>
        <w:trPr>
          <w:cantSplit/>
          <w:tblHeader/>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Date</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Member A</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Member B</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shd w:fill="F2F2F2"/>
          </w:tcPr>
          <w:p>
            <w:pPr>
              <w:spacing w:after="40" w:line="254" w:lineRule="auto"/>
            </w:pPr>
            <w:r>
              <w:rPr>
                <w:b/>
                <w:sz w:val="19"/>
              </w:rPr>
              <w:t>Deliverable</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4–5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Field contract and annotations; development and frozen test cases</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Service and interface; shared source review and 10 case checks</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Runnable scaffold and versioned data</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6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Extraction, Schema and evidence links</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Audio and ASR; dictionaries and initial rules</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Text draft and audio input</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7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Error analysis and frozen evaluation settings</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Review, confirmation, export and integration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Three complete scenarios</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8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Experiments and actual results</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Repeat tests, failure recovery and offline run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Results and error list</w:t>
            </w:r>
          </w:p>
        </w:tc>
      </w:tr>
      <w:tr>
        <w:trPr>
          <w:cantSplit/>
        </w:trPr>
        <w:tc>
          <w:tcPr>
            <w:tcW w:type="dxa" w:w="119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9 October</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Chinese proposal, presentation content and submission package</w:t>
            </w:r>
          </w:p>
        </w:tc>
        <w:tc>
          <w:tcPr>
            <w:tcW w:type="dxa" w:w="2863"/>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Chinese video and packaged launch verification</w:t>
            </w:r>
          </w:p>
        </w:tc>
        <w:tc>
          <w:tcPr>
            <w:tcW w:type="dxa" w:w="2721"/>
            <w:tcMar>
              <w:top w:w="85" w:type="dxa"/>
              <w:left w:w="85" w:type="dxa"/>
              <w:bottom w:w="85" w:type="dxa"/>
              <w:right w:w="85" w:type="dxa"/>
            </w:tcMar>
            <w:tcBorders>
              <w:top w:val="single" w:sz="4" w:color="D2D2D2"/>
              <w:left w:val="single" w:sz="4" w:color="D2D2D2"/>
              <w:bottom w:val="single" w:sz="4" w:color="D2D2D2"/>
              <w:right w:val="single" w:sz="4" w:color="D2D2D2"/>
            </w:tcBorders>
          </w:tcPr>
          <w:p>
            <w:pPr>
              <w:spacing w:after="40" w:line="254" w:lineRule="auto"/>
            </w:pPr>
            <w:r>
              <w:rPr>
                <w:b w:val="0"/>
                <w:sz w:val="19"/>
              </w:rPr>
              <w:t>Video and materials</w:t>
            </w:r>
          </w:p>
        </w:tc>
      </w:tr>
    </w:tbl>
    <w:p>
      <w:pPr>
        <w:spacing w:after="0"/>
      </w:pPr>
    </w:p>
    <w:p>
      <w:pPr>
        <w:pStyle w:val="Heading2"/>
      </w:pPr>
      <w:r>
        <w:t>Demonstration</w:t>
      </w:r>
    </w:p>
    <w:p>
      <w:r>
        <w:t>The target video length is about four minutes. A normal case shows Chinese input, fields and evidence; an allergy case shows rules; an incomplete case shows unknown values and clinician correction. Confirmation, export and actual evaluation results conclude the demonstration. Editing must not conceal model failures or latency.</w:t>
      </w:r>
    </w:p>
    <w:p>
      <w:pPr>
        <w:pStyle w:val="Heading2"/>
      </w:pPr>
      <w:r>
        <w:t>Materials and resources</w:t>
      </w:r>
    </w:p>
    <w:p>
      <w:r>
        <w:t>The package includes a Chinese technical proposal PDF, Chinese MP4, presentation exported to PDF, code, instructions, model versions, a data manifest and evaluation scripts. Partnership, patent and pilot evidence is supplied only when genuine and available.</w:t>
      </w:r>
    </w:p>
    <w:p>
      <w:r>
        <w:t>Sequential processing is initially tested on a device with 16 GB memory. Peak memory after model loading and latency are measured; model size and input length can be reduced. Purchasing GPUs or renting training resources is not a prerequisite. Launch instructions record versions, model downloads and failure handling.</w:t>
      </w:r>
    </w:p>
    <w:p>
      <w:r>
        <w:br w:type="page"/>
      </w:r>
    </w:p>
    <w:p>
      <w:pPr>
        <w:pStyle w:val="Heading1"/>
      </w:pPr>
      <w:r>
        <w:t>6 Value risks and development</w:t>
      </w:r>
    </w:p>
    <w:p>
      <w:r>
        <w:t>Expected value is assistance with organizing consultation content and checking the basis of a note. Time savings, fewer omissions and clinical suitability require subsequent user studies and medical validation. Simulated tests do not replace clinical research or establish diagnostic and medication safety.</w:t>
      </w:r>
    </w:p>
    <w:p>
      <w:r>
        <w:t>An initial deployment path is educational and simulated documentation, followed by Chinese medical review and controlled trials before hospital interfaces are considered. Deployment and maintenance services are a possible commercial hypothesis; pricing, procurement and revenue are unvalidated.</w:t>
      </w:r>
    </w:p>
    <w:p>
      <w:pPr>
        <w:pStyle w:val="Heading2"/>
      </w:pPr>
      <w:r>
        <w:t>Risks and extension conditions</w:t>
      </w:r>
    </w:p>
    <w:p>
      <w:r>
        <w:t>Chinese medical expressions require source quotations, cross-checking and Chinese review. ASR may alter a negative or dose, so critical fields must link back to the input. Limited rules explicitly show unknown states. Sources with unclear permissions do not enter the formal dataset; real data will need a separate authorization and protection process.</w:t>
      </w:r>
    </w:p>
    <w:p>
      <w:r>
        <w:t>After the first stage, error frequency determines priorities: improve data and prompts first, then expand retrieval. Fine tuning is considered only with sufficient permitted dialogue and field annotations, a completed baseline and suitable resources. Larger tests, reliable speaker roles and real integrations remain future work.</w:t>
      </w:r>
    </w:p>
    <w:p>
      <w:pPr>
        <w:pStyle w:val="Heading2"/>
      </w:pPr>
      <w:r>
        <w:t>References</w:t>
      </w:r>
    </w:p>
    <w:p>
      <w:pPr>
        <w:keepLines/>
      </w:pPr>
      <w:r>
        <w:rPr>
          <w:sz w:val="18"/>
        </w:rPr>
        <w:t>Official notice and material requirements</w:t>
        <w:br/>
        <w:t>https://www.aicomp.cn/notice/notice-1/3674.html</w:t>
        <w:br/>
        <w:t>https://www.aicomp.cn/tracks/tracks-2/3775.html</w:t>
      </w:r>
    </w:p>
    <w:p>
      <w:pPr>
        <w:keepLines/>
      </w:pPr>
      <w:r>
        <w:rPr>
          <w:sz w:val="18"/>
        </w:rPr>
        <w:t>IMCS-21 Data and research implementation</w:t>
        <w:br/>
        <w:t>https://github.com/lemuria-wchen/imcs21</w:t>
      </w:r>
    </w:p>
    <w:p>
      <w:pPr>
        <w:keepLines/>
      </w:pPr>
      <w:r>
        <w:rPr>
          <w:sz w:val="18"/>
        </w:rPr>
        <w:t>Supplementary candidates DISC-MedLLM and Huatuo-26M</w:t>
        <w:br/>
        <w:t>https://github.com/FudanDISC/DISC-MedLLM</w:t>
        <w:br/>
        <w:t>https://github.com/FreedomIntelligence/Huatuo-26M</w:t>
      </w:r>
    </w:p>
    <w:p>
      <w:pPr>
        <w:keepLines/>
      </w:pPr>
      <w:r>
        <w:rPr>
          <w:sz w:val="18"/>
        </w:rPr>
        <w:t>Planned foundation model and speech tool</w:t>
        <w:br/>
        <w:t>https://huggingface.co/Qwen/Qwen2.5-7B-Instruct</w:t>
        <w:br/>
        <w:t>https://github.com/modelscope/FunASR</w:t>
      </w:r>
    </w:p>
    <w:p>
      <w:r>
        <w:t>Sources checked on 4 October 2026. Dataset inclusion remains subject to permission and sample review.</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Noto Sans CJK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cstheme="majorBidi" w:ascii="Arial" w:hAnsi="Arial"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cstheme="majorBidi" w:ascii="Arial" w:hAnsi="Arial" w:eastAsia="Noto Sans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Arial" w:hAnsi="Arial" w:eastAsia="Noto Sans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clinical documentation assistant</dc:title>
  <dc:subject>SmartMed technical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