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智录门诊病历助手</w:t>
      </w:r>
    </w:p>
    <w:p>
      <w:pPr>
        <w:pStyle w:val="Subtitle"/>
      </w:pPr>
      <w:r>
        <w:t>SmartMed 技术方案</w:t>
      </w:r>
    </w:p>
    <w:p>
      <w:r>
        <w:t>第八届全球校园人工智能算法精英大赛</w:t>
        <w:br/>
        <w:t>算法创新赛道 赛题4 AI+场景创新</w:t>
        <w:br/>
        <w:t>2026年10月4日</w:t>
      </w:r>
    </w:p>
    <w:p>
      <w:pPr>
        <w:pStyle w:val="Heading1"/>
      </w:pPr>
      <w:r>
        <w:t>1 项目概述</w:t>
      </w:r>
    </w:p>
    <w:p>
      <w:pPr>
        <w:pStyle w:val="Heading2"/>
      </w:pPr>
      <w:r>
        <w:t>作品简介</w:t>
      </w:r>
    </w:p>
    <w:p>
      <w:r>
        <w:t>本项目面向中文门诊沟通后的病历整理场景，拟将医患对话转为可追溯的结构化病历草稿。系统结合中文语音识别、现成大语言模型、术语检索与确定性规则，为关键字段关联原文证据，对缺失信息保留空值，并提示过敏、重复成分及用药信息不完整等问题。医生核对后方可导出。首阶段拟完成本地运行的中文演示与独立测试，验证记录完整性、事实一致性和流程可靠性；临床效果尚待后续验证。</w:t>
      </w:r>
    </w:p>
    <w:p>
      <w:pPr>
        <w:pStyle w:val="Heading2"/>
      </w:pPr>
      <w:r>
        <w:t>场景与用户需求</w:t>
      </w:r>
    </w:p>
    <w:p>
      <w:r>
        <w:t>目标用户是在门诊完成沟通后整理病历的医生。对话中的症状、时长、否认项、既往史和药物信息分散在多个轮次，整理时需要反复查找原文。系统拟提供同屏对照：左侧显示对话与音频片段，右侧显示结构化草稿、证据定位和待确认事项。</w:t>
      </w:r>
    </w:p>
    <w:p>
      <w:r>
        <w:t>首阶段限定为模拟中文门诊记录，先验证文本输入，再接入短音频文件。主观资料、客观资料、医生已表达的评估以及计划按SOAP结构组织。未在输入中出现的诊断、检查结果和治疗方案不得由模型补写。</w:t>
      </w:r>
    </w:p>
    <w:p>
      <w:pPr>
        <w:pStyle w:val="Heading2"/>
      </w:pPr>
      <w:r>
        <w:t>阶段目标与实施边界</w:t>
      </w:r>
    </w:p>
    <w:p>
      <w:r>
        <w:t>截至本方案编写时，尚无本项目的实测指标或临床试点结果。首阶段交付目标为可重复演示的原型、冻结的测试集、评测脚本及真实结果表。现成模型负责抽取，工程创新重点为证据关联、缺失信息处理、规则检查和医生确认闭环。</w:t>
      </w:r>
    </w:p>
    <w:p>
      <w:r>
        <w:t>首阶段不依赖模型微调、实时多人语音分离、完整药物知识图谱或医院系统集成。后续扩展必须以错误分析、数据使用条件和算力测试为依据。</w:t>
      </w:r>
    </w:p>
    <w:p>
      <w:r>
        <w:br w:type="page"/>
      </w:r>
    </w:p>
    <w:p>
      <w:pPr>
        <w:pStyle w:val="Heading1"/>
      </w:pPr>
      <w:r>
        <w:t>2 系统架构与处理流程</w:t>
      </w:r>
    </w:p>
    <w:p>
      <w:r>
        <w:t>采用单一中文网页与一个后端服务。前端拟使用React和TypeScript，后端拟使用FastAPI，SQLite保存任务、草稿版本和确认记录；音频及数据文件保存在本地。后端按明确状态组织流程，模型通过适配器接入，避免在首阶段增加分布式部署负担。</w:t>
      </w:r>
    </w:p>
    <w:p>
      <w:pPr>
        <w:pStyle w:val="Heading2"/>
      </w:pPr>
      <w:r>
        <w:t>从输入到可核对草稿</w:t>
      </w:r>
    </w:p>
    <w:p>
      <w:r>
        <w:t>中文对话或音频文件 → 转写及人工校正 → 结构化抽取 → 字段与原文关联 → 术语候选检索 → 规则检查 → 医生编辑确认 → 导出。文本输入可直接进入抽取阶段；音频需先展示转写供用户校正。任何环节失败均保留当前任务并显示具体原因。</w:t>
      </w:r>
    </w:p>
    <w:p>
      <w:r>
        <w:t>语音模块拟先测试FunASR中文模型。说话人识别为可选项；如果无法可靠区分医生与患者，界面要求人工标注，不能把自动分离作为必达指标。演示所需模型与词表预先下载，以验证断网运行路径。</w:t>
      </w:r>
    </w:p>
    <w:p>
      <w:r>
        <w:t>抽取模块拟以Qwen2.5 Instruct作为基线，优先测试量化7B版本，并根据本地内存和时延结果选择更小模型。输出由独立的JSON Schema校验，最多进行一次格式修复；修复失败则停止生成并提示错误。模型自报置信度不作为通过条件。</w:t>
      </w:r>
    </w:p>
    <w:p>
      <w:pPr>
        <w:pStyle w:val="Heading2"/>
      </w:pPr>
      <w:r>
        <w:t>数据契约与医生控制</w:t>
      </w:r>
    </w:p>
    <w:p>
      <w:r>
        <w:t>字段包含规范化值、状态、来源轮次及原文片段。状态区分已提及、否认、未知和冲突；未提供的数据保留null。数字及单位须保留原值。证据定位只能说明字段可核对，不能单独证明其医学正确性。</w:t>
      </w:r>
    </w:p>
    <w:p>
      <w:r>
        <w:t>诊断术语由医生已表达的内容触发检索，并展示词表来源和版本。没有可核实的编码来源时仅展示术语候选，不生成虚假ICD编码。首阶段规则覆盖已知过敏与成分匹配、重复成分及剂量信息缺失；未覆盖或信息不足显示“未知”，不能显示“安全”。</w:t>
      </w:r>
    </w:p>
    <w:p>
      <w:r>
        <w:t>医生可编辑草稿、查看证据和处理提示。确认后导出JSON与一种可打印病历格式，记录草稿版本和确认时间。该确认属于原型操作记录，不宣称具备法律电子签名效力。</w:t>
      </w:r>
    </w:p>
    <w:p>
      <w:r>
        <w:br w:type="page"/>
      </w:r>
    </w:p>
    <w:p>
      <w:pPr>
        <w:pStyle w:val="Heading1"/>
      </w:pPr>
      <w:r>
        <w:t>3 数据方案与来源</w:t>
      </w:r>
    </w:p>
    <w:p>
      <w:pPr>
        <w:pStyle w:val="Heading2"/>
      </w:pPr>
      <w:r>
        <w:t>先选择来源 再补充案例</w:t>
      </w:r>
    </w:p>
    <w:p>
      <w:r>
        <w:t>数据分为对话样本、结构化标注、语音测试及术语规则四类。先检查来源、许可、内容质量和可下载性，再确定使用范围；不直接将大规模医疗问答当作SOAP训练集。每条样本记录来源、原始编号、版本、处理方式与分组，禁止同源改写样本跨开发集和测试集。</w:t>
      </w:r>
    </w:p>
    <w:p>
      <w:r>
        <w:t>优先检查IMCS-21。该研究提供中文医疗咨询与报告生成任务，适合观察对话到报告的映射，但主要覆盖儿科疾病，报告结构也不等于本项目SOAP契约。选用前需核对数据使用条件，并人工建立字段与证据标注。外部结果不得作为本项目成绩。</w:t>
      </w:r>
    </w:p>
    <w:p>
      <w:r>
        <w:t>DISC-Med-SFT作为补充候选，其数据包含加工重构的咨询内容；Huatuo-26M主要为医疗问答，适合术语和场景参考。两者不能直接作为真实录音、独立人工金标准或本项目临床证据。代码许可不能替代所有原始数据的使用授权。</w:t>
      </w:r>
    </w:p>
    <w:p>
      <w:pPr>
        <w:pStyle w:val="Heading2"/>
      </w:pPr>
      <w:r>
        <w:t>首阶段小规模评测集</w:t>
      </w:r>
    </w:p>
    <w:p>
      <w:r>
        <w:t>拟整理40个中文文本案例，其中20个用于开发、20个作为冻结测试；测试集至少8个覆盖缺失信息、否认项、矛盾或药物风险。公开来源适配案例与团队编写案例分别标记。若使用生成模型辅助起草，仍须人工核对事实和金标准，并记录生成方式。</w:t>
      </w:r>
    </w:p>
    <w:p>
      <w:r>
        <w:t>对照标注至少覆盖症状、时间、否认项、过敏、药物名称与明确出现的剂量，附来源轮次。两名成员交叉复核；分歧单独记录。具备条件时邀请中文熟练者核对语言，临床解释仍需医学背景人员验证，不将机器翻译视为医学审查。</w:t>
      </w:r>
    </w:p>
    <w:p>
      <w:pPr>
        <w:pStyle w:val="Heading2"/>
      </w:pPr>
      <w:r>
        <w:t>音频与规则数据</w:t>
      </w:r>
    </w:p>
    <w:p>
      <w:r>
        <w:t>拟准备6段1至2分钟中文模拟音频，开发与测试各3段，保留人工转写和角色标注。合成语音与人工朗读分别记录，不宣称代表真实门诊声学条件。通用语音库可作辅助测试，但不能替代医疗用语测试。</w:t>
      </w:r>
    </w:p>
    <w:p>
      <w:r>
        <w:t>药物成分、过敏映射和诊断术语使用小规模、可溯源、带版本的词表。每条规则记录来源、适用条件及覆盖范围；没有可靠依据时不增加剂量上限或复杂相互作用判断。首阶段不采集真实患者录音。</w:t>
      </w:r>
    </w:p>
    <w:p>
      <w:r>
        <w:br w:type="page"/>
      </w:r>
    </w:p>
    <w:p>
      <w:pPr>
        <w:pStyle w:val="Heading1"/>
      </w:pPr>
      <w:r>
        <w:t>4 创新点与验证方法</w:t>
      </w:r>
    </w:p>
    <w:p>
      <w:pPr>
        <w:pStyle w:val="Heading2"/>
      </w:pPr>
      <w:r>
        <w:t>可验证的场景贡献</w:t>
      </w:r>
    </w:p>
    <w:p>
      <w:r>
        <w:t>第一，病历字段与对话证据同屏关联，使使用者能逐项追溯。第二，将否认、未知与矛盾作为显式状态，减少模型在信息缺失时自动补写。第三，将术语检索和确定性检查放在模型输出之后，并把覆盖范围与医生确认纳入统一流程。</w:t>
      </w:r>
    </w:p>
    <w:p>
      <w:r>
        <w:t>上述内容是拟验证的工程与场景贡献。方案不主张原创基础模型，也不声称已优于成熟临床产品。模型、工具和数据来源单独列明；团队贡献集中在流程、数据契约、界面、规则及评测。</w:t>
      </w:r>
    </w:p>
    <w:p>
      <w:pPr>
        <w:pStyle w:val="Heading2"/>
      </w:pPr>
      <w:r>
        <w:t>对比与消融设计</w:t>
      </w:r>
    </w:p>
    <w:p>
      <w:r>
        <w:t>在同一冻结文本集比较现成模型直接生成草稿与完整流程。另移除术语检索或规则检查，观察候选匹配和风险提示变化。保留相同模型、输入、提示版本和运行配置；冻结测试集不得用于修改提示或补充示例。</w:t>
      </w:r>
    </w:p>
    <w:p>
      <w:r>
        <w:t>语音测试分别评估人工转写输入与ASR转写输入，以区分抽取错误和语音错误。记录逐案例错误、时延与资源使用，不仅报告平均值。模拟集规模有限，评测结论仅适用于所测场景。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验证项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计算或检查方法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字段抽取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按预先定义的字段和值匹配计算P、R、F1，并单独报告否认项和剂量。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事实与证据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人工核对无依据事实数量、证据准确率以及缺失字段是否保留未知。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词表与规则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在已覆盖条目上统计候选命中与提示正确性；另报未覆盖和信息不足。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语音与流程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人工转写计算CER；仅有角色金标准时计算DER；检查确认和导出路径。</w:t>
            </w:r>
          </w:p>
        </w:tc>
      </w:tr>
    </w:tbl>
    <w:p>
      <w:pPr>
        <w:spacing w:after="0"/>
      </w:pPr>
    </w:p>
    <w:p>
      <w:pPr>
        <w:pStyle w:val="Heading2"/>
      </w:pPr>
      <w:r>
        <w:t>验收门槛</w:t>
      </w:r>
    </w:p>
    <w:p>
      <w:r>
        <w:t>正常记录、过敏提示和信息缺失三个中文场景须完成端到端演示；无法解析的输出不能进入确认状态；输入未提及的剂量在专项测试中须保留未知；未确认草稿不能作为已确认病历导出。质量指标在实验后据实填写，目前不承诺特定F1、速度或节时比例。</w:t>
      </w:r>
    </w:p>
    <w:p>
      <w:r>
        <w:br w:type="page"/>
      </w:r>
    </w:p>
    <w:p>
      <w:pPr>
        <w:pStyle w:val="Heading1"/>
      </w:pPr>
      <w:r>
        <w:t>5 首阶段实施与演示</w:t>
      </w:r>
    </w:p>
    <w:p>
      <w:r>
        <w:t>开发窗口为2026年10月4日至9日，围绕一个可运行闭环交付。校赛完成节点按官方通知为10月10日，具体校内提交时间仍以学校通知为准；区域赛报名及缴费截止为10月15日20时。后续区域赛与国赛准备另行迭代，不把12月作为当前比赛交付节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2863"/>
        <w:gridCol w:w="2863"/>
        <w:gridCol w:w="2721"/>
      </w:tblGrid>
      <w:tr>
        <w:trPr>
          <w:cantSplit/>
          <w:tblHeader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成员A主要工作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成员B主要工作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交付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10月4日至5日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固定字段契约与标注规范；整理开发集及冻结测试集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搭建服务和网页；共同检查数据来源及10个案例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可运行骨架与版本化数据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10月6日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接入抽取模型、Schema校验及证据关联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短音频与ASR；术语词表和首批规则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文本草稿与音频输入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10月7日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排查抽取错误并冻结评测配置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完成证据核对、医生确认和导出；联调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三类场景闭环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10月8日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运行对比实验并编写实际结果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复测流程、失败恢复与断网演示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结果表与错误清单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10月9日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整理中文方案、答辩内容与提交包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录制中文演示并核验打包运行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演示视频与提交材料</w:t>
            </w:r>
          </w:p>
        </w:tc>
      </w:tr>
    </w:tbl>
    <w:p>
      <w:pPr>
        <w:spacing w:after="0"/>
      </w:pPr>
    </w:p>
    <w:p>
      <w:pPr>
        <w:pStyle w:val="Heading2"/>
      </w:pPr>
      <w:r>
        <w:t>演示安排</w:t>
      </w:r>
    </w:p>
    <w:p>
      <w:r>
        <w:t>视频目标时长约4分钟。先用正常案例展示中文输入、病历字段和原文证据，再用过敏案例展示规则提示，最后用信息缺失案例展示未知状态和医生补充。结尾展示确认、导出与真实评测结果；不以剪辑掩盖模型失败或时延。</w:t>
      </w:r>
    </w:p>
    <w:p>
      <w:pPr>
        <w:pStyle w:val="Heading2"/>
      </w:pPr>
      <w:r>
        <w:t>交付内容与资源</w:t>
      </w:r>
    </w:p>
    <w:p>
      <w:r>
        <w:t>提交材料包括中文技术方案PDF、中文演示MP4、答辩PPT导出的PDF，以及代码、说明、模型版本、数据清单和评测脚本。根据实际情况提供真实佐证材料，不编造医院合作、专利或试点证明。</w:t>
      </w:r>
    </w:p>
    <w:p>
      <w:r>
        <w:t>本地资源先按16GB内存设备进行顺序任务测试，记录模型载入后的峰值内存与时延。必要时缩小模型和输入长度；首阶段不默认购买GPU或租用云训练资源。运行说明须列出软件版本、模型下载步骤和失败处理方法。</w:t>
      </w:r>
    </w:p>
    <w:p>
      <w:r>
        <w:br w:type="page"/>
      </w:r>
    </w:p>
    <w:p>
      <w:pPr>
        <w:pStyle w:val="Heading1"/>
      </w:pPr>
      <w:r>
        <w:t>6 应用价值与发展计划</w:t>
      </w:r>
    </w:p>
    <w:p>
      <w:r>
        <w:t>预期价值是帮助医生整理沟通内容并核对记录依据。是否节约时间、减少遗漏及适合临床使用，需要通过后续用户测试和医学验证确认；当前模拟评测不能替代临床试验，也不能证明诊断或用药安全。</w:t>
      </w:r>
    </w:p>
    <w:p>
      <w:r>
        <w:t>推广路径拟从教学或模拟记录工具开始，经过中文医学人员审核和受控试用，再讨论医院系统接口。商业形态可探索部署及维护服务，但收费、采购和收益均未得到验证。</w:t>
      </w:r>
    </w:p>
    <w:p>
      <w:pPr>
        <w:pStyle w:val="Heading2"/>
      </w:pPr>
      <w:r>
        <w:t>主要风险与迭代条件</w:t>
      </w:r>
    </w:p>
    <w:p>
      <w:r>
        <w:t>中文医学表达与团队语言能力存在差距，需保留原文、交叉复核并寻求中文审核。ASR错误可能改变否认词或剂量，因此关键字段必须可回看；规则覆盖有限，明确显示未知。数据许可不明的来源不进入正式数据包，未来真实数据需要另外建立授权和保护流程。</w:t>
      </w:r>
    </w:p>
    <w:p>
      <w:r>
        <w:t>首阶段后按错误频率决定改进顺序：先修正数据与提示，再评估检索扩展；只有在足够数量、许可明确的对话与字段标注可用、基线已完成且算力满足时，才考虑微调。更大规模测试、可靠说话人识别和真实业务接口列为后续工作。</w:t>
      </w:r>
    </w:p>
    <w:p>
      <w:pPr>
        <w:pStyle w:val="Heading2"/>
      </w:pPr>
      <w:r>
        <w:t>参考来源</w:t>
      </w:r>
    </w:p>
    <w:p>
      <w:pPr>
        <w:keepLines/>
      </w:pPr>
      <w:r>
        <w:rPr>
          <w:sz w:val="18"/>
        </w:rPr>
        <w:t>赛事通知与材料规范</w:t>
        <w:br/>
        <w:t>https://www.aicomp.cn/notice/notice-1/3674.html</w:t>
        <w:br/>
        <w:t>https://www.aicomp.cn/tracks/tracks-2/3775.html</w:t>
      </w:r>
    </w:p>
    <w:p>
      <w:pPr>
        <w:keepLines/>
      </w:pPr>
      <w:r>
        <w:rPr>
          <w:sz w:val="18"/>
        </w:rPr>
        <w:t>IMCS-21 数据与研究实现</w:t>
        <w:br/>
        <w:t>https://github.com/lemuria-wchen/imcs21</w:t>
      </w:r>
    </w:p>
    <w:p>
      <w:pPr>
        <w:keepLines/>
      </w:pPr>
      <w:r>
        <w:rPr>
          <w:sz w:val="18"/>
        </w:rPr>
        <w:t>补充数据候选 DISC-MedLLM 与 Huatuo-26M</w:t>
        <w:br/>
        <w:t>https://github.com/FudanDISC/DISC-MedLLM</w:t>
        <w:br/>
        <w:t>https://github.com/FreedomIntelligence/Huatuo-26M</w:t>
      </w:r>
    </w:p>
    <w:p>
      <w:pPr>
        <w:keepLines/>
      </w:pPr>
      <w:r>
        <w:rPr>
          <w:sz w:val="18"/>
        </w:rPr>
        <w:t>拟采用的基础模型与语音工具</w:t>
        <w:br/>
        <w:t>https://huggingface.co/Qwen/Qwen2.5-7B-Instruct</w:t>
        <w:br/>
        <w:t>https://github.com/modelscope/FunASR</w:t>
      </w:r>
    </w:p>
    <w:p>
      <w:r>
        <w:t>参考来源检查日期为2026年10月4日。数据是否纳入项目以实际许可核查和样本检查结果为准。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Noto Sans CJK SC" w:hAnsi="Noto Sans CJK SC" w:eastAsia="Noto Sans CJK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cstheme="majorBidi" w:ascii="Noto Sans CJK SC" w:hAnsi="Noto Sans CJK SC" w:eastAsia="Noto Sans CJK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cstheme="majorBidi" w:ascii="Noto Sans CJK SC" w:hAnsi="Noto Sans CJK SC" w:eastAsia="Noto Sans CJK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Noto Sans CJK SC" w:hAnsi="Noto Sans CJK SC" w:eastAsia="Noto Sans CJK SC"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智录门诊病历助手</dc:title>
  <dc:subject>SmartMed technical proposal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