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Ассистент подготовки амбулаторной записи</w:t>
      </w:r>
    </w:p>
    <w:p>
      <w:pPr>
        <w:pStyle w:val="Subtitle"/>
      </w:pPr>
      <w:r>
        <w:t>SmartMed Техническое предложение</w:t>
      </w:r>
    </w:p>
    <w:p>
      <w:r>
        <w:t>Восьмой Global Campus Artificial Intelligence Algorithm Elite Competition</w:t>
        <w:br/>
        <w:t>Алгоритмический трек Тема 4 AI+场景创新</w:t>
        <w:br/>
        <w:t>5 октября 2026 года</w:t>
      </w:r>
    </w:p>
    <w:p>
      <w:pPr>
        <w:pStyle w:val="Heading1"/>
      </w:pPr>
      <w:r>
        <w:t>1 Обзор проекта</w:t>
      </w:r>
    </w:p>
    <w:p>
      <w:pPr>
        <w:pStyle w:val="Heading2"/>
      </w:pPr>
      <w:r>
        <w:t>Описание для заявки</w:t>
      </w:r>
    </w:p>
    <w:p>
      <w:r>
        <w:t>SmartMed предназначен для подготовки проверяемого черновика медицинской записи по китайскому диалогу врача и пациента. Планируется объединить распознавание речи, готовую языковую модель, поиск терминов и детерминированные проверки. Каждое существенное поле связывается с исходной репликой; отсутствующие сведения остаются неизвестными. Система показывает возможную аллергию, повторяющиеся действующие вещества и неполные сведения о лекарствах. Экспорт следует после проверки врачом. Первый этап включает локальную демонстрацию на китайском и независимое тестирование. Клинический эффект пока не подтверждён.</w:t>
      </w:r>
    </w:p>
    <w:p>
      <w:pPr>
        <w:pStyle w:val="Heading2"/>
      </w:pPr>
      <w:r>
        <w:t>Сценарий и потребность</w:t>
      </w:r>
    </w:p>
    <w:p>
      <w:r>
        <w:t>Пользователь — врач, оформляющий запись после приёма. Симптомы, длительность, отрицания, анамнез и сведения о лекарствах распределены по репликам; при подготовке записи приходится искать их в разговоре. Предлагается общий экран: слева диалог и фрагменты аудио, справа поля черновика, ссылки на доказательства и вопросы для уточнения.</w:t>
      </w:r>
    </w:p>
    <w:p>
      <w:r>
        <w:t>Первый этап ограничен моделируемыми китайскими приёмами. Сначала проверяется текстовый ввод, затем короткие аудиофайлы. Структура SOAP содержит субъективные сведения, объективные данные, уже высказанную врачом оценку и план. Модель не должна дописывать диагнозы, результаты обследований или лечение, которых нет во входе.</w:t>
      </w:r>
    </w:p>
    <w:p>
      <w:pPr>
        <w:pStyle w:val="Heading2"/>
      </w:pPr>
      <w:r>
        <w:t>Цель первого этапа</w:t>
      </w:r>
    </w:p>
    <w:p>
      <w:r>
        <w:t>На 5 октября реализованы локальное извлечение Qwen3.5 4B, проверки Instructor и Pydantic, версии SQLite, редактирование, подтверждение и JSON-экспорт. Проведены сравнение четырёх Qwen и регрессия известных ошибок. API извлекает шесть фактов; полный SOAP, аудиоинтерфейс, поиск терминов и проверки назначений ещё разрабатываются. Клинического пилота и медицинской проверки нет.</w:t>
      </w:r>
    </w:p>
    <w:p>
      <w:pPr>
        <w:pStyle w:val="Heading2"/>
      </w:pPr>
      <w:r>
        <w:t>Команда и границы проверки</w:t>
      </w:r>
    </w:p>
    <w:p>
      <w:r>
        <w:t>В команде два разработчика. Участник A отвечает за бэкенд, модель, контракт, проверки и хранение. Участник B — за аудио, интерфейс, примеры и материалы; случаи проверяются совместно. Врача или клинического консультанта в команде нет. Демо выполняют разработчики на моделируемых случаях; подтверждение не считается проверкой врачом.</w:t>
      </w:r>
    </w:p>
    <w:p>
      <w:pPr>
        <w:pStyle w:val="Heading1"/>
        <w:pageBreakBefore/>
      </w:pPr>
      <w:r>
        <w:t>2 Архитектура и обработка</w:t>
      </w:r>
    </w:p>
    <w:p>
      <w:r>
        <w:t>Одна китайская веб-панель и один backend. Планируемый стек: React и TypeScript для интерфейса, FastAPI для сервиса, SQLite для задач, версий черновика и подтверждений. Аудио и наборы данных хранятся локально. Backend ведёт явные состояния процесса, а модели подключаются через адаптеры.</w:t>
      </w:r>
    </w:p>
    <w:p>
      <w:pPr>
        <w:pStyle w:val="Heading2"/>
      </w:pPr>
      <w:r>
        <w:t>Путь от ввода до черновика</w:t>
      </w:r>
    </w:p>
    <w:p>
      <w:r>
        <w:t>Китайский текст или аудиофайл → транскрипция и исправление → извлечение полей → привязка к репликам → поиск терминов → проверки → редактирование и подтверждение врачом → экспорт. Текст сразу поступает на извлечение. Для аудио сначала показывается распознанный текст. Ошибка сохраняет текущую задачу и объясняется пользователю.</w:t>
      </w:r>
    </w:p>
    <w:p>
      <w:r>
        <w:t>Для речи сначала проверяется китайская модель FunASR. Автоматические роли говорящих опциональны: при ненадёжном разделении интерфейс требует ручной разметки. Для проверки работы без сети модели и словари загружаются заранее.</w:t>
      </w:r>
    </w:p>
    <w:p>
      <w:r>
        <w:t>Текущая модель — локальная квантованная Qwen3.5 4B без вывода рассуждений. Контроли — Qwen2.5 3B, Qwen3 4B Instruct и Qwen2.5 7B. Instructor передаёт JSON Schema с ограничениями статусов, значений и цитат. Цитата выбирается из исходных фрагментов пациента и сверяется с оригиналом. Разрешён один повтор, затем возвращается ошибка. Валидная структура не доказывает медицинскую правильность.</w:t>
      </w:r>
    </w:p>
    <w:p>
      <w:pPr>
        <w:pStyle w:val="Heading2"/>
      </w:pPr>
      <w:r>
        <w:t>Поля и управление врачом</w:t>
      </w:r>
    </w:p>
    <w:p>
      <w:r>
        <w:t>Текущие поля: температура, кашель, длительность, аллергия на пенициллин, принятые лекарства и доза. Статусы — present, negated, unknown; неразрешённый конфликт относится к unknown. Значения копируются из оригинала без нормализации чисел и единиц; отрицание тоже требует цитату. Врач обозначает целевую роль пользователя; в демо её выполняет разработчик.</w:t>
      </w:r>
    </w:p>
    <w:p>
      <w:r>
        <w:t>Поиск диагнозов запускается для содержания, уже выраженного врачом. Кандидаты сопровождаются источником и версией словаря. Если нет проверенного источника кодов, показываются термины без выдуманного ICD. Первые правила проверяют известную аллергию, повторение вещества и неполноту дозировки. Вне покрытия и при недостатке данных результат — «неизвестно», а не «безопасно».</w:t>
      </w:r>
    </w:p>
    <w:p>
      <w:r>
        <w:t>Врач редактирует поля, просматривает цитаты и разбирает предупреждения. После подтверждения доступны JSON и один печатный формат; сохраняются версия и время. Это запись действия в прототипе, без заявления о юридической электронной подписи.</w:t>
      </w:r>
    </w:p>
    <w:p>
      <w:pPr>
        <w:pStyle w:val="Heading1"/>
        <w:pageBreakBefore/>
      </w:pPr>
      <w:r>
        <w:t>3 Данные и происхождение</w:t>
      </w:r>
    </w:p>
    <w:p>
      <w:pPr>
        <w:pStyle w:val="Heading2"/>
      </w:pPr>
      <w:r>
        <w:t>Источники до генерации</w:t>
      </w:r>
    </w:p>
    <w:p>
      <w:r>
        <w:t>Разделяются четыре вида данных: диалоги, эталонные поля, аудиотесты и справочники правил. До включения проверяются происхождение, лицензия, доступность и качество. Медицинские вопросы и ответы не объявляются готовым обучающим набором SOAP. У каждого примера фиксируются источник, исходный ID, версия, преобразование и группа; варианты одного исходника не попадают в разные выборки.</w:t>
      </w:r>
    </w:p>
    <w:p>
      <w:r>
        <w:t>Первым кандидатом выбран IMCS-21: китайские консультации и задача генерации медицинского отчёта. Корпус преимущественно педиатрический; его структура отличается от нашего SOAP. Требуются проверка условий использования и ручная привязка полей к репликам. Результаты авторов корпуса нельзя представлять как результаты SmartMed.</w:t>
      </w:r>
    </w:p>
    <w:p>
      <w:r>
        <w:t>DISC-Med-SFT — дополнительный кандидат с переработанными консультациями. Huatuo-26M преимущественно содержит медицинские вопросы и ответы и может помочь с терминологией и сценариями. Эти данные не являются реальными записями приёма или независимым эталоном проекта. Лицензия кода не гарантирует права на все исходные данные.</w:t>
      </w:r>
    </w:p>
    <w:p>
      <w:pPr>
        <w:pStyle w:val="Heading2"/>
      </w:pPr>
      <w:r>
        <w:t>Небольшой набор первого этапа</w:t>
      </w:r>
    </w:p>
    <w:p>
      <w:r>
        <w:t>Сравнение четырёх моделей использует 40 синтетических китайских диалогов, составленных с помощью ИИ, и 240 полей. Реальных пациентов нет; врач и носитель китайского эталоны не проверяли. Набор использован для выбора модели, затем часть случаев — для доработки подсказок и проверок. Он не является независимым итоговым тестом. Далее нужен новый замороженный набор, не участвующий в разработке, с учётом происхождения и проверки.</w:t>
      </w:r>
    </w:p>
    <w:p>
      <w:r>
        <w:t>Разметка включает симптомы, время, отрицания, аллергию, лекарства и прямо названные дозы со ссылками на реплики. Оба участника проверяют работу друг друга и фиксируют расхождения. При доступности привлекается человек со свободным китайским; клиническое толкование требует медицинской проверки. Машинный перевод её не заменяет.</w:t>
      </w:r>
    </w:p>
    <w:p>
      <w:pPr>
        <w:pStyle w:val="Heading2"/>
      </w:pPr>
      <w:r>
        <w:t>Аудио и справочники</w:t>
      </w:r>
    </w:p>
    <w:p>
      <w:r>
        <w:t>Планируются 6 китайских записей моделируемого приёма по 1–2 минуты: по 3 для разработки и теста, с ручной транскрипцией и ролями. Синтез и чтение человеком обозначаются отдельно; такие записи не представляют реальные акустические условия клиники. Общие речевые корпуса используются лишь дополнительно.</w:t>
      </w:r>
    </w:p>
    <w:p>
      <w:r>
        <w:t>Состав лекарств, соответствия аллергий и термины диагнозов берутся из небольших проверяемых словарей с версиями. Для каждого правила указываются источник, условия и покрытие. Без надёжного основания не добавляются предельные дозы и сложные взаимодействия. Реальные записи пациентов на первом этапе не собираются.</w:t>
      </w:r>
    </w:p>
    <w:p>
      <w:pPr>
        <w:pStyle w:val="Heading1"/>
        <w:pageBreakBefore/>
      </w:pPr>
      <w:r>
        <w:t>4 Вклад и проверка качества</w:t>
      </w:r>
    </w:p>
    <w:p>
      <w:pPr>
        <w:pStyle w:val="Heading2"/>
      </w:pPr>
      <w:r>
        <w:t>Проверяемые улучшения сценария</w:t>
      </w:r>
    </w:p>
    <w:p>
      <w:r>
        <w:t>Первый вклад — связь поля записи с доказательством в диалоге на общем экране. Второй — явная обработка отрицаний, неизвестности и конфликтов, предотвращающая заполнение пропусков по догадке. Третий — поиск терминов и детерминированные проверки после модели с показом покрытия и подтверждением врачом.</w:t>
      </w:r>
    </w:p>
    <w:p>
      <w:r>
        <w:t>Это планируемый инженерный вклад, который предстоит проверить. Оригинальность базовой модели и превосходство над клиническими продуктами не заявляются. Чужие модели, инструменты и наборы цитируются; вклад команды относится к процессу, контрактам, интерфейсу, правилам и оценке.</w:t>
      </w:r>
    </w:p>
    <w:p>
      <w:pPr>
        <w:pStyle w:val="Heading2"/>
      </w:pPr>
      <w:r>
        <w:t>Сравнение и анализ компонентов</w:t>
      </w:r>
    </w:p>
    <w:p>
      <w:r>
        <w:t>В исходном сравнении одинаковы 40 случаев, шесть полей, подсказка и настройки. У Qwen3.5 4B верны 235/240 статусов, структуру проходят 28/40 ответов; у Qwen3 4B Instruct — 230/240 и 37/40. Медиана 14 тёплых запросов Qwen3.5 — 7,73 с; это другая конфигурация, чем текущий API. После правок пять известных случаев совпали по статусам и значениям, прошли 53 теста бэкенда. Регрессия не доказывает клиническую надёжность или прирост на независимых данных. Следующий эксперимент требует новой замороженной выборки.</w:t>
      </w:r>
    </w:p>
    <w:p>
      <w:r>
        <w:t>На аудио сравниваются извлечение из ручной транскрипции и из результата ASR, чтобы разделить ошибки речи и извлечения. Сохраняются ошибки каждого случая, задержки и расход ресурсов. Выводы небольшого моделируемого набора ограничены проверенными сценариями.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  <w:shd w:fill="F2F2F2"/>
          </w:tcPr>
          <w:p>
            <w:pPr>
              <w:spacing w:after="40" w:line="254" w:lineRule="auto"/>
            </w:pPr>
            <w:r>
              <w:rPr>
                <w:b/>
                <w:sz w:val="19"/>
              </w:rPr>
              <w:t>Предмет оценки</w:t>
            </w:r>
          </w:p>
        </w:tc>
        <w:tc>
          <w:tcPr>
            <w:tcW w:type="dxa" w:w="765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  <w:shd w:fill="F2F2F2"/>
          </w:tcPr>
          <w:p>
            <w:pPr>
              <w:spacing w:after="40" w:line="254" w:lineRule="auto"/>
            </w:pPr>
            <w:r>
              <w:rPr>
                <w:b/>
                <w:sz w:val="19"/>
              </w:rPr>
              <w:t>Способ проверки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Извлечение</w:t>
            </w:r>
          </w:p>
        </w:tc>
        <w:tc>
          <w:tcPr>
            <w:tcW w:type="dxa" w:w="765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P, R и F1 по заранее определённым полям и значениям; отдельный результат для отрицаний и доз.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Факты и цитаты</w:t>
            </w:r>
          </w:p>
        </w:tc>
        <w:tc>
          <w:tcPr>
            <w:tcW w:type="dxa" w:w="765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Ручной подсчёт неподтверждённых фактов, верных цитат и правильно оставленных неизвестными полей.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Словарь и правила</w:t>
            </w:r>
          </w:p>
        </w:tc>
        <w:tc>
          <w:tcPr>
            <w:tcW w:type="dxa" w:w="765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Попадания кандидатов и корректность предупреждений в пределах покрытия; отдельно неизвестность.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Речь и процесс</w:t>
            </w:r>
          </w:p>
        </w:tc>
        <w:tc>
          <w:tcPr>
            <w:tcW w:type="dxa" w:w="765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CER по ручной транскрипции; DER только при эталонных ролях; проверка подтверждения и экспорта.</w:t>
            </w:r>
          </w:p>
        </w:tc>
      </w:tr>
    </w:tbl>
    <w:p>
      <w:pPr>
        <w:spacing w:after="0"/>
      </w:pPr>
    </w:p>
    <w:p>
      <w:pPr>
        <w:pStyle w:val="Heading2"/>
      </w:pPr>
      <w:r>
        <w:t>Приёмка</w:t>
      </w:r>
    </w:p>
    <w:p>
      <w:r>
        <w:t>Три китайских сценария — обычная запись, аллергия и пропуск — проходят весь путь. Невалидный JSON не допускается к подтверждению; отсутствующая доза остаётся неизвестной в специальных тестах; неподтверждённый черновик не экспортируется как подтверждённая запись. Численные результаты заполняются после экспериментов. Заранее не обещаются F1, скорость или процент экономии времени.</w:t>
      </w:r>
    </w:p>
    <w:p>
      <w:pPr>
        <w:pStyle w:val="Heading1"/>
        <w:pageBreakBefore/>
      </w:pPr>
      <w:r>
        <w:t>5 Первый этап и демонстрация</w:t>
      </w:r>
    </w:p>
    <w:p>
      <w:r>
        <w:t>Окно разработки — 4–9 октября 2026 года. По официальному уведомлению университетский отбор завершается к 10 октября; внутренний срок подачи нужно сверить с вузом. Регистрация и оплата регионального этапа заканчиваются 15 октября в 20:00. Доработка к региональному и национальному этапам проводится отдельно, без переноса текущей сдачи на декабрь.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2863"/>
        <w:gridCol w:w="2863"/>
        <w:gridCol w:w="2721"/>
      </w:tblGrid>
      <w:tr>
        <w:trPr>
          <w:cantSplit/>
          <w:tblHeader/>
        </w:trPr>
        <w:tc>
          <w:tcPr>
            <w:tcW w:type="dxa" w:w="119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  <w:shd w:fill="F2F2F2"/>
          </w:tcPr>
          <w:p>
            <w:pPr>
              <w:spacing w:after="40" w:line="254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  <w:shd w:fill="F2F2F2"/>
          </w:tcPr>
          <w:p>
            <w:pPr>
              <w:spacing w:after="40" w:line="254" w:lineRule="auto"/>
            </w:pPr>
            <w:r>
              <w:rPr>
                <w:b/>
                <w:sz w:val="19"/>
              </w:rPr>
              <w:t>Участник A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  <w:shd w:fill="F2F2F2"/>
          </w:tcPr>
          <w:p>
            <w:pPr>
              <w:spacing w:after="40" w:line="254" w:lineRule="auto"/>
            </w:pPr>
            <w:r>
              <w:rPr>
                <w:b/>
                <w:sz w:val="19"/>
              </w:rPr>
              <w:t>Участник B</w:t>
            </w:r>
          </w:p>
        </w:tc>
        <w:tc>
          <w:tcPr>
            <w:tcW w:type="dxa" w:w="272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  <w:shd w:fill="F2F2F2"/>
          </w:tcPr>
          <w:p>
            <w:pPr>
              <w:spacing w:after="40" w:line="254" w:lineRule="auto"/>
            </w:pPr>
            <w:r>
              <w:rPr>
                <w:b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19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4–5 октября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Контракт и текстовый API с сохранением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Источники и примеры; каркас интерфейса</w:t>
            </w:r>
          </w:p>
        </w:tc>
        <w:tc>
          <w:tcPr>
            <w:tcW w:type="dxa" w:w="272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Запускаемый каркас и версии данных</w:t>
            </w:r>
          </w:p>
        </w:tc>
      </w:tr>
      <w:tr>
        <w:trPr>
          <w:cantSplit/>
        </w:trPr>
        <w:tc>
          <w:tcPr>
            <w:tcW w:type="dxa" w:w="119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6 октября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Модель, проверки, цитаты и API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Аудио и ASR; интерфейс</w:t>
            </w:r>
          </w:p>
        </w:tc>
        <w:tc>
          <w:tcPr>
            <w:tcW w:type="dxa" w:w="272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Текстовый черновик и аудиоввод</w:t>
            </w:r>
          </w:p>
        </w:tc>
      </w:tr>
      <w:tr>
        <w:trPr>
          <w:cantSplit/>
        </w:trPr>
        <w:tc>
          <w:tcPr>
            <w:tcW w:type="dxa" w:w="119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7 октября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Сохранение, подтверждение, экспорт; интеграция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Экран сверки цитат и аудио; интеграция</w:t>
            </w:r>
          </w:p>
        </w:tc>
        <w:tc>
          <w:tcPr>
            <w:tcW w:type="dxa" w:w="272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Три сквозных сценария</w:t>
            </w:r>
          </w:p>
        </w:tc>
      </w:tr>
      <w:tr>
        <w:trPr>
          <w:cantSplit/>
        </w:trPr>
        <w:tc>
          <w:tcPr>
            <w:tcW w:type="dxa" w:w="119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8 октября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Измерения и реальные результаты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Повторная проверка, восстановление после ошибки и работа без сети</w:t>
            </w:r>
          </w:p>
        </w:tc>
        <w:tc>
          <w:tcPr>
            <w:tcW w:type="dxa" w:w="272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Таблица и список ошибок</w:t>
            </w:r>
          </w:p>
        </w:tc>
      </w:tr>
      <w:tr>
        <w:trPr>
          <w:cantSplit/>
        </w:trPr>
        <w:tc>
          <w:tcPr>
            <w:tcW w:type="dxa" w:w="119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9 октября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Китайские материалы и пакет подачи</w:t>
            </w:r>
          </w:p>
        </w:tc>
        <w:tc>
          <w:tcPr>
            <w:tcW w:type="dxa" w:w="286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Китайское видео и проверка запуска из пакета</w:t>
            </w:r>
          </w:p>
        </w:tc>
        <w:tc>
          <w:tcPr>
            <w:tcW w:type="dxa" w:w="272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2D2D2"/>
              <w:left w:val="single" w:sz="4" w:color="D2D2D2"/>
              <w:bottom w:val="single" w:sz="4" w:color="D2D2D2"/>
              <w:right w:val="single" w:sz="4" w:color="D2D2D2"/>
            </w:tcBorders>
          </w:tcPr>
          <w:p>
            <w:pPr>
              <w:spacing w:after="40" w:line="254" w:lineRule="auto"/>
            </w:pPr>
            <w:r>
              <w:rPr>
                <w:b w:val="0"/>
                <w:sz w:val="19"/>
              </w:rPr>
              <w:t>Видео и материалы</w:t>
            </w:r>
          </w:p>
        </w:tc>
      </w:tr>
    </w:tbl>
    <w:p>
      <w:pPr>
        <w:spacing w:after="0"/>
      </w:pPr>
    </w:p>
    <w:p>
      <w:pPr>
        <w:pStyle w:val="Heading2"/>
      </w:pPr>
      <w:r>
        <w:t>Показ проекта</w:t>
      </w:r>
    </w:p>
    <w:p>
      <w:r>
        <w:t>Ориентир видео — 4 минуты. Обычный случай показывает китайский ввод, поля и доказательства; аллергия — проверку правил; неполный случай — неизвестность и исправление врачом. В конце показаны подтверждение, экспорт и фактические результаты. Монтаж не должен скрывать сбои модели или задержку.</w:t>
      </w:r>
    </w:p>
    <w:p>
      <w:pPr>
        <w:pStyle w:val="Heading2"/>
      </w:pPr>
      <w:r>
        <w:t>Материалы и ресурсы</w:t>
      </w:r>
    </w:p>
    <w:p>
      <w:r>
        <w:t>Пакет включает китайский PDF технического предложения, китайское MP4, PDF презентации, код, инструкции, версии моделей, перечень данных и скрипты оценки. Подтверждения сотрудничества, патентов и пилотов прилагаются только при их наличии.</w:t>
      </w:r>
    </w:p>
    <w:p>
      <w:r>
        <w:t>Сначала тестируется последовательная обработка на устройстве с 16 ГБ памяти. Замеряются пиковая память после загрузки и задержка; при необходимости уменьшаются модель и длина входа. Покупка GPU или аренда обучения не заложены как обязательное условие. Инструкция фиксирует версии, загрузку моделей и обработку ошибок.</w:t>
      </w:r>
    </w:p>
    <w:p>
      <w:pPr>
        <w:pStyle w:val="Heading1"/>
        <w:pageBreakBefore/>
      </w:pPr>
      <w:r>
        <w:t>6 Польза риски и развитие</w:t>
      </w:r>
    </w:p>
    <w:p>
      <w:r>
        <w:t>Ожидаемая польза — помощь в организации содержания разговора и проверке оснований записи.</w:t>
      </w:r>
    </w:p>
    <w:p>
      <w:r>
        <w:t>Экономия времени, уменьшение пропусков и пригодность для клиники требуют дальнейших пользовательских и медицинских проверок. Моделируемые тесты не заменяют клиническое исследование и не доказывают безопасность диагностики или лекарств.</w:t>
      </w:r>
    </w:p>
    <w:p>
      <w:r>
        <w:t>Начальный путь применения — учебные и моделируемые записи. После проверки китайскими медицинскими специалистами и контролируемого испытания можно обсуждать больничные интерфейсы. Возможный сервис развёртывания и поддержки остаётся гипотезой; тарифы, закупки и выручка не подтверждены.</w:t>
      </w:r>
    </w:p>
    <w:p>
      <w:pPr>
        <w:pStyle w:val="Heading2"/>
      </w:pPr>
      <w:r>
        <w:t>Риски и условия расширения</w:t>
      </w:r>
    </w:p>
    <w:p>
      <w:r>
        <w:t>Китайская медицинская лексика требует оригинальных цитат, перекрёстной проверки и китайского рецензирования. ASR может изменить отрицание или дозу, поэтому важные поля возвращают пользователя к исходнику. Ограниченные правила явно показывают неизвестность. Источники с неясной лицензией не включаются в официальный набор; реальные данные потребуют отдельного разрешения и процесса защиты.</w:t>
      </w:r>
    </w:p>
    <w:p>
      <w:r>
        <w:t>После этапа порядок улучшений определяется частотой ошибок: сначала данные и подсказки, затем расширение поиска. Дообучение рассматривается при наличии достаточно большого разрешённого корпуса с разметкой полей, завершённого baseline и подходящих ресурсов. Масштабное тестирование, надёжные роли говорящих и реальные интеграции — последующие задачи.</w:t>
      </w:r>
    </w:p>
    <w:p>
      <w:pPr>
        <w:pStyle w:val="Heading2"/>
      </w:pPr>
      <w:r>
        <w:t>Источники</w:t>
      </w:r>
    </w:p>
    <w:p>
      <w:pPr>
        <w:keepLines/>
      </w:pPr>
      <w:r>
        <w:rPr>
          <w:sz w:val="18"/>
        </w:rPr>
        <w:t>Официальное уведомление и требования к материалам</w:t>
        <w:br/>
        <w:t>https://www.aicomp.cn/notice/notice-1/3674.html</w:t>
        <w:br/>
        <w:t>https://www.aicomp.cn/tracks/tracks-2/3775.html</w:t>
      </w:r>
    </w:p>
    <w:p>
      <w:pPr>
        <w:keepLines/>
      </w:pPr>
      <w:r>
        <w:rPr>
          <w:sz w:val="18"/>
        </w:rPr>
        <w:t>IMCS-21 Данные и исследовательская реализация</w:t>
        <w:br/>
        <w:t>https://github.com/lemuria-wchen/imcs21</w:t>
      </w:r>
    </w:p>
    <w:p>
      <w:pPr>
        <w:keepLines/>
      </w:pPr>
      <w:r>
        <w:rPr>
          <w:sz w:val="18"/>
        </w:rPr>
        <w:t>Дополнительные кандидаты DISC-MedLLM и Huatuo-26M</w:t>
        <w:br/>
        <w:t>https://github.com/FudanDISC/DISC-MedLLM</w:t>
        <w:br/>
        <w:t>https://github.com/FreedomIntelligence/Huatuo-26M</w:t>
      </w:r>
    </w:p>
    <w:p>
      <w:pPr>
        <w:keepLines/>
      </w:pPr>
      <w:r>
        <w:rPr>
          <w:sz w:val="18"/>
        </w:rPr>
        <w:t>Текущая модель и планируемый речевой инструмент</w:t>
        <w:br/>
        <w:t>https://huggingface.co/Qwen/Qwen3.5-4B</w:t>
        <w:br/>
        <w:t>https://github.com/modelscope/FunASR</w:t>
      </w:r>
    </w:p>
    <w:p>
      <w:r>
        <w:t>Источники проверены 4 октября 2026 года. Включение данных зависит от фактической проверки условий и образцов.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 w:eastAsia="Noto Sans CJK SC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cstheme="majorBidi" w:ascii="Arial" w:hAnsi="Arial" w:eastAsia="Noto Sans CJK SC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cstheme="majorBidi" w:ascii="Arial" w:hAnsi="Arial" w:eastAsia="Noto Sans CJK SC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Arial" w:hAnsi="Arial" w:eastAsia="Noto Sans CJK SC"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Noto Sans CJK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Ассистент подготовки амбулаторной записи</dc:title>
  <dc:subject>SmartMed technical proposal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