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C53C" w14:textId="7777B5C5" w:rsidR="00E24180" w:rsidRDefault="008A0FA6" w:rsidP="00B16523">
      <w:pPr>
        <w:pStyle w:val="Heading2"/>
        <w:jc w:val="both"/>
        <w:rPr>
          <w:lang w:val="en-GB"/>
        </w:rPr>
      </w:pPr>
      <w:r>
        <w:rPr>
          <w:lang w:val="en-GB"/>
        </w:rPr>
        <w:t>Research Question</w:t>
      </w:r>
    </w:p>
    <w:p w14:paraId="468535E9" w14:textId="3D8D0566" w:rsidR="00053854" w:rsidRPr="00053854" w:rsidRDefault="00053854" w:rsidP="00053854">
      <w:pPr>
        <w:rPr>
          <w:lang w:val="en-GB"/>
        </w:rPr>
      </w:pPr>
      <w:r>
        <w:rPr>
          <w:lang w:val="en-GB"/>
        </w:rPr>
        <w:t>What factors explain the prevalence of childhood obesity in local authorities in 2018?</w:t>
      </w:r>
    </w:p>
    <w:p w14:paraId="23840194" w14:textId="123A8D43" w:rsidR="008A0FA6" w:rsidRDefault="008A0FA6" w:rsidP="00B16523">
      <w:pPr>
        <w:pStyle w:val="Heading2"/>
        <w:jc w:val="both"/>
        <w:rPr>
          <w:lang w:val="en-GB"/>
        </w:rPr>
      </w:pPr>
      <w:r>
        <w:rPr>
          <w:lang w:val="en-GB"/>
        </w:rPr>
        <w:t>Data</w:t>
      </w:r>
    </w:p>
    <w:p w14:paraId="6B49F025" w14:textId="5D44A4C1" w:rsidR="00B16523" w:rsidRDefault="00B16523" w:rsidP="00F251DC">
      <w:pPr>
        <w:jc w:val="both"/>
        <w:rPr>
          <w:lang w:val="en-GB"/>
        </w:rPr>
      </w:pPr>
      <w:r>
        <w:rPr>
          <w:lang w:val="en-GB"/>
        </w:rPr>
        <w:t xml:space="preserve">The data includes </w:t>
      </w:r>
      <w:r w:rsidR="00F251DC">
        <w:rPr>
          <w:lang w:val="en-GB"/>
        </w:rPr>
        <w:t xml:space="preserve">total population and the total </w:t>
      </w:r>
      <w:r>
        <w:rPr>
          <w:lang w:val="en-GB"/>
        </w:rPr>
        <w:t>numb</w:t>
      </w:r>
      <w:r w:rsidR="00F251DC">
        <w:rPr>
          <w:lang w:val="en-GB"/>
        </w:rPr>
        <w:t xml:space="preserve">er of cases of childhood obesity by local authority areas in 3 time periods – 2008, 2013 and 2018. </w:t>
      </w:r>
      <w:r w:rsidR="00BB33BB">
        <w:rPr>
          <w:lang w:val="en-GB"/>
        </w:rPr>
        <w:t xml:space="preserve"> To account for different population sizes of local authorities, the number of cases was normalised to 100,000 people. </w:t>
      </w:r>
      <w:r w:rsidR="00BB33BB" w:rsidRPr="00053854">
        <w:rPr>
          <w:i/>
          <w:iCs/>
          <w:lang w:val="en-GB"/>
        </w:rPr>
        <w:t>Table 1</w:t>
      </w:r>
      <w:r w:rsidR="00BB33BB">
        <w:rPr>
          <w:lang w:val="en-GB"/>
        </w:rPr>
        <w:t xml:space="preserve"> shows descriptive statistics relating to the total number of cases </w:t>
      </w:r>
      <w:r w:rsidR="00B56986">
        <w:rPr>
          <w:lang w:val="en-GB"/>
        </w:rPr>
        <w:t xml:space="preserve">per 100,000 </w:t>
      </w:r>
      <w:r w:rsidR="00BB33BB">
        <w:rPr>
          <w:lang w:val="en-GB"/>
        </w:rPr>
        <w:t>over the years.</w:t>
      </w:r>
      <w:r w:rsidR="003C71DB">
        <w:rPr>
          <w:lang w:val="en-GB"/>
        </w:rPr>
        <w:t xml:space="preserve"> The summary shows that on average, the prevalence of childhood obesity has increased over the years. It also suggests</w:t>
      </w:r>
      <w:r w:rsidR="00584876">
        <w:rPr>
          <w:lang w:val="en-GB"/>
        </w:rPr>
        <w:t xml:space="preserve"> the</w:t>
      </w:r>
      <w:r w:rsidR="003C71DB">
        <w:rPr>
          <w:lang w:val="en-GB"/>
        </w:rPr>
        <w:t xml:space="preserve"> presence of outliers, as the</w:t>
      </w:r>
      <w:r w:rsidR="00584876">
        <w:rPr>
          <w:lang w:val="en-GB"/>
        </w:rPr>
        <w:t xml:space="preserve"> observed</w:t>
      </w:r>
      <w:r w:rsidR="003C71DB">
        <w:rPr>
          <w:lang w:val="en-GB"/>
        </w:rPr>
        <w:t xml:space="preserve"> maximum number of cases lies outside the upper Tukey fence.  </w:t>
      </w:r>
    </w:p>
    <w:p w14:paraId="2F90C4ED" w14:textId="66DF14BB" w:rsidR="00BB33BB" w:rsidRDefault="00BB33BB" w:rsidP="00BB33BB">
      <w:pPr>
        <w:jc w:val="both"/>
        <w:rPr>
          <w:lang w:val="en-GB"/>
        </w:rPr>
      </w:pPr>
    </w:p>
    <w:p w14:paraId="3035ECEB" w14:textId="36812AE9" w:rsidR="00053854" w:rsidRDefault="00053854" w:rsidP="00BB33BB">
      <w:pPr>
        <w:jc w:val="both"/>
        <w:rPr>
          <w:i/>
          <w:iCs/>
          <w:lang w:val="en-GB"/>
        </w:rPr>
      </w:pPr>
      <w:r>
        <w:rPr>
          <w:i/>
          <w:iCs/>
          <w:lang w:val="en-GB"/>
        </w:rPr>
        <w:t>Table 1: Descriptive statistics of number of cases</w:t>
      </w:r>
      <w:r w:rsidR="00815C8E">
        <w:rPr>
          <w:i/>
          <w:iCs/>
          <w:lang w:val="en-GB"/>
        </w:rPr>
        <w:t xml:space="preserve"> per 100,000</w:t>
      </w:r>
    </w:p>
    <w:p w14:paraId="14580D9B" w14:textId="77777777" w:rsidR="002345DB" w:rsidRPr="00053854" w:rsidRDefault="002345DB" w:rsidP="00BB33BB">
      <w:pPr>
        <w:jc w:val="both"/>
        <w:rPr>
          <w:i/>
          <w:iCs/>
          <w:lang w:val="en-GB"/>
        </w:rPr>
      </w:pPr>
    </w:p>
    <w:tbl>
      <w:tblPr>
        <w:tblStyle w:val="PlainTable4"/>
        <w:tblW w:w="0" w:type="auto"/>
        <w:tblLook w:val="04A0" w:firstRow="1" w:lastRow="0" w:firstColumn="1" w:lastColumn="0" w:noHBand="0" w:noVBand="1"/>
      </w:tblPr>
      <w:tblGrid>
        <w:gridCol w:w="2297"/>
        <w:gridCol w:w="1024"/>
        <w:gridCol w:w="1012"/>
        <w:gridCol w:w="1012"/>
      </w:tblGrid>
      <w:tr w:rsidR="00BB33BB" w:rsidRPr="00584876" w14:paraId="7B889E4C" w14:textId="77777777" w:rsidTr="0058487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97" w:type="dxa"/>
          </w:tcPr>
          <w:p w14:paraId="5104240C" w14:textId="77777777" w:rsidR="00BB33BB" w:rsidRPr="002345DB" w:rsidRDefault="00BB33BB" w:rsidP="00BB33BB">
            <w:pPr>
              <w:jc w:val="both"/>
              <w:rPr>
                <w:sz w:val="20"/>
                <w:szCs w:val="20"/>
                <w:lang w:val="en-GB"/>
              </w:rPr>
            </w:pPr>
          </w:p>
        </w:tc>
        <w:tc>
          <w:tcPr>
            <w:tcW w:w="1024" w:type="dxa"/>
          </w:tcPr>
          <w:p w14:paraId="26E7BD0C" w14:textId="22ACA45A" w:rsidR="00BB33BB" w:rsidRPr="00584876" w:rsidRDefault="00BB33BB" w:rsidP="00937258">
            <w:pPr>
              <w:jc w:val="right"/>
              <w:cnfStyle w:val="100000000000" w:firstRow="1" w:lastRow="0" w:firstColumn="0" w:lastColumn="0" w:oddVBand="0" w:evenVBand="0" w:oddHBand="0" w:evenHBand="0" w:firstRowFirstColumn="0" w:firstRowLastColumn="0" w:lastRowFirstColumn="0" w:lastRowLastColumn="0"/>
              <w:rPr>
                <w:sz w:val="20"/>
                <w:szCs w:val="20"/>
                <w:lang w:val="en-GB"/>
              </w:rPr>
            </w:pPr>
            <w:r w:rsidRPr="00584876">
              <w:rPr>
                <w:sz w:val="20"/>
                <w:szCs w:val="20"/>
                <w:lang w:val="en-GB"/>
              </w:rPr>
              <w:t>2008</w:t>
            </w:r>
          </w:p>
        </w:tc>
        <w:tc>
          <w:tcPr>
            <w:tcW w:w="1012" w:type="dxa"/>
          </w:tcPr>
          <w:p w14:paraId="234C4349" w14:textId="601A873E" w:rsidR="00BB33BB" w:rsidRPr="00584876" w:rsidRDefault="00BB33BB" w:rsidP="00937258">
            <w:pPr>
              <w:jc w:val="right"/>
              <w:cnfStyle w:val="100000000000" w:firstRow="1" w:lastRow="0" w:firstColumn="0" w:lastColumn="0" w:oddVBand="0" w:evenVBand="0" w:oddHBand="0" w:evenHBand="0" w:firstRowFirstColumn="0" w:firstRowLastColumn="0" w:lastRowFirstColumn="0" w:lastRowLastColumn="0"/>
              <w:rPr>
                <w:sz w:val="20"/>
                <w:szCs w:val="20"/>
                <w:lang w:val="en-GB"/>
              </w:rPr>
            </w:pPr>
            <w:r w:rsidRPr="00584876">
              <w:rPr>
                <w:sz w:val="20"/>
                <w:szCs w:val="20"/>
                <w:lang w:val="en-GB"/>
              </w:rPr>
              <w:t>2013</w:t>
            </w:r>
          </w:p>
        </w:tc>
        <w:tc>
          <w:tcPr>
            <w:tcW w:w="1012" w:type="dxa"/>
          </w:tcPr>
          <w:p w14:paraId="3FBE1DC3" w14:textId="4521B3D9" w:rsidR="00BB33BB" w:rsidRPr="00584876" w:rsidRDefault="00BB33BB" w:rsidP="00937258">
            <w:pPr>
              <w:jc w:val="right"/>
              <w:cnfStyle w:val="100000000000" w:firstRow="1" w:lastRow="0" w:firstColumn="0" w:lastColumn="0" w:oddVBand="0" w:evenVBand="0" w:oddHBand="0" w:evenHBand="0" w:firstRowFirstColumn="0" w:firstRowLastColumn="0" w:lastRowFirstColumn="0" w:lastRowLastColumn="0"/>
              <w:rPr>
                <w:sz w:val="20"/>
                <w:szCs w:val="20"/>
                <w:lang w:val="en-GB"/>
              </w:rPr>
            </w:pPr>
            <w:r w:rsidRPr="00584876">
              <w:rPr>
                <w:sz w:val="20"/>
                <w:szCs w:val="20"/>
                <w:lang w:val="en-GB"/>
              </w:rPr>
              <w:t>2018</w:t>
            </w:r>
          </w:p>
        </w:tc>
      </w:tr>
      <w:tr w:rsidR="00584876" w:rsidRPr="002345DB" w14:paraId="74B35304" w14:textId="77777777" w:rsidTr="0058487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97" w:type="dxa"/>
          </w:tcPr>
          <w:p w14:paraId="432DCF5B" w14:textId="2B6EF067" w:rsidR="00BB33BB" w:rsidRPr="005946CE" w:rsidRDefault="00BB33BB" w:rsidP="00BB33BB">
            <w:pPr>
              <w:jc w:val="both"/>
              <w:rPr>
                <w:sz w:val="20"/>
                <w:szCs w:val="20"/>
                <w:lang w:val="en-GB"/>
              </w:rPr>
            </w:pPr>
            <w:r w:rsidRPr="005946CE">
              <w:rPr>
                <w:sz w:val="20"/>
                <w:szCs w:val="20"/>
                <w:lang w:val="en-GB"/>
              </w:rPr>
              <w:t>min</w:t>
            </w:r>
          </w:p>
        </w:tc>
        <w:tc>
          <w:tcPr>
            <w:tcW w:w="1024" w:type="dxa"/>
          </w:tcPr>
          <w:p w14:paraId="4F78B8BD" w14:textId="34796330" w:rsidR="00BB33BB" w:rsidRPr="002345DB" w:rsidRDefault="00815C8E"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74.0</w:t>
            </w:r>
            <w:r w:rsidR="002345DB">
              <w:rPr>
                <w:sz w:val="20"/>
                <w:szCs w:val="20"/>
                <w:lang w:val="en-GB"/>
              </w:rPr>
              <w:t>0</w:t>
            </w:r>
          </w:p>
        </w:tc>
        <w:tc>
          <w:tcPr>
            <w:tcW w:w="1012" w:type="dxa"/>
          </w:tcPr>
          <w:p w14:paraId="65540CF7" w14:textId="4A3C7221" w:rsidR="00BB33B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41.93</w:t>
            </w:r>
          </w:p>
        </w:tc>
        <w:tc>
          <w:tcPr>
            <w:tcW w:w="1012" w:type="dxa"/>
          </w:tcPr>
          <w:p w14:paraId="6482458E" w14:textId="3C2DC4DD" w:rsidR="00BB33B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101.39</w:t>
            </w:r>
          </w:p>
        </w:tc>
      </w:tr>
      <w:tr w:rsidR="00BB33BB" w:rsidRPr="002345DB" w14:paraId="7C6FB06A" w14:textId="77777777" w:rsidTr="00584876">
        <w:trPr>
          <w:trHeight w:val="267"/>
        </w:trPr>
        <w:tc>
          <w:tcPr>
            <w:cnfStyle w:val="001000000000" w:firstRow="0" w:lastRow="0" w:firstColumn="1" w:lastColumn="0" w:oddVBand="0" w:evenVBand="0" w:oddHBand="0" w:evenHBand="0" w:firstRowFirstColumn="0" w:firstRowLastColumn="0" w:lastRowFirstColumn="0" w:lastRowLastColumn="0"/>
            <w:tcW w:w="2297" w:type="dxa"/>
          </w:tcPr>
          <w:p w14:paraId="1E84B904" w14:textId="23A9A8E8" w:rsidR="00BB33BB" w:rsidRPr="005946CE" w:rsidRDefault="00BB33BB" w:rsidP="00BB33BB">
            <w:pPr>
              <w:jc w:val="both"/>
              <w:rPr>
                <w:sz w:val="20"/>
                <w:szCs w:val="20"/>
                <w:lang w:val="en-GB"/>
              </w:rPr>
            </w:pPr>
            <w:r w:rsidRPr="005946CE">
              <w:rPr>
                <w:sz w:val="20"/>
                <w:szCs w:val="20"/>
                <w:lang w:val="en-GB"/>
              </w:rPr>
              <w:t>25</w:t>
            </w:r>
            <w:r w:rsidRPr="005946CE">
              <w:rPr>
                <w:sz w:val="20"/>
                <w:szCs w:val="20"/>
                <w:vertAlign w:val="superscript"/>
                <w:lang w:val="en-GB"/>
              </w:rPr>
              <w:t>th</w:t>
            </w:r>
            <w:r w:rsidRPr="005946CE">
              <w:rPr>
                <w:sz w:val="20"/>
                <w:szCs w:val="20"/>
                <w:lang w:val="en-GB"/>
              </w:rPr>
              <w:t xml:space="preserve"> percentile</w:t>
            </w:r>
          </w:p>
        </w:tc>
        <w:tc>
          <w:tcPr>
            <w:tcW w:w="1024" w:type="dxa"/>
          </w:tcPr>
          <w:p w14:paraId="64BA8BF8" w14:textId="0EFA5489" w:rsidR="00BB33BB" w:rsidRPr="002345DB" w:rsidRDefault="00815C8E"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214.84</w:t>
            </w:r>
          </w:p>
        </w:tc>
        <w:tc>
          <w:tcPr>
            <w:tcW w:w="1012" w:type="dxa"/>
          </w:tcPr>
          <w:p w14:paraId="639887CD" w14:textId="3EF2D642" w:rsidR="00BB33BB"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226.89</w:t>
            </w:r>
          </w:p>
        </w:tc>
        <w:tc>
          <w:tcPr>
            <w:tcW w:w="1012" w:type="dxa"/>
          </w:tcPr>
          <w:p w14:paraId="6D9EB416" w14:textId="47C8EE8B" w:rsidR="00BB33BB"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253.54</w:t>
            </w:r>
          </w:p>
        </w:tc>
      </w:tr>
      <w:tr w:rsidR="00584876" w:rsidRPr="002345DB" w14:paraId="73E39307" w14:textId="77777777" w:rsidTr="005848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97" w:type="dxa"/>
          </w:tcPr>
          <w:p w14:paraId="63CFDF99" w14:textId="26D169E6" w:rsidR="00BB33BB" w:rsidRPr="005946CE" w:rsidRDefault="00BB33BB" w:rsidP="00BB33BB">
            <w:pPr>
              <w:jc w:val="both"/>
              <w:rPr>
                <w:sz w:val="20"/>
                <w:szCs w:val="20"/>
                <w:lang w:val="en-GB"/>
              </w:rPr>
            </w:pPr>
            <w:r w:rsidRPr="005946CE">
              <w:rPr>
                <w:sz w:val="20"/>
                <w:szCs w:val="20"/>
                <w:lang w:val="en-GB"/>
              </w:rPr>
              <w:t>median</w:t>
            </w:r>
          </w:p>
        </w:tc>
        <w:tc>
          <w:tcPr>
            <w:tcW w:w="1024" w:type="dxa"/>
          </w:tcPr>
          <w:p w14:paraId="38C1CB9F" w14:textId="5CB05F50" w:rsidR="00815C8E" w:rsidRPr="002345DB" w:rsidRDefault="00815C8E"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291.45</w:t>
            </w:r>
          </w:p>
        </w:tc>
        <w:tc>
          <w:tcPr>
            <w:tcW w:w="1012" w:type="dxa"/>
          </w:tcPr>
          <w:p w14:paraId="7DAD60D5" w14:textId="1526120A" w:rsidR="00BB33B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298.48</w:t>
            </w:r>
          </w:p>
        </w:tc>
        <w:tc>
          <w:tcPr>
            <w:tcW w:w="1012" w:type="dxa"/>
          </w:tcPr>
          <w:p w14:paraId="7F68D5EB" w14:textId="7F220BD1" w:rsidR="00BB33B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318.21</w:t>
            </w:r>
          </w:p>
        </w:tc>
      </w:tr>
      <w:tr w:rsidR="00815C8E" w:rsidRPr="002345DB" w14:paraId="60ED0237" w14:textId="77777777" w:rsidTr="00584876">
        <w:trPr>
          <w:trHeight w:val="282"/>
        </w:trPr>
        <w:tc>
          <w:tcPr>
            <w:cnfStyle w:val="001000000000" w:firstRow="0" w:lastRow="0" w:firstColumn="1" w:lastColumn="0" w:oddVBand="0" w:evenVBand="0" w:oddHBand="0" w:evenHBand="0" w:firstRowFirstColumn="0" w:firstRowLastColumn="0" w:lastRowFirstColumn="0" w:lastRowLastColumn="0"/>
            <w:tcW w:w="2297" w:type="dxa"/>
          </w:tcPr>
          <w:p w14:paraId="62792734" w14:textId="347D0ED7" w:rsidR="00815C8E" w:rsidRPr="005946CE" w:rsidRDefault="00815C8E" w:rsidP="00BB33BB">
            <w:pPr>
              <w:jc w:val="both"/>
              <w:rPr>
                <w:sz w:val="20"/>
                <w:szCs w:val="20"/>
                <w:lang w:val="en-GB"/>
              </w:rPr>
            </w:pPr>
            <w:r w:rsidRPr="005946CE">
              <w:rPr>
                <w:sz w:val="20"/>
                <w:szCs w:val="20"/>
                <w:lang w:val="en-GB"/>
              </w:rPr>
              <w:t>mean</w:t>
            </w:r>
          </w:p>
        </w:tc>
        <w:tc>
          <w:tcPr>
            <w:tcW w:w="1024" w:type="dxa"/>
          </w:tcPr>
          <w:p w14:paraId="5CE1D234" w14:textId="707FF62B" w:rsidR="00815C8E" w:rsidRPr="002345DB" w:rsidRDefault="00815C8E"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309.73</w:t>
            </w:r>
          </w:p>
        </w:tc>
        <w:tc>
          <w:tcPr>
            <w:tcW w:w="1012" w:type="dxa"/>
          </w:tcPr>
          <w:p w14:paraId="5E49F1CD" w14:textId="263D8FAF" w:rsidR="00815C8E"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320.98</w:t>
            </w:r>
          </w:p>
        </w:tc>
        <w:tc>
          <w:tcPr>
            <w:tcW w:w="1012" w:type="dxa"/>
          </w:tcPr>
          <w:p w14:paraId="55CE284D" w14:textId="41831BAC" w:rsidR="00815C8E"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344.67</w:t>
            </w:r>
          </w:p>
        </w:tc>
      </w:tr>
      <w:tr w:rsidR="00584876" w:rsidRPr="002345DB" w14:paraId="5CAA637B" w14:textId="77777777" w:rsidTr="005848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97" w:type="dxa"/>
          </w:tcPr>
          <w:p w14:paraId="7C8C5AB7" w14:textId="0528386C" w:rsidR="00BB33BB" w:rsidRPr="005946CE" w:rsidRDefault="00BB33BB" w:rsidP="00BB33BB">
            <w:pPr>
              <w:jc w:val="both"/>
              <w:rPr>
                <w:sz w:val="20"/>
                <w:szCs w:val="20"/>
                <w:lang w:val="en-GB"/>
              </w:rPr>
            </w:pPr>
            <w:r w:rsidRPr="005946CE">
              <w:rPr>
                <w:sz w:val="20"/>
                <w:szCs w:val="20"/>
                <w:lang w:val="en-GB"/>
              </w:rPr>
              <w:t>75</w:t>
            </w:r>
            <w:r w:rsidRPr="005946CE">
              <w:rPr>
                <w:sz w:val="20"/>
                <w:szCs w:val="20"/>
                <w:vertAlign w:val="superscript"/>
                <w:lang w:val="en-GB"/>
              </w:rPr>
              <w:t>th</w:t>
            </w:r>
            <w:r w:rsidRPr="005946CE">
              <w:rPr>
                <w:sz w:val="20"/>
                <w:szCs w:val="20"/>
                <w:lang w:val="en-GB"/>
              </w:rPr>
              <w:t xml:space="preserve"> percentile</w:t>
            </w:r>
          </w:p>
        </w:tc>
        <w:tc>
          <w:tcPr>
            <w:tcW w:w="1024" w:type="dxa"/>
          </w:tcPr>
          <w:p w14:paraId="2F812354" w14:textId="1ACD8242" w:rsidR="00BB33BB" w:rsidRPr="002345DB" w:rsidRDefault="00815C8E"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365.03</w:t>
            </w:r>
          </w:p>
        </w:tc>
        <w:tc>
          <w:tcPr>
            <w:tcW w:w="1012" w:type="dxa"/>
          </w:tcPr>
          <w:p w14:paraId="0835294E" w14:textId="0FB5A4E6" w:rsidR="00BB33B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381.07</w:t>
            </w:r>
          </w:p>
        </w:tc>
        <w:tc>
          <w:tcPr>
            <w:tcW w:w="1012" w:type="dxa"/>
          </w:tcPr>
          <w:p w14:paraId="7A7E5C5D" w14:textId="060CCF4D" w:rsidR="00BB33B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406.70</w:t>
            </w:r>
          </w:p>
        </w:tc>
      </w:tr>
      <w:tr w:rsidR="00BB33BB" w:rsidRPr="002345DB" w14:paraId="5AA63CB2" w14:textId="77777777" w:rsidTr="00584876">
        <w:trPr>
          <w:trHeight w:val="267"/>
        </w:trPr>
        <w:tc>
          <w:tcPr>
            <w:cnfStyle w:val="001000000000" w:firstRow="0" w:lastRow="0" w:firstColumn="1" w:lastColumn="0" w:oddVBand="0" w:evenVBand="0" w:oddHBand="0" w:evenHBand="0" w:firstRowFirstColumn="0" w:firstRowLastColumn="0" w:lastRowFirstColumn="0" w:lastRowLastColumn="0"/>
            <w:tcW w:w="2297" w:type="dxa"/>
          </w:tcPr>
          <w:p w14:paraId="6BB450A7" w14:textId="2EDBF37E" w:rsidR="00BB33BB" w:rsidRPr="005946CE" w:rsidRDefault="00BB33BB" w:rsidP="00BB33BB">
            <w:pPr>
              <w:jc w:val="both"/>
              <w:rPr>
                <w:sz w:val="20"/>
                <w:szCs w:val="20"/>
                <w:lang w:val="en-GB"/>
              </w:rPr>
            </w:pPr>
            <w:r w:rsidRPr="005946CE">
              <w:rPr>
                <w:sz w:val="20"/>
                <w:szCs w:val="20"/>
                <w:lang w:val="en-GB"/>
              </w:rPr>
              <w:t>max</w:t>
            </w:r>
          </w:p>
        </w:tc>
        <w:tc>
          <w:tcPr>
            <w:tcW w:w="1024" w:type="dxa"/>
          </w:tcPr>
          <w:p w14:paraId="7F8703FC" w14:textId="01C22820" w:rsidR="00BB33BB" w:rsidRPr="002345DB" w:rsidRDefault="00815C8E"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824.13</w:t>
            </w:r>
          </w:p>
        </w:tc>
        <w:tc>
          <w:tcPr>
            <w:tcW w:w="1012" w:type="dxa"/>
          </w:tcPr>
          <w:p w14:paraId="79B0DB58" w14:textId="2B706FFC" w:rsidR="00BB33BB"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849.61</w:t>
            </w:r>
          </w:p>
        </w:tc>
        <w:tc>
          <w:tcPr>
            <w:tcW w:w="1012" w:type="dxa"/>
          </w:tcPr>
          <w:p w14:paraId="10DBC877" w14:textId="6D729822" w:rsidR="00BB33BB"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872.88</w:t>
            </w:r>
          </w:p>
        </w:tc>
      </w:tr>
      <w:tr w:rsidR="00584876" w:rsidRPr="002345DB" w14:paraId="233DF129" w14:textId="77777777" w:rsidTr="005848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97" w:type="dxa"/>
          </w:tcPr>
          <w:p w14:paraId="2AE45713" w14:textId="7A72FEF4" w:rsidR="003C71DB" w:rsidRPr="005946CE" w:rsidRDefault="003C71DB" w:rsidP="00BB33BB">
            <w:pPr>
              <w:jc w:val="both"/>
              <w:rPr>
                <w:sz w:val="20"/>
                <w:szCs w:val="20"/>
                <w:lang w:val="en-GB"/>
              </w:rPr>
            </w:pPr>
            <w:r w:rsidRPr="005946CE">
              <w:rPr>
                <w:sz w:val="20"/>
                <w:szCs w:val="20"/>
                <w:lang w:val="en-GB"/>
              </w:rPr>
              <w:t>IQR</w:t>
            </w:r>
          </w:p>
        </w:tc>
        <w:tc>
          <w:tcPr>
            <w:tcW w:w="1024" w:type="dxa"/>
          </w:tcPr>
          <w:p w14:paraId="14ED4235" w14:textId="61C9D233" w:rsidR="003C71DB" w:rsidRPr="002345DB" w:rsidRDefault="00392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150.19</w:t>
            </w:r>
          </w:p>
        </w:tc>
        <w:tc>
          <w:tcPr>
            <w:tcW w:w="1012" w:type="dxa"/>
          </w:tcPr>
          <w:p w14:paraId="6D11979C" w14:textId="1B702D96" w:rsidR="003C71D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sidRPr="002345DB">
              <w:rPr>
                <w:sz w:val="20"/>
                <w:szCs w:val="20"/>
                <w:lang w:val="en-GB"/>
              </w:rPr>
              <w:t>154.81</w:t>
            </w:r>
          </w:p>
        </w:tc>
        <w:tc>
          <w:tcPr>
            <w:tcW w:w="1012" w:type="dxa"/>
          </w:tcPr>
          <w:p w14:paraId="56F229E4" w14:textId="74C03EF7" w:rsidR="003C71DB" w:rsidRPr="002345DB" w:rsidRDefault="002345DB" w:rsidP="002345DB">
            <w:pPr>
              <w:jc w:val="righ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153.16</w:t>
            </w:r>
          </w:p>
        </w:tc>
      </w:tr>
      <w:tr w:rsidR="00BB33BB" w:rsidRPr="002345DB" w14:paraId="3C9F24DE" w14:textId="77777777" w:rsidTr="00584876">
        <w:trPr>
          <w:trHeight w:val="282"/>
        </w:trPr>
        <w:tc>
          <w:tcPr>
            <w:cnfStyle w:val="001000000000" w:firstRow="0" w:lastRow="0" w:firstColumn="1" w:lastColumn="0" w:oddVBand="0" w:evenVBand="0" w:oddHBand="0" w:evenHBand="0" w:firstRowFirstColumn="0" w:firstRowLastColumn="0" w:lastRowFirstColumn="0" w:lastRowLastColumn="0"/>
            <w:tcW w:w="2297" w:type="dxa"/>
          </w:tcPr>
          <w:p w14:paraId="2BBB30F4" w14:textId="700703A4" w:rsidR="00BB33BB" w:rsidRPr="005946CE" w:rsidRDefault="00BB33BB" w:rsidP="00BB33BB">
            <w:pPr>
              <w:jc w:val="both"/>
              <w:rPr>
                <w:sz w:val="20"/>
                <w:szCs w:val="20"/>
                <w:lang w:val="en-GB"/>
              </w:rPr>
            </w:pPr>
            <w:r w:rsidRPr="005946CE">
              <w:rPr>
                <w:sz w:val="20"/>
                <w:szCs w:val="20"/>
                <w:lang w:val="en-GB"/>
              </w:rPr>
              <w:t>standard deviation</w:t>
            </w:r>
          </w:p>
        </w:tc>
        <w:tc>
          <w:tcPr>
            <w:tcW w:w="1024" w:type="dxa"/>
          </w:tcPr>
          <w:p w14:paraId="4751BBC2" w14:textId="66EC160B" w:rsidR="00BB33BB" w:rsidRPr="002345DB" w:rsidRDefault="00815C8E"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136.61</w:t>
            </w:r>
          </w:p>
        </w:tc>
        <w:tc>
          <w:tcPr>
            <w:tcW w:w="1012" w:type="dxa"/>
          </w:tcPr>
          <w:p w14:paraId="259CE762" w14:textId="4A900A83" w:rsidR="00BB33BB"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sidRPr="002345DB">
              <w:rPr>
                <w:sz w:val="20"/>
                <w:szCs w:val="20"/>
                <w:lang w:val="en-GB"/>
              </w:rPr>
              <w:t>138.64</w:t>
            </w:r>
          </w:p>
        </w:tc>
        <w:tc>
          <w:tcPr>
            <w:tcW w:w="1012" w:type="dxa"/>
          </w:tcPr>
          <w:p w14:paraId="0F654F48" w14:textId="42F2EB04" w:rsidR="00BB33BB" w:rsidRPr="002345DB" w:rsidRDefault="002345DB" w:rsidP="002345DB">
            <w:pPr>
              <w:jc w:val="righ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138.26</w:t>
            </w:r>
          </w:p>
        </w:tc>
      </w:tr>
    </w:tbl>
    <w:p w14:paraId="632A8CEE" w14:textId="77777777" w:rsidR="00BB33BB" w:rsidRDefault="00BB33BB" w:rsidP="00BB33BB">
      <w:pPr>
        <w:jc w:val="both"/>
        <w:rPr>
          <w:lang w:val="en-GB"/>
        </w:rPr>
      </w:pPr>
    </w:p>
    <w:p w14:paraId="74AD1C11" w14:textId="0D639085" w:rsidR="008A0FA6" w:rsidRDefault="00BB33BB" w:rsidP="00B56986">
      <w:pPr>
        <w:jc w:val="both"/>
        <w:rPr>
          <w:lang w:val="en-GB"/>
        </w:rPr>
      </w:pPr>
      <w:r>
        <w:rPr>
          <w:lang w:val="en-GB"/>
        </w:rPr>
        <w:t>The data also includes the total budget allocated for tackling the condition and its distribution across six policy areas.</w:t>
      </w:r>
      <w:r w:rsidR="004D1918">
        <w:rPr>
          <w:lang w:val="en-GB"/>
        </w:rPr>
        <w:t xml:space="preserve"> All of these were recalculated per person, to account for different sizes of local authorities.</w:t>
      </w:r>
      <w:r w:rsidR="00053854">
        <w:rPr>
          <w:lang w:val="en-GB"/>
        </w:rPr>
        <w:t xml:space="preserve"> We can observe from </w:t>
      </w:r>
      <w:r w:rsidR="00053854">
        <w:rPr>
          <w:i/>
          <w:iCs/>
          <w:lang w:val="en-GB"/>
        </w:rPr>
        <w:t>figure 1</w:t>
      </w:r>
      <w:r w:rsidR="00093F3C">
        <w:rPr>
          <w:i/>
          <w:iCs/>
          <w:lang w:val="en-GB"/>
        </w:rPr>
        <w:t>a</w:t>
      </w:r>
      <w:r w:rsidR="00053854">
        <w:rPr>
          <w:i/>
          <w:iCs/>
          <w:lang w:val="en-GB"/>
        </w:rPr>
        <w:t xml:space="preserve"> </w:t>
      </w:r>
      <w:r w:rsidR="00053854">
        <w:rPr>
          <w:lang w:val="en-GB"/>
        </w:rPr>
        <w:t xml:space="preserve">that </w:t>
      </w:r>
      <w:r w:rsidR="00093F3C">
        <w:rPr>
          <w:lang w:val="en-GB"/>
        </w:rPr>
        <w:t xml:space="preserve">the data contains a spending outlier, the City of London, which is not a typical local authority due to its low population and was removed from the data in the subsequent analysis. Apart from that, </w:t>
      </w:r>
      <w:r w:rsidR="00B351E0">
        <w:rPr>
          <w:lang w:val="en-GB"/>
        </w:rPr>
        <w:t>total budget per person does not seem to be related to the number of cases per 100,000 in 2008 (</w:t>
      </w:r>
      <w:r w:rsidR="00B351E0">
        <w:rPr>
          <w:i/>
          <w:iCs/>
          <w:lang w:val="en-GB"/>
        </w:rPr>
        <w:t>figure 1b</w:t>
      </w:r>
      <w:r w:rsidR="00B351E0">
        <w:rPr>
          <w:lang w:val="en-GB"/>
        </w:rPr>
        <w:t>).</w:t>
      </w:r>
    </w:p>
    <w:p w14:paraId="3FAC04C0" w14:textId="453F09B3" w:rsidR="00B351E0" w:rsidRDefault="00B351E0" w:rsidP="00B56986">
      <w:pPr>
        <w:jc w:val="both"/>
        <w:rPr>
          <w:lang w:val="en-GB"/>
        </w:rPr>
      </w:pPr>
    </w:p>
    <w:p w14:paraId="2B4F329C" w14:textId="1E4D8459" w:rsidR="00E02D85" w:rsidRDefault="0010535E" w:rsidP="00E02D85">
      <w:pPr>
        <w:spacing w:line="360" w:lineRule="auto"/>
        <w:jc w:val="both"/>
        <w:rPr>
          <w:i/>
          <w:iCs/>
          <w:lang w:val="en-GB"/>
        </w:rPr>
      </w:pPr>
      <w:r>
        <w:rPr>
          <w:noProof/>
          <w:lang w:val="en-GB"/>
        </w:rPr>
        <w:drawing>
          <wp:anchor distT="0" distB="0" distL="114300" distR="114300" simplePos="0" relativeHeight="251658240" behindDoc="1" locked="0" layoutInCell="1" allowOverlap="1" wp14:anchorId="49EE9903" wp14:editId="208ADB30">
            <wp:simplePos x="0" y="0"/>
            <wp:positionH relativeFrom="column">
              <wp:posOffset>-440055</wp:posOffset>
            </wp:positionH>
            <wp:positionV relativeFrom="paragraph">
              <wp:posOffset>483235</wp:posOffset>
            </wp:positionV>
            <wp:extent cx="3242310" cy="1977390"/>
            <wp:effectExtent l="0" t="0" r="0" b="3810"/>
            <wp:wrapTight wrapText="bothSides">
              <wp:wrapPolygon edited="0">
                <wp:start x="0" y="0"/>
                <wp:lineTo x="0" y="21503"/>
                <wp:lineTo x="21490" y="21503"/>
                <wp:lineTo x="21490"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t="8510"/>
                    <a:stretch/>
                  </pic:blipFill>
                  <pic:spPr bwMode="auto">
                    <a:xfrm>
                      <a:off x="0" y="0"/>
                      <a:ext cx="3242310" cy="1977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2D85">
        <w:rPr>
          <w:noProof/>
          <w:lang w:val="en-GB"/>
        </w:rPr>
        <w:drawing>
          <wp:anchor distT="0" distB="0" distL="114300" distR="114300" simplePos="0" relativeHeight="251659264" behindDoc="1" locked="0" layoutInCell="1" allowOverlap="1" wp14:anchorId="13040278" wp14:editId="080AC742">
            <wp:simplePos x="0" y="0"/>
            <wp:positionH relativeFrom="column">
              <wp:posOffset>2801196</wp:posOffset>
            </wp:positionH>
            <wp:positionV relativeFrom="paragraph">
              <wp:posOffset>484505</wp:posOffset>
            </wp:positionV>
            <wp:extent cx="3289300" cy="1979930"/>
            <wp:effectExtent l="0" t="0" r="0" b="1270"/>
            <wp:wrapTight wrapText="bothSides">
              <wp:wrapPolygon edited="0">
                <wp:start x="0" y="0"/>
                <wp:lineTo x="0" y="21475"/>
                <wp:lineTo x="21517" y="21475"/>
                <wp:lineTo x="21517"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t="9656"/>
                    <a:stretch/>
                  </pic:blipFill>
                  <pic:spPr bwMode="auto">
                    <a:xfrm>
                      <a:off x="0" y="0"/>
                      <a:ext cx="3289300" cy="197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51E0">
        <w:rPr>
          <w:i/>
          <w:iCs/>
          <w:lang w:val="en-GB"/>
        </w:rPr>
        <w:t>Figure 1: Number of cases per 100,000 in 2008 vs</w:t>
      </w:r>
      <w:r w:rsidR="003F5947">
        <w:rPr>
          <w:i/>
          <w:iCs/>
          <w:lang w:val="en-GB"/>
        </w:rPr>
        <w:t xml:space="preserve"> t</w:t>
      </w:r>
      <w:r w:rsidR="00B351E0">
        <w:rPr>
          <w:i/>
          <w:iCs/>
          <w:lang w:val="en-GB"/>
        </w:rPr>
        <w:t>otal budget per 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02D85" w14:paraId="50036C76" w14:textId="77777777" w:rsidTr="00E02D85">
        <w:tc>
          <w:tcPr>
            <w:tcW w:w="4505" w:type="dxa"/>
          </w:tcPr>
          <w:p w14:paraId="37008B35" w14:textId="1F7919B2" w:rsidR="00E02D85" w:rsidRDefault="00E02D85" w:rsidP="00B56986">
            <w:pPr>
              <w:jc w:val="both"/>
              <w:rPr>
                <w:i/>
                <w:iCs/>
                <w:lang w:val="en-GB"/>
              </w:rPr>
            </w:pPr>
            <w:r>
              <w:rPr>
                <w:i/>
                <w:iCs/>
                <w:lang w:val="en-GB"/>
              </w:rPr>
              <w:t>a)</w:t>
            </w:r>
          </w:p>
        </w:tc>
        <w:tc>
          <w:tcPr>
            <w:tcW w:w="4505" w:type="dxa"/>
          </w:tcPr>
          <w:p w14:paraId="2AE93783" w14:textId="2AF8AD23" w:rsidR="00E02D85" w:rsidRDefault="00E02D85" w:rsidP="00B56986">
            <w:pPr>
              <w:jc w:val="both"/>
              <w:rPr>
                <w:i/>
                <w:iCs/>
                <w:lang w:val="en-GB"/>
              </w:rPr>
            </w:pPr>
            <w:r>
              <w:rPr>
                <w:i/>
                <w:iCs/>
                <w:lang w:val="en-GB"/>
              </w:rPr>
              <w:t>b)</w:t>
            </w:r>
          </w:p>
        </w:tc>
      </w:tr>
    </w:tbl>
    <w:p w14:paraId="0B2EBDDA" w14:textId="293A7CFB" w:rsidR="008A0FA6" w:rsidRDefault="008A0FA6" w:rsidP="00397505">
      <w:pPr>
        <w:pStyle w:val="Heading2"/>
        <w:jc w:val="both"/>
        <w:rPr>
          <w:lang w:val="en-GB"/>
        </w:rPr>
      </w:pPr>
      <w:r>
        <w:rPr>
          <w:lang w:val="en-GB"/>
        </w:rPr>
        <w:lastRenderedPageBreak/>
        <w:t>Methodology</w:t>
      </w:r>
    </w:p>
    <w:p w14:paraId="68B81036" w14:textId="371D2F2B" w:rsidR="008A0FA6" w:rsidRDefault="00397505" w:rsidP="00397505">
      <w:pPr>
        <w:jc w:val="both"/>
        <w:rPr>
          <w:lang w:val="en-GB"/>
        </w:rPr>
      </w:pPr>
      <w:r>
        <w:rPr>
          <w:lang w:val="en-GB"/>
        </w:rPr>
        <w:t xml:space="preserve">To explore the factors </w:t>
      </w:r>
      <w:r w:rsidR="00053854">
        <w:rPr>
          <w:lang w:val="en-GB"/>
        </w:rPr>
        <w:t xml:space="preserve">which best explain the </w:t>
      </w:r>
      <w:r>
        <w:rPr>
          <w:lang w:val="en-GB"/>
        </w:rPr>
        <w:t>prevalence of childhood obesity</w:t>
      </w:r>
      <w:r w:rsidR="00053854">
        <w:rPr>
          <w:lang w:val="en-GB"/>
        </w:rPr>
        <w:t xml:space="preserve"> in 2018</w:t>
      </w:r>
      <w:r>
        <w:rPr>
          <w:lang w:val="en-GB"/>
        </w:rPr>
        <w:t>, a multiple regression was fitted in the form</w:t>
      </w:r>
    </w:p>
    <w:p w14:paraId="0528531E" w14:textId="7AA6EAFC" w:rsidR="00397505" w:rsidRDefault="00397505" w:rsidP="00397505">
      <w:pPr>
        <w:jc w:val="both"/>
        <w:rPr>
          <w:lang w:val="en-GB"/>
        </w:rPr>
      </w:pPr>
    </w:p>
    <w:p w14:paraId="736D69D6" w14:textId="5C9AC613" w:rsidR="00397505" w:rsidRPr="00397505" w:rsidRDefault="00397505" w:rsidP="00397505">
      <w:pPr>
        <w:jc w:val="center"/>
        <w:rPr>
          <w:rFonts w:eastAsiaTheme="minorEastAsia"/>
          <w:sz w:val="21"/>
          <w:szCs w:val="21"/>
          <w:lang w:val="en-GB"/>
        </w:rPr>
      </w:pPr>
      <m:oMathPara>
        <m:oMath>
          <m:r>
            <w:rPr>
              <w:rFonts w:ascii="Cambria Math" w:hAnsi="Cambria Math"/>
              <w:sz w:val="21"/>
              <w:szCs w:val="21"/>
              <w:lang w:val="en-GB"/>
            </w:rPr>
            <m:t>cases</m:t>
          </m:r>
          <m:r>
            <m:rPr>
              <m:nor/>
            </m:rPr>
            <w:rPr>
              <w:rFonts w:ascii="Cambria Math" w:hAnsi="Cambria Math"/>
              <w:sz w:val="21"/>
              <w:szCs w:val="21"/>
              <w:lang w:val="en-GB"/>
            </w:rPr>
            <m:t>_</m:t>
          </m:r>
          <m:r>
            <w:rPr>
              <w:rFonts w:ascii="Cambria Math" w:hAnsi="Cambria Math"/>
              <w:sz w:val="21"/>
              <w:szCs w:val="21"/>
              <w:lang w:val="en-GB"/>
            </w:rPr>
            <m:t>total</m:t>
          </m:r>
          <m:r>
            <m:rPr>
              <m:nor/>
            </m:rPr>
            <w:rPr>
              <w:rFonts w:ascii="Cambria Math" w:hAnsi="Cambria Math"/>
              <w:sz w:val="21"/>
              <w:szCs w:val="21"/>
              <w:lang w:val="en-GB"/>
            </w:rPr>
            <m:t>_</m:t>
          </m:r>
          <m:r>
            <w:rPr>
              <w:rFonts w:ascii="Cambria Math" w:hAnsi="Cambria Math"/>
              <w:sz w:val="21"/>
              <w:szCs w:val="21"/>
              <w:lang w:val="en-GB"/>
            </w:rPr>
            <m:t>prop</m:t>
          </m:r>
          <m:r>
            <m:rPr>
              <m:nor/>
            </m:rPr>
            <w:rPr>
              <w:rFonts w:ascii="Cambria Math" w:hAnsi="Cambria Math"/>
              <w:sz w:val="21"/>
              <w:szCs w:val="21"/>
              <w:lang w:val="en-GB"/>
            </w:rPr>
            <m:t>_</m:t>
          </m:r>
          <m:r>
            <w:rPr>
              <w:rFonts w:ascii="Cambria Math" w:hAnsi="Cambria Math"/>
              <w:sz w:val="21"/>
              <w:szCs w:val="21"/>
              <w:lang w:val="en-GB"/>
            </w:rPr>
            <m:t xml:space="preserve">2018= </m:t>
          </m:r>
          <m:sSub>
            <m:sSubPr>
              <m:ctrlPr>
                <w:rPr>
                  <w:rFonts w:ascii="Cambria Math" w:hAnsi="Cambria Math"/>
                  <w:i/>
                  <w:sz w:val="21"/>
                  <w:szCs w:val="21"/>
                  <w:lang w:val="en-GB"/>
                </w:rPr>
              </m:ctrlPr>
            </m:sSubPr>
            <m:e>
              <m:r>
                <w:rPr>
                  <w:rFonts w:ascii="Cambria Math" w:hAnsi="Cambria Math"/>
                  <w:i/>
                  <w:sz w:val="21"/>
                  <w:szCs w:val="21"/>
                  <w:lang w:val="en-GB"/>
                </w:rPr>
                <w:sym w:font="Symbol" w:char="F062"/>
              </m:r>
            </m:e>
            <m:sub>
              <m:r>
                <w:rPr>
                  <w:rFonts w:ascii="Cambria Math" w:hAnsi="Cambria Math"/>
                  <w:sz w:val="21"/>
                  <w:szCs w:val="21"/>
                  <w:lang w:val="en-GB"/>
                </w:rPr>
                <m:t>0</m:t>
              </m:r>
            </m:sub>
          </m:sSub>
          <m:r>
            <w:rPr>
              <w:rFonts w:ascii="Cambria Math" w:hAnsi="Cambria Math"/>
              <w:sz w:val="21"/>
              <w:szCs w:val="21"/>
              <w:lang w:val="en-GB"/>
            </w:rPr>
            <m:t>+</m:t>
          </m:r>
          <m:sSub>
            <m:sSubPr>
              <m:ctrlPr>
                <w:rPr>
                  <w:rFonts w:ascii="Cambria Math" w:hAnsi="Cambria Math"/>
                  <w:i/>
                  <w:sz w:val="21"/>
                  <w:szCs w:val="21"/>
                  <w:lang w:val="en-GB"/>
                </w:rPr>
              </m:ctrlPr>
            </m:sSubPr>
            <m:e>
              <m:r>
                <w:rPr>
                  <w:rFonts w:ascii="Cambria Math" w:hAnsi="Cambria Math"/>
                  <w:i/>
                  <w:sz w:val="21"/>
                  <w:szCs w:val="21"/>
                  <w:lang w:val="en-GB"/>
                </w:rPr>
                <w:sym w:font="Symbol" w:char="F062"/>
              </m:r>
            </m:e>
            <m:sub>
              <m:r>
                <w:rPr>
                  <w:rFonts w:ascii="Cambria Math" w:hAnsi="Cambria Math"/>
                  <w:sz w:val="21"/>
                  <w:szCs w:val="21"/>
                  <w:lang w:val="en-GB"/>
                </w:rPr>
                <m:t>1</m:t>
              </m:r>
            </m:sub>
          </m:sSub>
          <m:r>
            <w:rPr>
              <w:rFonts w:ascii="Cambria Math" w:hAnsi="Cambria Math"/>
              <w:sz w:val="21"/>
              <w:szCs w:val="21"/>
              <w:lang w:val="en-GB"/>
            </w:rPr>
            <m:t>×cases</m:t>
          </m:r>
          <m:r>
            <m:rPr>
              <m:nor/>
            </m:rPr>
            <w:rPr>
              <w:rFonts w:ascii="Cambria Math" w:hAnsi="Cambria Math"/>
              <w:sz w:val="21"/>
              <w:szCs w:val="21"/>
              <w:lang w:val="en-GB"/>
            </w:rPr>
            <m:t>_</m:t>
          </m:r>
          <m:r>
            <w:rPr>
              <w:rFonts w:ascii="Cambria Math" w:hAnsi="Cambria Math"/>
              <w:sz w:val="21"/>
              <w:szCs w:val="21"/>
              <w:lang w:val="en-GB"/>
            </w:rPr>
            <m:t>total</m:t>
          </m:r>
          <m:r>
            <m:rPr>
              <m:nor/>
            </m:rPr>
            <w:rPr>
              <w:rFonts w:ascii="Cambria Math" w:hAnsi="Cambria Math"/>
              <w:sz w:val="21"/>
              <w:szCs w:val="21"/>
              <w:lang w:val="en-GB"/>
            </w:rPr>
            <m:t>_</m:t>
          </m:r>
          <m:r>
            <w:rPr>
              <w:rFonts w:ascii="Cambria Math" w:hAnsi="Cambria Math"/>
              <w:sz w:val="21"/>
              <w:szCs w:val="21"/>
              <w:lang w:val="en-GB"/>
            </w:rPr>
            <m:t>prop</m:t>
          </m:r>
          <m:r>
            <m:rPr>
              <m:nor/>
            </m:rPr>
            <w:rPr>
              <w:rFonts w:ascii="Cambria Math" w:hAnsi="Cambria Math"/>
              <w:sz w:val="21"/>
              <w:szCs w:val="21"/>
              <w:lang w:val="en-GB"/>
            </w:rPr>
            <m:t>_</m:t>
          </m:r>
          <m:r>
            <w:rPr>
              <w:rFonts w:ascii="Cambria Math" w:hAnsi="Cambria Math"/>
              <w:sz w:val="21"/>
              <w:szCs w:val="21"/>
              <w:lang w:val="en-GB"/>
            </w:rPr>
            <m:t>2008+</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2</m:t>
              </m:r>
            </m:sub>
          </m:sSub>
          <m:r>
            <w:rPr>
              <w:rFonts w:ascii="Cambria Math" w:hAnsi="Cambria Math"/>
              <w:sz w:val="21"/>
              <w:szCs w:val="21"/>
              <w:lang w:val="en-GB"/>
            </w:rPr>
            <m:t>×female</m:t>
          </m:r>
          <m:r>
            <m:rPr>
              <m:nor/>
            </m:rPr>
            <w:rPr>
              <w:rFonts w:ascii="Cambria Math" w:hAnsi="Cambria Math"/>
              <w:sz w:val="21"/>
              <w:szCs w:val="21"/>
              <w:lang w:val="en-GB"/>
            </w:rPr>
            <m:t>_</m:t>
          </m:r>
          <m:r>
            <w:rPr>
              <w:rFonts w:ascii="Cambria Math" w:hAnsi="Cambria Math"/>
              <w:sz w:val="21"/>
              <w:szCs w:val="21"/>
              <w:lang w:val="en-GB"/>
            </w:rPr>
            <m:t>prop</m:t>
          </m:r>
          <m:r>
            <m:rPr>
              <m:nor/>
            </m:rPr>
            <w:rPr>
              <w:rFonts w:ascii="Cambria Math" w:hAnsi="Cambria Math"/>
              <w:sz w:val="21"/>
              <w:szCs w:val="21"/>
              <w:lang w:val="en-GB"/>
            </w:rPr>
            <m:t>_</m:t>
          </m:r>
          <m:r>
            <w:rPr>
              <w:rFonts w:ascii="Cambria Math" w:hAnsi="Cambria Math"/>
              <w:sz w:val="21"/>
              <w:szCs w:val="21"/>
              <w:lang w:val="en-GB"/>
            </w:rPr>
            <m:t>change+</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3</m:t>
              </m:r>
            </m:sub>
          </m:sSub>
          <m:r>
            <w:rPr>
              <w:rFonts w:ascii="Cambria Math" w:hAnsi="Cambria Math"/>
              <w:sz w:val="21"/>
              <w:szCs w:val="21"/>
              <w:lang w:val="en-GB"/>
            </w:rPr>
            <m:t>×clean</m:t>
          </m:r>
          <m:r>
            <m:rPr>
              <m:nor/>
            </m:rPr>
            <w:rPr>
              <w:rFonts w:ascii="Cambria Math" w:hAnsi="Cambria Math"/>
              <w:sz w:val="21"/>
              <w:szCs w:val="21"/>
              <w:lang w:val="en-GB"/>
            </w:rPr>
            <m:t>_</m:t>
          </m:r>
          <m:r>
            <w:rPr>
              <w:rFonts w:ascii="Cambria Math" w:hAnsi="Cambria Math"/>
              <w:sz w:val="21"/>
              <w:szCs w:val="21"/>
              <w:lang w:val="en-GB"/>
            </w:rPr>
            <m:t>air</m:t>
          </m:r>
          <m:r>
            <m:rPr>
              <m:nor/>
            </m:rPr>
            <w:rPr>
              <w:rFonts w:ascii="Cambria Math" w:hAnsi="Cambria Math"/>
              <w:sz w:val="21"/>
              <w:szCs w:val="21"/>
              <w:lang w:val="en-GB"/>
            </w:rPr>
            <m:t>_</m:t>
          </m:r>
          <m:r>
            <w:rPr>
              <w:rFonts w:ascii="Cambria Math" w:hAnsi="Cambria Math"/>
              <w:sz w:val="21"/>
              <w:szCs w:val="21"/>
              <w:lang w:val="en-GB"/>
            </w:rPr>
            <m:t>pp+</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4</m:t>
              </m:r>
            </m:sub>
          </m:sSub>
          <m:r>
            <w:rPr>
              <w:rFonts w:ascii="Cambria Math" w:hAnsi="Cambria Math"/>
              <w:sz w:val="21"/>
              <w:szCs w:val="21"/>
              <w:lang w:val="en-GB"/>
            </w:rPr>
            <m:t>×clean</m:t>
          </m:r>
          <m:r>
            <m:rPr>
              <m:nor/>
            </m:rPr>
            <w:rPr>
              <w:rFonts w:ascii="Cambria Math" w:hAnsi="Cambria Math"/>
              <w:sz w:val="21"/>
              <w:szCs w:val="21"/>
              <w:lang w:val="en-GB"/>
            </w:rPr>
            <m:t>_</m:t>
          </m:r>
          <m:r>
            <w:rPr>
              <w:rFonts w:ascii="Cambria Math" w:hAnsi="Cambria Math"/>
              <w:sz w:val="21"/>
              <w:szCs w:val="21"/>
              <w:lang w:val="en-GB"/>
            </w:rPr>
            <m:t>environ</m:t>
          </m:r>
          <m:r>
            <m:rPr>
              <m:nor/>
            </m:rPr>
            <w:rPr>
              <w:rFonts w:ascii="Cambria Math" w:hAnsi="Cambria Math"/>
              <w:sz w:val="21"/>
              <w:szCs w:val="21"/>
              <w:lang w:val="en-GB"/>
            </w:rPr>
            <m:t>_</m:t>
          </m:r>
          <m:r>
            <w:rPr>
              <w:rFonts w:ascii="Cambria Math" w:hAnsi="Cambria Math"/>
              <w:sz w:val="21"/>
              <w:szCs w:val="21"/>
              <w:lang w:val="en-GB"/>
            </w:rPr>
            <m:t>pp+</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5</m:t>
              </m:r>
            </m:sub>
          </m:sSub>
          <m:r>
            <w:rPr>
              <w:rFonts w:ascii="Cambria Math" w:hAnsi="Cambria Math"/>
              <w:sz w:val="21"/>
              <w:szCs w:val="21"/>
              <w:lang w:val="en-GB"/>
            </w:rPr>
            <m:t>×health</m:t>
          </m:r>
          <m:r>
            <m:rPr>
              <m:nor/>
            </m:rPr>
            <w:rPr>
              <w:rFonts w:ascii="Cambria Math" w:hAnsi="Cambria Math"/>
              <w:sz w:val="21"/>
              <w:szCs w:val="21"/>
              <w:lang w:val="en-GB"/>
            </w:rPr>
            <m:t>_</m:t>
          </m:r>
          <m:r>
            <w:rPr>
              <w:rFonts w:ascii="Cambria Math" w:hAnsi="Cambria Math"/>
              <w:sz w:val="21"/>
              <w:szCs w:val="21"/>
              <w:lang w:val="en-GB"/>
            </w:rPr>
            <m:t>training</m:t>
          </m:r>
          <m:r>
            <m:rPr>
              <m:nor/>
            </m:rPr>
            <w:rPr>
              <w:rFonts w:ascii="Cambria Math" w:hAnsi="Cambria Math"/>
              <w:sz w:val="21"/>
              <w:szCs w:val="21"/>
              <w:lang w:val="en-GB"/>
            </w:rPr>
            <m:t>_</m:t>
          </m:r>
          <m:r>
            <w:rPr>
              <w:rFonts w:ascii="Cambria Math" w:hAnsi="Cambria Math"/>
              <w:sz w:val="21"/>
              <w:szCs w:val="21"/>
              <w:lang w:val="en-GB"/>
            </w:rPr>
            <m:t>pp+</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6</m:t>
              </m:r>
            </m:sub>
          </m:sSub>
          <m:r>
            <w:rPr>
              <w:rFonts w:ascii="Cambria Math" w:hAnsi="Cambria Math"/>
              <w:sz w:val="21"/>
              <w:szCs w:val="21"/>
              <w:lang w:val="en-GB"/>
            </w:rPr>
            <m:t>×school</m:t>
          </m:r>
          <m:r>
            <m:rPr>
              <m:nor/>
            </m:rPr>
            <w:rPr>
              <w:rFonts w:ascii="Cambria Math" w:hAnsi="Cambria Math"/>
              <w:sz w:val="21"/>
              <w:szCs w:val="21"/>
              <w:lang w:val="en-GB"/>
            </w:rPr>
            <m:t>_</m:t>
          </m:r>
          <m:r>
            <w:rPr>
              <w:rFonts w:ascii="Cambria Math" w:hAnsi="Cambria Math"/>
              <w:sz w:val="21"/>
              <w:szCs w:val="21"/>
              <w:lang w:val="en-GB"/>
            </w:rPr>
            <m:t>awareness</m:t>
          </m:r>
          <m:r>
            <m:rPr>
              <m:nor/>
            </m:rPr>
            <w:rPr>
              <w:rFonts w:ascii="Cambria Math" w:hAnsi="Cambria Math"/>
              <w:sz w:val="21"/>
              <w:szCs w:val="21"/>
              <w:lang w:val="en-GB"/>
            </w:rPr>
            <m:t>_</m:t>
          </m:r>
          <m:r>
            <w:rPr>
              <w:rFonts w:ascii="Cambria Math" w:hAnsi="Cambria Math"/>
              <w:sz w:val="21"/>
              <w:szCs w:val="21"/>
              <w:lang w:val="en-GB"/>
            </w:rPr>
            <m:t>pp+</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7</m:t>
              </m:r>
            </m:sub>
          </m:sSub>
          <m:r>
            <w:rPr>
              <w:rFonts w:ascii="Cambria Math" w:hAnsi="Cambria Math"/>
              <w:sz w:val="21"/>
              <w:szCs w:val="21"/>
              <w:lang w:val="en-GB"/>
            </w:rPr>
            <m:t>×media</m:t>
          </m:r>
          <m:r>
            <m:rPr>
              <m:nor/>
            </m:rPr>
            <w:rPr>
              <w:rFonts w:ascii="Cambria Math" w:hAnsi="Cambria Math"/>
              <w:sz w:val="21"/>
              <w:szCs w:val="21"/>
              <w:lang w:val="en-GB"/>
            </w:rPr>
            <m:t>_</m:t>
          </m:r>
          <m:r>
            <w:rPr>
              <w:rFonts w:ascii="Cambria Math" w:hAnsi="Cambria Math"/>
              <w:sz w:val="21"/>
              <w:szCs w:val="21"/>
              <w:lang w:val="en-GB"/>
            </w:rPr>
            <m:t>awareness</m:t>
          </m:r>
          <m:r>
            <m:rPr>
              <m:nor/>
            </m:rPr>
            <w:rPr>
              <w:rFonts w:ascii="Cambria Math" w:hAnsi="Cambria Math"/>
              <w:sz w:val="21"/>
              <w:szCs w:val="21"/>
              <w:lang w:val="en-GB"/>
            </w:rPr>
            <m:t>_</m:t>
          </m:r>
          <m:r>
            <w:rPr>
              <w:rFonts w:ascii="Cambria Math" w:hAnsi="Cambria Math"/>
              <w:sz w:val="21"/>
              <w:szCs w:val="21"/>
              <w:lang w:val="en-GB"/>
            </w:rPr>
            <m:t>pp+</m:t>
          </m:r>
          <m:sSub>
            <m:sSubPr>
              <m:ctrlPr>
                <w:rPr>
                  <w:rFonts w:ascii="Cambria Math" w:hAnsi="Cambria Math"/>
                  <w:i/>
                  <w:sz w:val="21"/>
                  <w:szCs w:val="21"/>
                  <w:lang w:val="en-GB"/>
                </w:rPr>
              </m:ctrlPr>
            </m:sSubPr>
            <m:e>
              <m:r>
                <w:rPr>
                  <w:rFonts w:ascii="Cambria Math" w:hAnsi="Cambria Math"/>
                  <w:sz w:val="21"/>
                  <w:szCs w:val="21"/>
                  <w:lang w:val="en-GB"/>
                </w:rPr>
                <m:t>β</m:t>
              </m:r>
            </m:e>
            <m:sub>
              <m:r>
                <w:rPr>
                  <w:rFonts w:ascii="Cambria Math" w:hAnsi="Cambria Math"/>
                  <w:sz w:val="21"/>
                  <w:szCs w:val="21"/>
                  <w:lang w:val="en-GB"/>
                </w:rPr>
                <m:t>8</m:t>
              </m:r>
            </m:sub>
          </m:sSub>
          <m:r>
            <w:rPr>
              <w:rFonts w:ascii="Cambria Math" w:hAnsi="Cambria Math"/>
              <w:sz w:val="21"/>
              <w:szCs w:val="21"/>
              <w:lang w:val="en-GB"/>
            </w:rPr>
            <m:t>×sub</m:t>
          </m:r>
          <m:r>
            <m:rPr>
              <m:nor/>
            </m:rPr>
            <w:rPr>
              <w:rFonts w:ascii="Cambria Math" w:hAnsi="Cambria Math"/>
              <w:sz w:val="21"/>
              <w:szCs w:val="21"/>
              <w:lang w:val="en-GB"/>
            </w:rPr>
            <m:t>_</m:t>
          </m:r>
          <m:r>
            <w:rPr>
              <w:rFonts w:ascii="Cambria Math" w:hAnsi="Cambria Math"/>
              <w:sz w:val="21"/>
              <w:szCs w:val="21"/>
              <w:lang w:val="en-GB"/>
            </w:rPr>
            <m:t>counselling</m:t>
          </m:r>
          <m:r>
            <m:rPr>
              <m:nor/>
            </m:rPr>
            <w:rPr>
              <w:rFonts w:ascii="Cambria Math" w:hAnsi="Cambria Math"/>
              <w:sz w:val="21"/>
              <w:szCs w:val="21"/>
              <w:lang w:val="en-GB"/>
            </w:rPr>
            <m:t>_</m:t>
          </m:r>
          <m:r>
            <w:rPr>
              <w:rFonts w:ascii="Cambria Math" w:hAnsi="Cambria Math"/>
              <w:sz w:val="21"/>
              <w:szCs w:val="21"/>
              <w:lang w:val="en-GB"/>
            </w:rPr>
            <m:t>pp</m:t>
          </m:r>
        </m:oMath>
      </m:oMathPara>
    </w:p>
    <w:p w14:paraId="257C1251" w14:textId="23D782D9" w:rsidR="00397505" w:rsidRDefault="00397505" w:rsidP="00397505">
      <w:pPr>
        <w:rPr>
          <w:rFonts w:eastAsiaTheme="minorEastAsia"/>
          <w:lang w:val="en-GB"/>
        </w:rPr>
      </w:pPr>
    </w:p>
    <w:p w14:paraId="1DC37502" w14:textId="38AD9EB8" w:rsidR="00397505" w:rsidRDefault="00970A0B" w:rsidP="00970A0B">
      <w:pPr>
        <w:jc w:val="both"/>
        <w:rPr>
          <w:rFonts w:eastAsiaTheme="minorEastAsia"/>
          <w:lang w:val="en-GB"/>
        </w:rPr>
      </w:pPr>
      <w:r>
        <w:rPr>
          <w:rFonts w:eastAsiaTheme="minorEastAsia"/>
          <w:lang w:val="en-GB"/>
        </w:rPr>
        <w:t xml:space="preserve">, where </w:t>
      </w:r>
      <w:r>
        <w:rPr>
          <w:rFonts w:eastAsiaTheme="minorEastAsia"/>
          <w:i/>
          <w:iCs/>
          <w:lang w:val="en-GB"/>
        </w:rPr>
        <w:t>cases_total_prop</w:t>
      </w:r>
      <w:r w:rsidR="00053854">
        <w:rPr>
          <w:rFonts w:eastAsiaTheme="minorEastAsia"/>
          <w:i/>
          <w:iCs/>
          <w:lang w:val="en-GB"/>
        </w:rPr>
        <w:t>_2018</w:t>
      </w:r>
      <w:r>
        <w:rPr>
          <w:rFonts w:eastAsiaTheme="minorEastAsia"/>
          <w:i/>
          <w:iCs/>
          <w:lang w:val="en-GB"/>
        </w:rPr>
        <w:t xml:space="preserve"> </w:t>
      </w:r>
      <w:r>
        <w:rPr>
          <w:rFonts w:eastAsiaTheme="minorEastAsia"/>
          <w:lang w:val="en-GB"/>
        </w:rPr>
        <w:t>denotes the number of cases per 100,000 people</w:t>
      </w:r>
      <w:r w:rsidR="00053854">
        <w:rPr>
          <w:rFonts w:eastAsiaTheme="minorEastAsia"/>
          <w:lang w:val="en-GB"/>
        </w:rPr>
        <w:t xml:space="preserve"> in 2018</w:t>
      </w:r>
      <w:r>
        <w:rPr>
          <w:rFonts w:eastAsiaTheme="minorEastAsia"/>
          <w:lang w:val="en-GB"/>
        </w:rPr>
        <w:t xml:space="preserve">, </w:t>
      </w:r>
      <w:r w:rsidR="00053854">
        <w:rPr>
          <w:rFonts w:eastAsiaTheme="minorEastAsia"/>
          <w:i/>
          <w:iCs/>
          <w:lang w:val="en-GB"/>
        </w:rPr>
        <w:t>cases_total_prop_</w:t>
      </w:r>
      <w:r w:rsidR="00053854" w:rsidRPr="00053854">
        <w:rPr>
          <w:rFonts w:eastAsiaTheme="minorEastAsia"/>
          <w:lang w:val="en-GB"/>
        </w:rPr>
        <w:t>2008</w:t>
      </w:r>
      <w:r w:rsidR="00053854">
        <w:rPr>
          <w:rFonts w:eastAsiaTheme="minorEastAsia"/>
          <w:lang w:val="en-GB"/>
        </w:rPr>
        <w:t xml:space="preserve"> the same in 2008, </w:t>
      </w:r>
      <w:r w:rsidRPr="004D1918">
        <w:rPr>
          <w:rFonts w:eastAsiaTheme="minorEastAsia"/>
          <w:i/>
          <w:iCs/>
          <w:lang w:val="en-GB"/>
        </w:rPr>
        <w:t>female</w:t>
      </w:r>
      <w:r>
        <w:rPr>
          <w:rFonts w:eastAsiaTheme="minorEastAsia"/>
          <w:i/>
          <w:iCs/>
          <w:lang w:val="en-GB"/>
        </w:rPr>
        <w:t>_prop</w:t>
      </w:r>
      <w:r w:rsidR="00053854">
        <w:rPr>
          <w:rFonts w:eastAsiaTheme="minorEastAsia"/>
          <w:i/>
          <w:iCs/>
          <w:lang w:val="en-GB"/>
        </w:rPr>
        <w:t>_change</w:t>
      </w:r>
      <w:r>
        <w:rPr>
          <w:rFonts w:eastAsiaTheme="minorEastAsia"/>
          <w:lang w:val="en-GB"/>
        </w:rPr>
        <w:t xml:space="preserve"> </w:t>
      </w:r>
      <w:r w:rsidR="00053854">
        <w:rPr>
          <w:rFonts w:eastAsiaTheme="minorEastAsia"/>
          <w:lang w:val="en-GB"/>
        </w:rPr>
        <w:t xml:space="preserve">indicates </w:t>
      </w:r>
      <w:r>
        <w:rPr>
          <w:rFonts w:eastAsiaTheme="minorEastAsia"/>
          <w:lang w:val="en-GB"/>
        </w:rPr>
        <w:t>the</w:t>
      </w:r>
      <w:r w:rsidR="00053854">
        <w:rPr>
          <w:rFonts w:eastAsiaTheme="minorEastAsia"/>
          <w:lang w:val="en-GB"/>
        </w:rPr>
        <w:t xml:space="preserve"> change in the</w:t>
      </w:r>
      <w:r>
        <w:rPr>
          <w:rFonts w:eastAsiaTheme="minorEastAsia"/>
          <w:lang w:val="en-GB"/>
        </w:rPr>
        <w:t xml:space="preserve"> proportion of females </w:t>
      </w:r>
      <w:r w:rsidR="00053854">
        <w:rPr>
          <w:rFonts w:eastAsiaTheme="minorEastAsia"/>
          <w:lang w:val="en-GB"/>
        </w:rPr>
        <w:t>between 2008 and 2018</w:t>
      </w:r>
      <w:r>
        <w:rPr>
          <w:rFonts w:eastAsiaTheme="minorEastAsia"/>
          <w:lang w:val="en-GB"/>
        </w:rPr>
        <w:t xml:space="preserve"> and </w:t>
      </w:r>
      <w:r w:rsidR="004D1918">
        <w:rPr>
          <w:rFonts w:eastAsiaTheme="minorEastAsia"/>
          <w:lang w:val="en-GB"/>
        </w:rPr>
        <w:t xml:space="preserve">variables ending in </w:t>
      </w:r>
      <w:r>
        <w:rPr>
          <w:rFonts w:eastAsiaTheme="minorEastAsia"/>
          <w:i/>
          <w:iCs/>
          <w:lang w:val="en-GB"/>
        </w:rPr>
        <w:t>_pp</w:t>
      </w:r>
      <w:r>
        <w:rPr>
          <w:rFonts w:eastAsiaTheme="minorEastAsia"/>
          <w:lang w:val="en-GB"/>
        </w:rPr>
        <w:t xml:space="preserve"> stand for</w:t>
      </w:r>
      <w:r w:rsidR="004D1918">
        <w:rPr>
          <w:rFonts w:eastAsiaTheme="minorEastAsia"/>
          <w:lang w:val="en-GB"/>
        </w:rPr>
        <w:t xml:space="preserve"> budget</w:t>
      </w:r>
      <w:r w:rsidR="00950B80">
        <w:rPr>
          <w:rFonts w:eastAsiaTheme="minorEastAsia"/>
          <w:lang w:val="en-GB"/>
        </w:rPr>
        <w:t>s</w:t>
      </w:r>
      <w:r w:rsidR="004D1918">
        <w:rPr>
          <w:rFonts w:eastAsiaTheme="minorEastAsia"/>
          <w:lang w:val="en-GB"/>
        </w:rPr>
        <w:t xml:space="preserve"> </w:t>
      </w:r>
      <w:r w:rsidR="00950B80">
        <w:rPr>
          <w:rFonts w:eastAsiaTheme="minorEastAsia"/>
          <w:lang w:val="en-GB"/>
        </w:rPr>
        <w:t xml:space="preserve">per person </w:t>
      </w:r>
      <w:r w:rsidR="004D1918">
        <w:rPr>
          <w:rFonts w:eastAsiaTheme="minorEastAsia"/>
          <w:lang w:val="en-GB"/>
        </w:rPr>
        <w:t>allocated to</w:t>
      </w:r>
      <w:r>
        <w:rPr>
          <w:rFonts w:eastAsiaTheme="minorEastAsia"/>
          <w:lang w:val="en-GB"/>
        </w:rPr>
        <w:t xml:space="preserve"> the </w:t>
      </w:r>
      <w:r w:rsidR="004D1918">
        <w:rPr>
          <w:rFonts w:eastAsiaTheme="minorEastAsia"/>
          <w:lang w:val="en-GB"/>
        </w:rPr>
        <w:t>various interventions</w:t>
      </w:r>
      <w:r>
        <w:rPr>
          <w:rFonts w:eastAsiaTheme="minorEastAsia"/>
          <w:lang w:val="en-GB"/>
        </w:rPr>
        <w:t>.</w:t>
      </w:r>
      <w:r w:rsidR="004D1918">
        <w:rPr>
          <w:rFonts w:eastAsiaTheme="minorEastAsia"/>
          <w:lang w:val="en-GB"/>
        </w:rPr>
        <w:t xml:space="preserve"> Total budget per person was not included because it would result in problems with multicollinearity, as it is completely determined by the sum of budgets allocated to the different interventions. </w:t>
      </w:r>
    </w:p>
    <w:p w14:paraId="1D2BC770" w14:textId="338EC9DD" w:rsidR="004D1918" w:rsidRDefault="004D1918" w:rsidP="00970A0B">
      <w:pPr>
        <w:jc w:val="both"/>
        <w:rPr>
          <w:rFonts w:eastAsiaTheme="minorEastAsia"/>
          <w:lang w:val="en-GB"/>
        </w:rPr>
      </w:pPr>
    </w:p>
    <w:p w14:paraId="1389B35A" w14:textId="1DCD8F59" w:rsidR="00AD5942" w:rsidRDefault="004D1918" w:rsidP="00970A0B">
      <w:pPr>
        <w:jc w:val="both"/>
        <w:rPr>
          <w:rFonts w:eastAsiaTheme="minorEastAsia"/>
          <w:lang w:val="en-GB"/>
        </w:rPr>
      </w:pPr>
      <w:r>
        <w:rPr>
          <w:rFonts w:eastAsiaTheme="minorEastAsia"/>
          <w:lang w:val="en-GB"/>
        </w:rPr>
        <w:t xml:space="preserve">Including </w:t>
      </w:r>
      <w:r w:rsidR="00AD5942">
        <w:rPr>
          <w:rFonts w:eastAsiaTheme="minorEastAsia"/>
          <w:lang w:val="en-GB"/>
        </w:rPr>
        <w:t>the prevalence of childhood obesity as one of the predictors makes it an instance of a</w:t>
      </w:r>
      <w:r w:rsidR="00E245E5">
        <w:rPr>
          <w:rFonts w:eastAsiaTheme="minorEastAsia"/>
          <w:lang w:val="en-GB"/>
        </w:rPr>
        <w:t xml:space="preserve">n </w:t>
      </w:r>
      <w:r w:rsidR="00AD5942">
        <w:rPr>
          <w:rFonts w:eastAsiaTheme="minorEastAsia"/>
          <w:lang w:val="en-GB"/>
        </w:rPr>
        <w:t xml:space="preserve">autoregressive model. The reason for including it is that by looking at </w:t>
      </w:r>
      <w:r w:rsidR="00AD5942">
        <w:rPr>
          <w:rFonts w:eastAsiaTheme="minorEastAsia"/>
          <w:i/>
          <w:iCs/>
          <w:lang w:val="en-GB"/>
        </w:rPr>
        <w:t>figure 2</w:t>
      </w:r>
      <w:r w:rsidR="00AD5942">
        <w:rPr>
          <w:rFonts w:eastAsiaTheme="minorEastAsia"/>
          <w:lang w:val="en-GB"/>
        </w:rPr>
        <w:t xml:space="preserve">, we can see that the number of cases in 2018 is </w:t>
      </w:r>
      <w:r w:rsidR="00093F3C">
        <w:rPr>
          <w:rFonts w:eastAsiaTheme="minorEastAsia"/>
          <w:lang w:val="en-GB"/>
        </w:rPr>
        <w:t xml:space="preserve">strongly and linearly related </w:t>
      </w:r>
      <w:r w:rsidR="00AD5942">
        <w:rPr>
          <w:rFonts w:eastAsiaTheme="minorEastAsia"/>
          <w:lang w:val="en-GB"/>
        </w:rPr>
        <w:t>with the number of cases in 2008, which suggests that the number of cases in 2008 is a significant explanatory factor</w:t>
      </w:r>
      <w:r w:rsidR="00DA7715">
        <w:rPr>
          <w:rFonts w:eastAsiaTheme="minorEastAsia"/>
          <w:lang w:val="en-GB"/>
        </w:rPr>
        <w:t xml:space="preserve"> and appropriate for use in a linear regression model</w:t>
      </w:r>
      <w:r w:rsidR="00AD5942">
        <w:rPr>
          <w:rFonts w:eastAsiaTheme="minorEastAsia"/>
          <w:lang w:val="en-GB"/>
        </w:rPr>
        <w:t xml:space="preserve">. </w:t>
      </w:r>
    </w:p>
    <w:p w14:paraId="75EB752F" w14:textId="77777777" w:rsidR="000C3D7F" w:rsidRDefault="000C3D7F" w:rsidP="00970A0B">
      <w:pPr>
        <w:jc w:val="both"/>
        <w:rPr>
          <w:rFonts w:eastAsiaTheme="minorEastAsia"/>
          <w:i/>
          <w:iCs/>
          <w:lang w:val="en-GB"/>
        </w:rPr>
      </w:pPr>
    </w:p>
    <w:p w14:paraId="07972347" w14:textId="2746757A" w:rsidR="00AD5942" w:rsidRDefault="00AD5942" w:rsidP="00970A0B">
      <w:pPr>
        <w:jc w:val="both"/>
        <w:rPr>
          <w:rFonts w:eastAsiaTheme="minorEastAsia"/>
          <w:i/>
          <w:iCs/>
          <w:lang w:val="en-GB"/>
        </w:rPr>
      </w:pPr>
      <w:r>
        <w:rPr>
          <w:rFonts w:eastAsiaTheme="minorEastAsia"/>
          <w:i/>
          <w:iCs/>
          <w:lang w:val="en-GB"/>
        </w:rPr>
        <w:t>Figure 2: Number of cases per 100,000 in 2008 vs 2018</w:t>
      </w:r>
    </w:p>
    <w:p w14:paraId="55159692" w14:textId="2F8FAD97" w:rsidR="00DA7715" w:rsidRDefault="00DA7715" w:rsidP="00970A0B">
      <w:pPr>
        <w:jc w:val="both"/>
        <w:rPr>
          <w:rFonts w:eastAsiaTheme="minorEastAsia"/>
          <w:i/>
          <w:iCs/>
          <w:lang w:val="en-GB"/>
        </w:rPr>
      </w:pPr>
      <w:r>
        <w:rPr>
          <w:rFonts w:eastAsiaTheme="minorEastAsia"/>
          <w:i/>
          <w:iCs/>
          <w:noProof/>
          <w:lang w:val="en-GB"/>
        </w:rPr>
        <w:drawing>
          <wp:inline distT="0" distB="0" distL="0" distR="0" wp14:anchorId="36034981" wp14:editId="58C6A2D0">
            <wp:extent cx="3468193" cy="2302933"/>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t="7395" r="7026"/>
                    <a:stretch/>
                  </pic:blipFill>
                  <pic:spPr bwMode="auto">
                    <a:xfrm>
                      <a:off x="0" y="0"/>
                      <a:ext cx="3493403" cy="2319673"/>
                    </a:xfrm>
                    <a:prstGeom prst="rect">
                      <a:avLst/>
                    </a:prstGeom>
                    <a:ln>
                      <a:noFill/>
                    </a:ln>
                    <a:extLst>
                      <a:ext uri="{53640926-AAD7-44D8-BBD7-CCE9431645EC}">
                        <a14:shadowObscured xmlns:a14="http://schemas.microsoft.com/office/drawing/2010/main"/>
                      </a:ext>
                    </a:extLst>
                  </pic:spPr>
                </pic:pic>
              </a:graphicData>
            </a:graphic>
          </wp:inline>
        </w:drawing>
      </w:r>
    </w:p>
    <w:p w14:paraId="30CB4297" w14:textId="77777777" w:rsidR="00AD5942" w:rsidRPr="00AD5942" w:rsidRDefault="00AD5942" w:rsidP="00970A0B">
      <w:pPr>
        <w:jc w:val="both"/>
        <w:rPr>
          <w:rFonts w:eastAsiaTheme="minorEastAsia"/>
          <w:lang w:val="en-GB"/>
        </w:rPr>
      </w:pPr>
    </w:p>
    <w:p w14:paraId="5C4BD267" w14:textId="03C6A0B7" w:rsidR="00950B80" w:rsidRDefault="00AD5942" w:rsidP="00970A0B">
      <w:pPr>
        <w:jc w:val="both"/>
        <w:rPr>
          <w:rFonts w:eastAsiaTheme="minorEastAsia"/>
          <w:lang w:val="en-GB"/>
        </w:rPr>
      </w:pPr>
      <w:r>
        <w:rPr>
          <w:rFonts w:eastAsiaTheme="minorEastAsia"/>
          <w:lang w:val="en-GB"/>
        </w:rPr>
        <w:t>Such model specification also helps us better assess the effectiveness of the various interventions by reducing the potential for omitted variable bias.</w:t>
      </w:r>
      <w:r w:rsidR="00950B80">
        <w:rPr>
          <w:rFonts w:eastAsiaTheme="minorEastAsia"/>
          <w:lang w:val="en-GB"/>
        </w:rPr>
        <w:t xml:space="preserve"> Omitted variable bias </w:t>
      </w:r>
      <w:r w:rsidR="00E245E5">
        <w:rPr>
          <w:rFonts w:eastAsiaTheme="minorEastAsia"/>
          <w:lang w:val="en-GB"/>
        </w:rPr>
        <w:t xml:space="preserve">would result if there were some unobserved characteristics of the local authorities, which influence both the dependent variable (number of cases) and the independent variable (the budget allocated to a particular intervention). An example could be that authorities that put more </w:t>
      </w:r>
      <w:r w:rsidR="00805F9B">
        <w:rPr>
          <w:rFonts w:eastAsiaTheme="minorEastAsia"/>
          <w:lang w:val="en-GB"/>
        </w:rPr>
        <w:t>value</w:t>
      </w:r>
      <w:r w:rsidR="00E245E5">
        <w:rPr>
          <w:rFonts w:eastAsiaTheme="minorEastAsia"/>
          <w:lang w:val="en-GB"/>
        </w:rPr>
        <w:t xml:space="preserve"> on the</w:t>
      </w:r>
      <w:r w:rsidR="00805F9B">
        <w:rPr>
          <w:rFonts w:eastAsiaTheme="minorEastAsia"/>
          <w:lang w:val="en-GB"/>
        </w:rPr>
        <w:t>ir</w:t>
      </w:r>
      <w:r w:rsidR="00E245E5">
        <w:rPr>
          <w:rFonts w:eastAsiaTheme="minorEastAsia"/>
          <w:lang w:val="en-GB"/>
        </w:rPr>
        <w:t xml:space="preserve"> education system would have lower prevalence of childhood obesity, as well as higher spending on school awareness</w:t>
      </w:r>
      <w:r w:rsidR="00093F3C">
        <w:rPr>
          <w:rFonts w:eastAsiaTheme="minorEastAsia"/>
          <w:lang w:val="en-GB"/>
        </w:rPr>
        <w:t>, creating the appearance of effectiveness of higher school awareness spending</w:t>
      </w:r>
      <w:r w:rsidR="00E245E5">
        <w:rPr>
          <w:rFonts w:eastAsiaTheme="minorEastAsia"/>
          <w:lang w:val="en-GB"/>
        </w:rPr>
        <w:t xml:space="preserve">. </w:t>
      </w:r>
      <w:r w:rsidR="009C625E">
        <w:rPr>
          <w:rFonts w:eastAsiaTheme="minorEastAsia"/>
          <w:lang w:val="en-GB"/>
        </w:rPr>
        <w:t>By controlling for the number of cases in 2008, we simultaneously control for</w:t>
      </w:r>
      <w:r w:rsidR="00805F9B">
        <w:rPr>
          <w:rFonts w:eastAsiaTheme="minorEastAsia"/>
          <w:lang w:val="en-GB"/>
        </w:rPr>
        <w:t xml:space="preserve"> time-invariant</w:t>
      </w:r>
      <w:r w:rsidR="009C625E">
        <w:rPr>
          <w:rFonts w:eastAsiaTheme="minorEastAsia"/>
          <w:lang w:val="en-GB"/>
        </w:rPr>
        <w:t xml:space="preserve"> characteristics </w:t>
      </w:r>
      <w:r w:rsidR="00805F9B">
        <w:rPr>
          <w:rFonts w:eastAsiaTheme="minorEastAsia"/>
          <w:lang w:val="en-GB"/>
        </w:rPr>
        <w:t>of the authorities that produced it, such as the value put on education.</w:t>
      </w:r>
    </w:p>
    <w:p w14:paraId="4A3690A4" w14:textId="5016BE9E" w:rsidR="00B56986" w:rsidRPr="001A1D18" w:rsidRDefault="008A0FA6" w:rsidP="001A1D18">
      <w:pPr>
        <w:pStyle w:val="Heading2"/>
      </w:pPr>
      <w:r w:rsidRPr="000C3D7F">
        <w:lastRenderedPageBreak/>
        <w:t>Results</w:t>
      </w:r>
    </w:p>
    <w:p w14:paraId="024CFD69" w14:textId="57E13F08" w:rsidR="002345DB" w:rsidRPr="00B56986" w:rsidRDefault="00B56986" w:rsidP="00B56986">
      <w:pPr>
        <w:spacing w:line="360" w:lineRule="auto"/>
        <w:rPr>
          <w:i/>
          <w:iCs/>
          <w:lang w:val="en-GB"/>
        </w:rPr>
      </w:pPr>
      <w:r>
        <w:rPr>
          <w:lang w:val="en-GB"/>
        </w:rPr>
        <w:t xml:space="preserve"> </w:t>
      </w:r>
      <w:r>
        <w:rPr>
          <w:i/>
          <w:iCs/>
          <w:lang w:val="en-GB"/>
        </w:rPr>
        <w:t>Table 2: Summary of the fitted model</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1397"/>
        <w:gridCol w:w="2124"/>
        <w:gridCol w:w="1496"/>
        <w:gridCol w:w="672"/>
      </w:tblGrid>
      <w:tr w:rsidR="000C3D7F" w:rsidRPr="005946CE" w14:paraId="6D8EEF55" w14:textId="77777777" w:rsidTr="00B5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14:paraId="3DC5D9EA" w14:textId="77777777" w:rsidR="000C3D7F" w:rsidRPr="000C3D7F" w:rsidRDefault="000C3D7F" w:rsidP="000C3D7F">
            <w:pPr>
              <w:jc w:val="right"/>
              <w:rPr>
                <w:rFonts w:ascii="Calibri" w:eastAsia="Times New Roman" w:hAnsi="Calibri" w:cs="Calibri"/>
                <w:color w:val="000000"/>
                <w:sz w:val="20"/>
                <w:szCs w:val="20"/>
                <w:lang w:eastAsia="en-GB"/>
              </w:rPr>
            </w:pPr>
            <w:r w:rsidRPr="000C3D7F">
              <w:rPr>
                <w:rFonts w:ascii="Calibri" w:eastAsia="Times New Roman" w:hAnsi="Calibri" w:cs="Calibri"/>
                <w:color w:val="000000"/>
                <w:sz w:val="20"/>
                <w:szCs w:val="20"/>
                <w:lang w:eastAsia="en-GB"/>
              </w:rPr>
              <w:t>Dep. Variable:</w:t>
            </w:r>
          </w:p>
        </w:tc>
        <w:tc>
          <w:tcPr>
            <w:tcW w:w="0" w:type="auto"/>
            <w:tcBorders>
              <w:bottom w:val="none" w:sz="0" w:space="0" w:color="auto"/>
            </w:tcBorders>
            <w:hideMark/>
          </w:tcPr>
          <w:p w14:paraId="6A45ACD0" w14:textId="77777777" w:rsidR="000C3D7F" w:rsidRPr="000C3D7F" w:rsidRDefault="000C3D7F" w:rsidP="000C3D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GB"/>
              </w:rPr>
            </w:pPr>
            <w:r w:rsidRPr="000C3D7F">
              <w:rPr>
                <w:rFonts w:ascii="Calibri" w:eastAsia="Times New Roman" w:hAnsi="Calibri" w:cs="Calibri"/>
                <w:b w:val="0"/>
                <w:bCs w:val="0"/>
                <w:color w:val="000000"/>
                <w:sz w:val="20"/>
                <w:szCs w:val="20"/>
                <w:lang w:eastAsia="en-GB"/>
              </w:rPr>
              <w:t>cases_total_prop_2018</w:t>
            </w:r>
          </w:p>
        </w:tc>
        <w:tc>
          <w:tcPr>
            <w:tcW w:w="0" w:type="auto"/>
            <w:tcBorders>
              <w:bottom w:val="none" w:sz="0" w:space="0" w:color="auto"/>
            </w:tcBorders>
            <w:hideMark/>
          </w:tcPr>
          <w:p w14:paraId="0E039A5B" w14:textId="77777777" w:rsidR="000C3D7F" w:rsidRPr="000C3D7F" w:rsidRDefault="000C3D7F" w:rsidP="000C3D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0C3D7F">
              <w:rPr>
                <w:rFonts w:ascii="Calibri" w:eastAsia="Times New Roman" w:hAnsi="Calibri" w:cs="Calibri"/>
                <w:color w:val="000000"/>
                <w:sz w:val="20"/>
                <w:szCs w:val="20"/>
                <w:lang w:eastAsia="en-GB"/>
              </w:rPr>
              <w:t>R-squared:</w:t>
            </w:r>
          </w:p>
        </w:tc>
        <w:tc>
          <w:tcPr>
            <w:tcW w:w="0" w:type="auto"/>
            <w:tcBorders>
              <w:bottom w:val="none" w:sz="0" w:space="0" w:color="auto"/>
            </w:tcBorders>
            <w:hideMark/>
          </w:tcPr>
          <w:p w14:paraId="3B455306" w14:textId="71EDA7CA" w:rsidR="000C3D7F" w:rsidRPr="000C3D7F" w:rsidRDefault="000C3D7F" w:rsidP="000C3D7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n-GB" w:eastAsia="en-GB"/>
              </w:rPr>
            </w:pPr>
            <w:r w:rsidRPr="000C3D7F">
              <w:rPr>
                <w:rFonts w:ascii="Calibri" w:eastAsia="Times New Roman" w:hAnsi="Calibri" w:cs="Calibri"/>
                <w:b w:val="0"/>
                <w:bCs w:val="0"/>
                <w:color w:val="000000"/>
                <w:sz w:val="20"/>
                <w:szCs w:val="20"/>
                <w:lang w:eastAsia="en-GB"/>
              </w:rPr>
              <w:t>0.98</w:t>
            </w:r>
            <w:r w:rsidR="00584876" w:rsidRPr="005946CE">
              <w:rPr>
                <w:rFonts w:ascii="Calibri" w:eastAsia="Times New Roman" w:hAnsi="Calibri" w:cs="Calibri"/>
                <w:b w:val="0"/>
                <w:bCs w:val="0"/>
                <w:color w:val="000000"/>
                <w:sz w:val="20"/>
                <w:szCs w:val="20"/>
                <w:lang w:val="en-GB" w:eastAsia="en-GB"/>
              </w:rPr>
              <w:t>3</w:t>
            </w:r>
          </w:p>
        </w:tc>
      </w:tr>
      <w:tr w:rsidR="000C3D7F" w:rsidRPr="005946CE" w14:paraId="6E58D373" w14:textId="77777777" w:rsidTr="00B5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1F808E23" w14:textId="77777777" w:rsidR="000C3D7F" w:rsidRPr="000C3D7F" w:rsidRDefault="000C3D7F" w:rsidP="000C3D7F">
            <w:pPr>
              <w:jc w:val="right"/>
              <w:rPr>
                <w:rFonts w:ascii="Calibri" w:eastAsia="Times New Roman" w:hAnsi="Calibri" w:cs="Calibri"/>
                <w:color w:val="000000"/>
                <w:sz w:val="20"/>
                <w:szCs w:val="20"/>
                <w:lang w:eastAsia="en-GB"/>
              </w:rPr>
            </w:pPr>
            <w:r w:rsidRPr="000C3D7F">
              <w:rPr>
                <w:rFonts w:ascii="Calibri" w:eastAsia="Times New Roman" w:hAnsi="Calibri" w:cs="Calibri"/>
                <w:color w:val="000000"/>
                <w:sz w:val="20"/>
                <w:szCs w:val="20"/>
                <w:lang w:eastAsia="en-GB"/>
              </w:rPr>
              <w:t>Model:</w:t>
            </w:r>
          </w:p>
        </w:tc>
        <w:tc>
          <w:tcPr>
            <w:tcW w:w="0" w:type="auto"/>
            <w:tcBorders>
              <w:top w:val="none" w:sz="0" w:space="0" w:color="auto"/>
              <w:bottom w:val="none" w:sz="0" w:space="0" w:color="auto"/>
            </w:tcBorders>
            <w:hideMark/>
          </w:tcPr>
          <w:p w14:paraId="21D98ABE" w14:textId="77777777" w:rsidR="000C3D7F" w:rsidRPr="000C3D7F" w:rsidRDefault="000C3D7F" w:rsidP="000C3D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0C3D7F">
              <w:rPr>
                <w:rFonts w:ascii="Calibri" w:eastAsia="Times New Roman" w:hAnsi="Calibri" w:cs="Calibri"/>
                <w:color w:val="000000"/>
                <w:sz w:val="20"/>
                <w:szCs w:val="20"/>
                <w:lang w:eastAsia="en-GB"/>
              </w:rPr>
              <w:t>OLS</w:t>
            </w:r>
          </w:p>
        </w:tc>
        <w:tc>
          <w:tcPr>
            <w:tcW w:w="0" w:type="auto"/>
            <w:tcBorders>
              <w:top w:val="none" w:sz="0" w:space="0" w:color="auto"/>
              <w:bottom w:val="none" w:sz="0" w:space="0" w:color="auto"/>
            </w:tcBorders>
            <w:hideMark/>
          </w:tcPr>
          <w:p w14:paraId="31AC4D14" w14:textId="77777777" w:rsidR="000C3D7F" w:rsidRPr="000C3D7F" w:rsidRDefault="000C3D7F" w:rsidP="000C3D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eastAsia="en-GB"/>
              </w:rPr>
            </w:pPr>
            <w:r w:rsidRPr="000C3D7F">
              <w:rPr>
                <w:rFonts w:ascii="Calibri" w:eastAsia="Times New Roman" w:hAnsi="Calibri" w:cs="Calibri"/>
                <w:b/>
                <w:bCs/>
                <w:color w:val="000000"/>
                <w:sz w:val="20"/>
                <w:szCs w:val="20"/>
                <w:lang w:eastAsia="en-GB"/>
              </w:rPr>
              <w:t>Adj. R-squared:</w:t>
            </w:r>
          </w:p>
        </w:tc>
        <w:tc>
          <w:tcPr>
            <w:tcW w:w="0" w:type="auto"/>
            <w:tcBorders>
              <w:top w:val="none" w:sz="0" w:space="0" w:color="auto"/>
              <w:bottom w:val="none" w:sz="0" w:space="0" w:color="auto"/>
            </w:tcBorders>
            <w:hideMark/>
          </w:tcPr>
          <w:p w14:paraId="3A15B8A1" w14:textId="678C35C5" w:rsidR="000C3D7F" w:rsidRPr="000C3D7F" w:rsidRDefault="000C3D7F" w:rsidP="000C3D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n-GB" w:eastAsia="en-GB"/>
              </w:rPr>
            </w:pPr>
            <w:r w:rsidRPr="000C3D7F">
              <w:rPr>
                <w:rFonts w:ascii="Calibri" w:eastAsia="Times New Roman" w:hAnsi="Calibri" w:cs="Calibri"/>
                <w:color w:val="000000"/>
                <w:sz w:val="20"/>
                <w:szCs w:val="20"/>
                <w:lang w:eastAsia="en-GB"/>
              </w:rPr>
              <w:t>0.98</w:t>
            </w:r>
            <w:r w:rsidR="00584876" w:rsidRPr="005946CE">
              <w:rPr>
                <w:rFonts w:ascii="Calibri" w:eastAsia="Times New Roman" w:hAnsi="Calibri" w:cs="Calibri"/>
                <w:color w:val="000000"/>
                <w:sz w:val="20"/>
                <w:szCs w:val="20"/>
                <w:lang w:val="en-GB" w:eastAsia="en-GB"/>
              </w:rPr>
              <w:t>2</w:t>
            </w:r>
          </w:p>
        </w:tc>
      </w:tr>
      <w:tr w:rsidR="002345DB" w:rsidRPr="002345DB" w14:paraId="4407331D" w14:textId="77777777" w:rsidTr="00B56986">
        <w:tc>
          <w:tcPr>
            <w:cnfStyle w:val="001000000000" w:firstRow="0" w:lastRow="0" w:firstColumn="1" w:lastColumn="0" w:oddVBand="0" w:evenVBand="0" w:oddHBand="0" w:evenHBand="0" w:firstRowFirstColumn="0" w:firstRowLastColumn="0" w:lastRowFirstColumn="0" w:lastRowLastColumn="0"/>
            <w:tcW w:w="0" w:type="auto"/>
          </w:tcPr>
          <w:p w14:paraId="46A6D771" w14:textId="77777777" w:rsidR="002345DB" w:rsidRDefault="002345DB" w:rsidP="000C3D7F">
            <w:pPr>
              <w:jc w:val="right"/>
              <w:rPr>
                <w:rFonts w:eastAsia="Times New Roman" w:cstheme="minorHAnsi"/>
                <w:color w:val="000000"/>
                <w:sz w:val="20"/>
                <w:szCs w:val="20"/>
                <w:lang w:eastAsia="en-GB"/>
              </w:rPr>
            </w:pPr>
          </w:p>
          <w:p w14:paraId="45E5DD53" w14:textId="6340C3DD" w:rsidR="002345DB" w:rsidRPr="000C3D7F" w:rsidRDefault="002345DB" w:rsidP="002345DB">
            <w:pPr>
              <w:jc w:val="center"/>
              <w:rPr>
                <w:rFonts w:eastAsia="Times New Roman" w:cstheme="minorHAnsi"/>
                <w:b w:val="0"/>
                <w:bCs w:val="0"/>
                <w:color w:val="000000"/>
                <w:sz w:val="20"/>
                <w:szCs w:val="20"/>
                <w:lang w:eastAsia="en-GB"/>
              </w:rPr>
            </w:pPr>
          </w:p>
        </w:tc>
        <w:tc>
          <w:tcPr>
            <w:tcW w:w="0" w:type="auto"/>
          </w:tcPr>
          <w:p w14:paraId="1E68A1FB" w14:textId="77777777" w:rsidR="002345DB" w:rsidRPr="000C3D7F" w:rsidRDefault="002345DB" w:rsidP="000C3D7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p>
        </w:tc>
        <w:tc>
          <w:tcPr>
            <w:tcW w:w="0" w:type="auto"/>
          </w:tcPr>
          <w:p w14:paraId="2F1AD215" w14:textId="77777777" w:rsidR="002345DB" w:rsidRPr="000C3D7F" w:rsidRDefault="002345DB" w:rsidP="000C3D7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eastAsia="en-GB"/>
              </w:rPr>
            </w:pPr>
          </w:p>
        </w:tc>
        <w:tc>
          <w:tcPr>
            <w:tcW w:w="0" w:type="auto"/>
          </w:tcPr>
          <w:p w14:paraId="32FA3670" w14:textId="77777777" w:rsidR="002345DB" w:rsidRPr="000C3D7F" w:rsidRDefault="002345DB" w:rsidP="000C3D7F">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p>
        </w:tc>
      </w:tr>
    </w:tbl>
    <w:p w14:paraId="03AF76AE" w14:textId="77777777" w:rsidR="000C3D7F" w:rsidRPr="000C3D7F" w:rsidRDefault="000C3D7F" w:rsidP="000C3D7F">
      <w:pPr>
        <w:rPr>
          <w:rFonts w:ascii="Times New Roman" w:eastAsia="Times New Roman" w:hAnsi="Times New Roman" w:cs="Times New Roman"/>
          <w:vanish/>
          <w:sz w:val="15"/>
          <w:szCs w:val="15"/>
          <w:lang w:eastAsia="en-GB"/>
        </w:rPr>
      </w:pPr>
    </w:p>
    <w:p w14:paraId="1360A2A2" w14:textId="77777777" w:rsidR="00584876" w:rsidRPr="00584876" w:rsidRDefault="00584876" w:rsidP="00584876">
      <w:pPr>
        <w:rPr>
          <w:rFonts w:ascii="Times New Roman" w:eastAsia="Times New Roman" w:hAnsi="Times New Roman" w:cs="Times New Roman"/>
          <w:vanish/>
          <w:lang w:eastAsia="en-GB"/>
        </w:rPr>
      </w:pPr>
    </w:p>
    <w:tbl>
      <w:tblPr>
        <w:tblStyle w:val="PlainTable4"/>
        <w:tblW w:w="0" w:type="auto"/>
        <w:tblLook w:val="04A0" w:firstRow="1" w:lastRow="0" w:firstColumn="1" w:lastColumn="0" w:noHBand="0" w:noVBand="1"/>
      </w:tblPr>
      <w:tblGrid>
        <w:gridCol w:w="2433"/>
        <w:gridCol w:w="1118"/>
        <w:gridCol w:w="892"/>
        <w:gridCol w:w="892"/>
        <w:gridCol w:w="789"/>
        <w:gridCol w:w="1009"/>
        <w:gridCol w:w="1005"/>
      </w:tblGrid>
      <w:tr w:rsidR="005946CE" w:rsidRPr="00584876" w14:paraId="56272C91" w14:textId="77777777" w:rsidTr="005946CE">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433" w:type="dxa"/>
            <w:hideMark/>
          </w:tcPr>
          <w:p w14:paraId="7D4BCA22" w14:textId="77777777" w:rsidR="00584876" w:rsidRPr="00584876" w:rsidRDefault="00584876" w:rsidP="00584876">
            <w:pPr>
              <w:rPr>
                <w:rFonts w:ascii="Calibri" w:eastAsia="Times New Roman" w:hAnsi="Calibri" w:cs="Calibri"/>
                <w:sz w:val="20"/>
                <w:szCs w:val="20"/>
                <w:lang w:eastAsia="en-GB"/>
              </w:rPr>
            </w:pPr>
          </w:p>
        </w:tc>
        <w:tc>
          <w:tcPr>
            <w:tcW w:w="1118" w:type="dxa"/>
            <w:hideMark/>
          </w:tcPr>
          <w:p w14:paraId="5F967DC6" w14:textId="6D8F55A5" w:rsidR="00584876" w:rsidRPr="00584876" w:rsidRDefault="00584876" w:rsidP="005848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GB" w:eastAsia="en-GB"/>
              </w:rPr>
            </w:pPr>
            <w:r w:rsidRPr="00584876">
              <w:rPr>
                <w:rFonts w:ascii="Calibri" w:eastAsia="Times New Roman" w:hAnsi="Calibri" w:cs="Calibri"/>
                <w:color w:val="000000"/>
                <w:sz w:val="20"/>
                <w:szCs w:val="20"/>
                <w:lang w:eastAsia="en-GB"/>
              </w:rPr>
              <w:t>coe</w:t>
            </w:r>
            <w:r>
              <w:rPr>
                <w:rFonts w:ascii="Calibri" w:eastAsia="Times New Roman" w:hAnsi="Calibri" w:cs="Calibri"/>
                <w:b w:val="0"/>
                <w:bCs w:val="0"/>
                <w:color w:val="000000"/>
                <w:sz w:val="20"/>
                <w:szCs w:val="20"/>
                <w:lang w:val="en-GB" w:eastAsia="en-GB"/>
              </w:rPr>
              <w:t>f</w:t>
            </w:r>
          </w:p>
        </w:tc>
        <w:tc>
          <w:tcPr>
            <w:tcW w:w="892" w:type="dxa"/>
            <w:hideMark/>
          </w:tcPr>
          <w:p w14:paraId="2B6405D9" w14:textId="77777777" w:rsidR="00584876" w:rsidRPr="00584876" w:rsidRDefault="00584876" w:rsidP="005848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std err</w:t>
            </w:r>
          </w:p>
        </w:tc>
        <w:tc>
          <w:tcPr>
            <w:tcW w:w="892" w:type="dxa"/>
            <w:hideMark/>
          </w:tcPr>
          <w:p w14:paraId="37412568" w14:textId="77777777" w:rsidR="00584876" w:rsidRPr="00584876" w:rsidRDefault="00584876" w:rsidP="005848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t</w:t>
            </w:r>
          </w:p>
        </w:tc>
        <w:tc>
          <w:tcPr>
            <w:tcW w:w="789" w:type="dxa"/>
            <w:hideMark/>
          </w:tcPr>
          <w:p w14:paraId="5944DCDF" w14:textId="77777777" w:rsidR="00584876" w:rsidRPr="00584876" w:rsidRDefault="00584876" w:rsidP="005848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P&gt;|t|</w:t>
            </w:r>
          </w:p>
        </w:tc>
        <w:tc>
          <w:tcPr>
            <w:tcW w:w="1009" w:type="dxa"/>
            <w:hideMark/>
          </w:tcPr>
          <w:p w14:paraId="41DA4BE6" w14:textId="77777777" w:rsidR="00584876" w:rsidRPr="00584876" w:rsidRDefault="00584876" w:rsidP="005848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[0.025</w:t>
            </w:r>
          </w:p>
        </w:tc>
        <w:tc>
          <w:tcPr>
            <w:tcW w:w="1005" w:type="dxa"/>
            <w:hideMark/>
          </w:tcPr>
          <w:p w14:paraId="6E9E9E2E" w14:textId="77777777" w:rsidR="00584876" w:rsidRPr="00584876" w:rsidRDefault="00584876" w:rsidP="005848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0.975]</w:t>
            </w:r>
          </w:p>
        </w:tc>
      </w:tr>
      <w:tr w:rsidR="005946CE" w:rsidRPr="00584876" w14:paraId="3718F6AF" w14:textId="77777777" w:rsidTr="005946CE">
        <w:trPr>
          <w:cnfStyle w:val="000000100000" w:firstRow="0" w:lastRow="0" w:firstColumn="0" w:lastColumn="0" w:oddVBand="0" w:evenVBand="0" w:oddHBand="1" w:evenHBand="0" w:firstRowFirstColumn="0" w:firstRowLastColumn="0" w:lastRowFirstColumn="0" w:lastRowLastColumn="0"/>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37E59935"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const</w:t>
            </w:r>
          </w:p>
        </w:tc>
        <w:tc>
          <w:tcPr>
            <w:tcW w:w="1118" w:type="dxa"/>
            <w:hideMark/>
          </w:tcPr>
          <w:p w14:paraId="7E335A9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61.6162</w:t>
            </w:r>
          </w:p>
        </w:tc>
        <w:tc>
          <w:tcPr>
            <w:tcW w:w="892" w:type="dxa"/>
            <w:hideMark/>
          </w:tcPr>
          <w:p w14:paraId="132873D6"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15.465</w:t>
            </w:r>
          </w:p>
        </w:tc>
        <w:tc>
          <w:tcPr>
            <w:tcW w:w="892" w:type="dxa"/>
            <w:hideMark/>
          </w:tcPr>
          <w:p w14:paraId="11F085C7"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3.984</w:t>
            </w:r>
          </w:p>
        </w:tc>
        <w:tc>
          <w:tcPr>
            <w:tcW w:w="789" w:type="dxa"/>
            <w:hideMark/>
          </w:tcPr>
          <w:p w14:paraId="5348DD23"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0.000</w:t>
            </w:r>
          </w:p>
        </w:tc>
        <w:tc>
          <w:tcPr>
            <w:tcW w:w="1009" w:type="dxa"/>
            <w:hideMark/>
          </w:tcPr>
          <w:p w14:paraId="2D586A3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31.046</w:t>
            </w:r>
          </w:p>
        </w:tc>
        <w:tc>
          <w:tcPr>
            <w:tcW w:w="1005" w:type="dxa"/>
            <w:hideMark/>
          </w:tcPr>
          <w:p w14:paraId="33F0C742"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92.187</w:t>
            </w:r>
          </w:p>
        </w:tc>
      </w:tr>
      <w:tr w:rsidR="005946CE" w:rsidRPr="00584876" w14:paraId="19531B88" w14:textId="77777777" w:rsidTr="005946CE">
        <w:trPr>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53BC6AE5"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cases_total_prop_2008</w:t>
            </w:r>
          </w:p>
        </w:tc>
        <w:tc>
          <w:tcPr>
            <w:tcW w:w="1118" w:type="dxa"/>
            <w:hideMark/>
          </w:tcPr>
          <w:p w14:paraId="7E5DAC6D"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0.9945</w:t>
            </w:r>
          </w:p>
        </w:tc>
        <w:tc>
          <w:tcPr>
            <w:tcW w:w="892" w:type="dxa"/>
            <w:hideMark/>
          </w:tcPr>
          <w:p w14:paraId="6AACDE9C"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0.011</w:t>
            </w:r>
          </w:p>
        </w:tc>
        <w:tc>
          <w:tcPr>
            <w:tcW w:w="892" w:type="dxa"/>
            <w:hideMark/>
          </w:tcPr>
          <w:p w14:paraId="04E5012F"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88.022</w:t>
            </w:r>
          </w:p>
        </w:tc>
        <w:tc>
          <w:tcPr>
            <w:tcW w:w="789" w:type="dxa"/>
            <w:hideMark/>
          </w:tcPr>
          <w:p w14:paraId="606B1AE0"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0.000</w:t>
            </w:r>
          </w:p>
        </w:tc>
        <w:tc>
          <w:tcPr>
            <w:tcW w:w="1009" w:type="dxa"/>
            <w:hideMark/>
          </w:tcPr>
          <w:p w14:paraId="07F2E310"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0.972</w:t>
            </w:r>
          </w:p>
        </w:tc>
        <w:tc>
          <w:tcPr>
            <w:tcW w:w="1005" w:type="dxa"/>
            <w:hideMark/>
          </w:tcPr>
          <w:p w14:paraId="0BFD8E92"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1.017</w:t>
            </w:r>
          </w:p>
        </w:tc>
      </w:tr>
      <w:tr w:rsidR="005946CE" w:rsidRPr="00584876" w14:paraId="45D4AA14" w14:textId="77777777" w:rsidTr="005946CE">
        <w:trPr>
          <w:cnfStyle w:val="000000100000" w:firstRow="0" w:lastRow="0" w:firstColumn="0" w:lastColumn="0" w:oddVBand="0" w:evenVBand="0" w:oddHBand="1" w:evenHBand="0" w:firstRowFirstColumn="0" w:firstRowLastColumn="0" w:lastRowFirstColumn="0" w:lastRowLastColumn="0"/>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2453F57E"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female_prop_change</w:t>
            </w:r>
          </w:p>
        </w:tc>
        <w:tc>
          <w:tcPr>
            <w:tcW w:w="1118" w:type="dxa"/>
            <w:hideMark/>
          </w:tcPr>
          <w:p w14:paraId="43FDA862"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480.2027</w:t>
            </w:r>
          </w:p>
        </w:tc>
        <w:tc>
          <w:tcPr>
            <w:tcW w:w="892" w:type="dxa"/>
            <w:hideMark/>
          </w:tcPr>
          <w:p w14:paraId="7531879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55.134</w:t>
            </w:r>
          </w:p>
        </w:tc>
        <w:tc>
          <w:tcPr>
            <w:tcW w:w="892" w:type="dxa"/>
            <w:hideMark/>
          </w:tcPr>
          <w:p w14:paraId="082CDEAB"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8.710</w:t>
            </w:r>
          </w:p>
        </w:tc>
        <w:tc>
          <w:tcPr>
            <w:tcW w:w="789" w:type="dxa"/>
            <w:hideMark/>
          </w:tcPr>
          <w:p w14:paraId="3C66FBF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0.000</w:t>
            </w:r>
          </w:p>
        </w:tc>
        <w:tc>
          <w:tcPr>
            <w:tcW w:w="1009" w:type="dxa"/>
            <w:hideMark/>
          </w:tcPr>
          <w:p w14:paraId="55DE301D"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371.213</w:t>
            </w:r>
          </w:p>
        </w:tc>
        <w:tc>
          <w:tcPr>
            <w:tcW w:w="1005" w:type="dxa"/>
            <w:hideMark/>
          </w:tcPr>
          <w:p w14:paraId="47E8B781"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589.192</w:t>
            </w:r>
          </w:p>
        </w:tc>
      </w:tr>
      <w:tr w:rsidR="005946CE" w:rsidRPr="00584876" w14:paraId="13FEB2FD" w14:textId="77777777" w:rsidTr="005946CE">
        <w:trPr>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0A8D8F6B"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total_budget_pp</w:t>
            </w:r>
          </w:p>
        </w:tc>
        <w:tc>
          <w:tcPr>
            <w:tcW w:w="1118" w:type="dxa"/>
            <w:hideMark/>
          </w:tcPr>
          <w:p w14:paraId="73C3C0A7"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-21.4954</w:t>
            </w:r>
          </w:p>
        </w:tc>
        <w:tc>
          <w:tcPr>
            <w:tcW w:w="892" w:type="dxa"/>
            <w:hideMark/>
          </w:tcPr>
          <w:p w14:paraId="37C2BD21"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16.824</w:t>
            </w:r>
          </w:p>
        </w:tc>
        <w:tc>
          <w:tcPr>
            <w:tcW w:w="892" w:type="dxa"/>
            <w:hideMark/>
          </w:tcPr>
          <w:p w14:paraId="44DE7B92"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-1.278</w:t>
            </w:r>
          </w:p>
        </w:tc>
        <w:tc>
          <w:tcPr>
            <w:tcW w:w="789" w:type="dxa"/>
            <w:hideMark/>
          </w:tcPr>
          <w:p w14:paraId="26376F0D"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0.203</w:t>
            </w:r>
          </w:p>
        </w:tc>
        <w:tc>
          <w:tcPr>
            <w:tcW w:w="1009" w:type="dxa"/>
            <w:hideMark/>
          </w:tcPr>
          <w:p w14:paraId="37AC057D"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-54.753</w:t>
            </w:r>
          </w:p>
        </w:tc>
        <w:tc>
          <w:tcPr>
            <w:tcW w:w="1005" w:type="dxa"/>
            <w:hideMark/>
          </w:tcPr>
          <w:p w14:paraId="5D5B55FD"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11.762</w:t>
            </w:r>
          </w:p>
        </w:tc>
      </w:tr>
      <w:tr w:rsidR="005946CE" w:rsidRPr="00584876" w14:paraId="77E4EEE9" w14:textId="77777777" w:rsidTr="005946CE">
        <w:trPr>
          <w:cnfStyle w:val="000000100000" w:firstRow="0" w:lastRow="0" w:firstColumn="0" w:lastColumn="0" w:oddVBand="0" w:evenVBand="0" w:oddHBand="1" w:evenHBand="0" w:firstRowFirstColumn="0" w:firstRowLastColumn="0" w:lastRowFirstColumn="0" w:lastRowLastColumn="0"/>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2D2552DA"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clean_air_pp</w:t>
            </w:r>
          </w:p>
        </w:tc>
        <w:tc>
          <w:tcPr>
            <w:tcW w:w="1118" w:type="dxa"/>
            <w:hideMark/>
          </w:tcPr>
          <w:p w14:paraId="0BE83EDA"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-26.6858</w:t>
            </w:r>
          </w:p>
        </w:tc>
        <w:tc>
          <w:tcPr>
            <w:tcW w:w="892" w:type="dxa"/>
            <w:hideMark/>
          </w:tcPr>
          <w:p w14:paraId="67BFF9E0"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20.755</w:t>
            </w:r>
          </w:p>
        </w:tc>
        <w:tc>
          <w:tcPr>
            <w:tcW w:w="892" w:type="dxa"/>
            <w:hideMark/>
          </w:tcPr>
          <w:p w14:paraId="4AE1E78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-1.286</w:t>
            </w:r>
          </w:p>
        </w:tc>
        <w:tc>
          <w:tcPr>
            <w:tcW w:w="789" w:type="dxa"/>
            <w:hideMark/>
          </w:tcPr>
          <w:p w14:paraId="577D22FA"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0.201</w:t>
            </w:r>
          </w:p>
        </w:tc>
        <w:tc>
          <w:tcPr>
            <w:tcW w:w="1009" w:type="dxa"/>
            <w:hideMark/>
          </w:tcPr>
          <w:p w14:paraId="76B3BC57"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-67.715</w:t>
            </w:r>
          </w:p>
        </w:tc>
        <w:tc>
          <w:tcPr>
            <w:tcW w:w="1005" w:type="dxa"/>
            <w:hideMark/>
          </w:tcPr>
          <w:p w14:paraId="684D488B"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14.343</w:t>
            </w:r>
          </w:p>
        </w:tc>
      </w:tr>
      <w:tr w:rsidR="005946CE" w:rsidRPr="00584876" w14:paraId="04E40EA9" w14:textId="77777777" w:rsidTr="005946CE">
        <w:trPr>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24AE487F"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clean_environ_pp</w:t>
            </w:r>
          </w:p>
        </w:tc>
        <w:tc>
          <w:tcPr>
            <w:tcW w:w="1118" w:type="dxa"/>
            <w:hideMark/>
          </w:tcPr>
          <w:p w14:paraId="4D2000AF"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-21.4054</w:t>
            </w:r>
          </w:p>
        </w:tc>
        <w:tc>
          <w:tcPr>
            <w:tcW w:w="892" w:type="dxa"/>
            <w:hideMark/>
          </w:tcPr>
          <w:p w14:paraId="5FC71D87"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19.334</w:t>
            </w:r>
          </w:p>
        </w:tc>
        <w:tc>
          <w:tcPr>
            <w:tcW w:w="892" w:type="dxa"/>
            <w:hideMark/>
          </w:tcPr>
          <w:p w14:paraId="74C4A9B8"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-1.107</w:t>
            </w:r>
          </w:p>
        </w:tc>
        <w:tc>
          <w:tcPr>
            <w:tcW w:w="789" w:type="dxa"/>
            <w:hideMark/>
          </w:tcPr>
          <w:p w14:paraId="37AFE457"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0.270</w:t>
            </w:r>
          </w:p>
        </w:tc>
        <w:tc>
          <w:tcPr>
            <w:tcW w:w="1009" w:type="dxa"/>
            <w:hideMark/>
          </w:tcPr>
          <w:p w14:paraId="71D7B80B"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-59.624</w:t>
            </w:r>
          </w:p>
        </w:tc>
        <w:tc>
          <w:tcPr>
            <w:tcW w:w="1005" w:type="dxa"/>
            <w:hideMark/>
          </w:tcPr>
          <w:p w14:paraId="7BBC610C"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16.813</w:t>
            </w:r>
          </w:p>
        </w:tc>
      </w:tr>
      <w:tr w:rsidR="005946CE" w:rsidRPr="00584876" w14:paraId="7052FF29" w14:textId="77777777" w:rsidTr="005946CE">
        <w:trPr>
          <w:cnfStyle w:val="000000100000" w:firstRow="0" w:lastRow="0" w:firstColumn="0" w:lastColumn="0" w:oddVBand="0" w:evenVBand="0" w:oddHBand="1" w:evenHBand="0" w:firstRowFirstColumn="0" w:firstRowLastColumn="0" w:lastRowFirstColumn="0" w:lastRowLastColumn="0"/>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3C132244"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health_training_pp</w:t>
            </w:r>
          </w:p>
        </w:tc>
        <w:tc>
          <w:tcPr>
            <w:tcW w:w="1118" w:type="dxa"/>
            <w:hideMark/>
          </w:tcPr>
          <w:p w14:paraId="45165F5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-52.2263</w:t>
            </w:r>
          </w:p>
        </w:tc>
        <w:tc>
          <w:tcPr>
            <w:tcW w:w="892" w:type="dxa"/>
            <w:hideMark/>
          </w:tcPr>
          <w:p w14:paraId="0655A318"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39.526</w:t>
            </w:r>
          </w:p>
        </w:tc>
        <w:tc>
          <w:tcPr>
            <w:tcW w:w="892" w:type="dxa"/>
            <w:hideMark/>
          </w:tcPr>
          <w:p w14:paraId="1E5E928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-1.321</w:t>
            </w:r>
          </w:p>
        </w:tc>
        <w:tc>
          <w:tcPr>
            <w:tcW w:w="789" w:type="dxa"/>
            <w:hideMark/>
          </w:tcPr>
          <w:p w14:paraId="2D292C53"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0.189</w:t>
            </w:r>
          </w:p>
        </w:tc>
        <w:tc>
          <w:tcPr>
            <w:tcW w:w="1009" w:type="dxa"/>
            <w:hideMark/>
          </w:tcPr>
          <w:p w14:paraId="1F9644B8"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-130.361</w:t>
            </w:r>
          </w:p>
        </w:tc>
        <w:tc>
          <w:tcPr>
            <w:tcW w:w="1005" w:type="dxa"/>
            <w:hideMark/>
          </w:tcPr>
          <w:p w14:paraId="62D71524"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25.909</w:t>
            </w:r>
          </w:p>
        </w:tc>
      </w:tr>
      <w:tr w:rsidR="005946CE" w:rsidRPr="00584876" w14:paraId="04739FCF" w14:textId="77777777" w:rsidTr="005946CE">
        <w:trPr>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3B13B61D"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school_awareness_pp</w:t>
            </w:r>
          </w:p>
        </w:tc>
        <w:tc>
          <w:tcPr>
            <w:tcW w:w="1118" w:type="dxa"/>
            <w:hideMark/>
          </w:tcPr>
          <w:p w14:paraId="7E3E57DD"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-72.0710</w:t>
            </w:r>
          </w:p>
        </w:tc>
        <w:tc>
          <w:tcPr>
            <w:tcW w:w="892" w:type="dxa"/>
            <w:hideMark/>
          </w:tcPr>
          <w:p w14:paraId="38BDB79D"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17.605</w:t>
            </w:r>
          </w:p>
        </w:tc>
        <w:tc>
          <w:tcPr>
            <w:tcW w:w="892" w:type="dxa"/>
            <w:hideMark/>
          </w:tcPr>
          <w:p w14:paraId="6139E577"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-4.094</w:t>
            </w:r>
          </w:p>
        </w:tc>
        <w:tc>
          <w:tcPr>
            <w:tcW w:w="789" w:type="dxa"/>
            <w:hideMark/>
          </w:tcPr>
          <w:p w14:paraId="0524E17F"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0.000</w:t>
            </w:r>
          </w:p>
        </w:tc>
        <w:tc>
          <w:tcPr>
            <w:tcW w:w="1009" w:type="dxa"/>
            <w:hideMark/>
          </w:tcPr>
          <w:p w14:paraId="72EB81C0"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-106.873</w:t>
            </w:r>
          </w:p>
        </w:tc>
        <w:tc>
          <w:tcPr>
            <w:tcW w:w="1005" w:type="dxa"/>
            <w:hideMark/>
          </w:tcPr>
          <w:p w14:paraId="4FDDA0EE"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-37.269</w:t>
            </w:r>
          </w:p>
        </w:tc>
      </w:tr>
      <w:tr w:rsidR="005946CE" w:rsidRPr="00584876" w14:paraId="096534FC" w14:textId="77777777" w:rsidTr="005946CE">
        <w:trPr>
          <w:cnfStyle w:val="000000100000" w:firstRow="0" w:lastRow="0" w:firstColumn="0" w:lastColumn="0" w:oddVBand="0" w:evenVBand="0" w:oddHBand="1" w:evenHBand="0" w:firstRowFirstColumn="0" w:firstRowLastColumn="0" w:lastRowFirstColumn="0" w:lastRowLastColumn="0"/>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62C67767"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media_awareness_pp</w:t>
            </w:r>
          </w:p>
        </w:tc>
        <w:tc>
          <w:tcPr>
            <w:tcW w:w="1118" w:type="dxa"/>
            <w:hideMark/>
          </w:tcPr>
          <w:p w14:paraId="72DF94E3"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100.1211</w:t>
            </w:r>
          </w:p>
        </w:tc>
        <w:tc>
          <w:tcPr>
            <w:tcW w:w="892" w:type="dxa"/>
            <w:hideMark/>
          </w:tcPr>
          <w:p w14:paraId="065FCCF1"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32.882</w:t>
            </w:r>
          </w:p>
        </w:tc>
        <w:tc>
          <w:tcPr>
            <w:tcW w:w="892" w:type="dxa"/>
            <w:hideMark/>
          </w:tcPr>
          <w:p w14:paraId="2445F26C"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3.045</w:t>
            </w:r>
          </w:p>
        </w:tc>
        <w:tc>
          <w:tcPr>
            <w:tcW w:w="789" w:type="dxa"/>
            <w:hideMark/>
          </w:tcPr>
          <w:p w14:paraId="2A71EDE8"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0.003</w:t>
            </w:r>
          </w:p>
        </w:tc>
        <w:tc>
          <w:tcPr>
            <w:tcW w:w="1009" w:type="dxa"/>
            <w:hideMark/>
          </w:tcPr>
          <w:p w14:paraId="6FC09A7F"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35.120</w:t>
            </w:r>
          </w:p>
        </w:tc>
        <w:tc>
          <w:tcPr>
            <w:tcW w:w="1005" w:type="dxa"/>
            <w:hideMark/>
          </w:tcPr>
          <w:p w14:paraId="4AF3E356" w14:textId="77777777" w:rsidR="00584876" w:rsidRPr="00584876" w:rsidRDefault="00584876" w:rsidP="005848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165.123</w:t>
            </w:r>
          </w:p>
        </w:tc>
      </w:tr>
      <w:tr w:rsidR="005946CE" w:rsidRPr="00584876" w14:paraId="054A1A36" w14:textId="77777777" w:rsidTr="005946CE">
        <w:trPr>
          <w:trHeight w:hRule="exact" w:val="337"/>
        </w:trPr>
        <w:tc>
          <w:tcPr>
            <w:cnfStyle w:val="001000000000" w:firstRow="0" w:lastRow="0" w:firstColumn="1" w:lastColumn="0" w:oddVBand="0" w:evenVBand="0" w:oddHBand="0" w:evenHBand="0" w:firstRowFirstColumn="0" w:firstRowLastColumn="0" w:lastRowFirstColumn="0" w:lastRowLastColumn="0"/>
            <w:tcW w:w="2433" w:type="dxa"/>
            <w:hideMark/>
          </w:tcPr>
          <w:p w14:paraId="0AAE59C1" w14:textId="77777777" w:rsidR="00584876" w:rsidRPr="00584876" w:rsidRDefault="00584876" w:rsidP="00584876">
            <w:pPr>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sub_counselling_pp</w:t>
            </w:r>
          </w:p>
        </w:tc>
        <w:tc>
          <w:tcPr>
            <w:tcW w:w="1118" w:type="dxa"/>
            <w:hideMark/>
          </w:tcPr>
          <w:p w14:paraId="5DB5E90C"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50.7720</w:t>
            </w:r>
          </w:p>
        </w:tc>
        <w:tc>
          <w:tcPr>
            <w:tcW w:w="892" w:type="dxa"/>
            <w:hideMark/>
          </w:tcPr>
          <w:p w14:paraId="26BA6A72"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51.315</w:t>
            </w:r>
          </w:p>
        </w:tc>
        <w:tc>
          <w:tcPr>
            <w:tcW w:w="892" w:type="dxa"/>
            <w:hideMark/>
          </w:tcPr>
          <w:p w14:paraId="58925F45"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0.989</w:t>
            </w:r>
          </w:p>
        </w:tc>
        <w:tc>
          <w:tcPr>
            <w:tcW w:w="789" w:type="dxa"/>
            <w:hideMark/>
          </w:tcPr>
          <w:p w14:paraId="025DBB54"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0.324</w:t>
            </w:r>
          </w:p>
        </w:tc>
        <w:tc>
          <w:tcPr>
            <w:tcW w:w="1009" w:type="dxa"/>
            <w:hideMark/>
          </w:tcPr>
          <w:p w14:paraId="60E83026"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-50.668</w:t>
            </w:r>
          </w:p>
        </w:tc>
        <w:tc>
          <w:tcPr>
            <w:tcW w:w="1005" w:type="dxa"/>
            <w:hideMark/>
          </w:tcPr>
          <w:p w14:paraId="468C0935" w14:textId="77777777" w:rsidR="00584876" w:rsidRPr="00584876" w:rsidRDefault="00584876" w:rsidP="005848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584876">
              <w:rPr>
                <w:rFonts w:ascii="Calibri" w:eastAsia="Times New Roman" w:hAnsi="Calibri" w:cs="Calibri"/>
                <w:color w:val="000000"/>
                <w:sz w:val="20"/>
                <w:szCs w:val="20"/>
                <w:lang w:eastAsia="en-GB"/>
              </w:rPr>
              <w:t>152.212</w:t>
            </w:r>
          </w:p>
        </w:tc>
      </w:tr>
    </w:tbl>
    <w:p w14:paraId="793A9B54" w14:textId="5865DC0D" w:rsidR="00937258" w:rsidRDefault="00937258" w:rsidP="00937258">
      <w:pPr>
        <w:rPr>
          <w:lang w:val="en-GB"/>
        </w:rPr>
      </w:pPr>
    </w:p>
    <w:p w14:paraId="56B7C659" w14:textId="7DC81A17" w:rsidR="00937258" w:rsidRDefault="00937258" w:rsidP="00937258">
      <w:pPr>
        <w:rPr>
          <w:i/>
          <w:iCs/>
          <w:lang w:val="en-GB"/>
        </w:rPr>
      </w:pPr>
      <w:r>
        <w:rPr>
          <w:i/>
          <w:iCs/>
          <w:lang w:val="en-GB"/>
        </w:rPr>
        <w:t>Figure 3: Residuals vs fitted plot</w:t>
      </w:r>
    </w:p>
    <w:p w14:paraId="00989CA5" w14:textId="56B10073" w:rsidR="00B57057" w:rsidRDefault="00B57057" w:rsidP="00937258">
      <w:pPr>
        <w:rPr>
          <w:i/>
          <w:iCs/>
          <w:lang w:val="en-GB"/>
        </w:rPr>
      </w:pPr>
      <w:r>
        <w:rPr>
          <w:i/>
          <w:iCs/>
          <w:noProof/>
          <w:lang w:val="en-GB"/>
        </w:rPr>
        <w:drawing>
          <wp:inline distT="0" distB="0" distL="0" distR="0" wp14:anchorId="22DDE03A" wp14:editId="07649539">
            <wp:extent cx="3306031" cy="2015066"/>
            <wp:effectExtent l="0" t="0" r="0" b="444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8">
                      <a:extLst>
                        <a:ext uri="{28A0092B-C50C-407E-A947-70E740481C1C}">
                          <a14:useLocalDpi xmlns:a14="http://schemas.microsoft.com/office/drawing/2010/main" val="0"/>
                        </a:ext>
                      </a:extLst>
                    </a:blip>
                    <a:srcRect t="8574"/>
                    <a:stretch/>
                  </pic:blipFill>
                  <pic:spPr bwMode="auto">
                    <a:xfrm>
                      <a:off x="0" y="0"/>
                      <a:ext cx="3348085" cy="2040699"/>
                    </a:xfrm>
                    <a:prstGeom prst="rect">
                      <a:avLst/>
                    </a:prstGeom>
                    <a:ln>
                      <a:noFill/>
                    </a:ln>
                    <a:extLst>
                      <a:ext uri="{53640926-AAD7-44D8-BBD7-CCE9431645EC}">
                        <a14:shadowObscured xmlns:a14="http://schemas.microsoft.com/office/drawing/2010/main"/>
                      </a:ext>
                    </a:extLst>
                  </pic:spPr>
                </pic:pic>
              </a:graphicData>
            </a:graphic>
          </wp:inline>
        </w:drawing>
      </w:r>
    </w:p>
    <w:p w14:paraId="5F6B1551" w14:textId="77777777" w:rsidR="00B57057" w:rsidRPr="00B57057" w:rsidRDefault="00B57057" w:rsidP="00937258">
      <w:pPr>
        <w:rPr>
          <w:i/>
          <w:iCs/>
          <w:lang w:val="en-GB"/>
        </w:rPr>
      </w:pPr>
    </w:p>
    <w:p w14:paraId="14F7518B" w14:textId="4C4B20EA" w:rsidR="008A0FA6" w:rsidRDefault="00B56986" w:rsidP="00397505">
      <w:pPr>
        <w:pStyle w:val="Heading2"/>
        <w:jc w:val="both"/>
        <w:rPr>
          <w:lang w:val="en-GB"/>
        </w:rPr>
      </w:pPr>
      <w:r>
        <w:rPr>
          <w:lang w:val="en-GB"/>
        </w:rPr>
        <w:t>Interpretation and D</w:t>
      </w:r>
      <w:r w:rsidR="008A0FA6">
        <w:rPr>
          <w:lang w:val="en-GB"/>
        </w:rPr>
        <w:t>iscussion</w:t>
      </w:r>
    </w:p>
    <w:p w14:paraId="473D7F6E" w14:textId="3C76E450" w:rsidR="00912D1A" w:rsidRDefault="00584876" w:rsidP="004E10DB">
      <w:pPr>
        <w:jc w:val="both"/>
        <w:rPr>
          <w:lang w:val="en-GB"/>
        </w:rPr>
      </w:pPr>
      <w:r>
        <w:rPr>
          <w:lang w:val="en-GB"/>
        </w:rPr>
        <w:t xml:space="preserve">The summary of the </w:t>
      </w:r>
      <w:r w:rsidR="004E10DB">
        <w:rPr>
          <w:lang w:val="en-GB"/>
        </w:rPr>
        <w:t xml:space="preserve">fitted </w:t>
      </w:r>
      <w:r>
        <w:rPr>
          <w:lang w:val="en-GB"/>
        </w:rPr>
        <w:t>model (</w:t>
      </w:r>
      <w:r>
        <w:rPr>
          <w:i/>
          <w:iCs/>
          <w:lang w:val="en-GB"/>
        </w:rPr>
        <w:t>table 2</w:t>
      </w:r>
      <w:r>
        <w:rPr>
          <w:lang w:val="en-GB"/>
        </w:rPr>
        <w:t>)</w:t>
      </w:r>
      <w:r w:rsidR="004E10DB">
        <w:rPr>
          <w:lang w:val="en-GB"/>
        </w:rPr>
        <w:t xml:space="preserve"> shows very high R-squared and adjusted R-squared of 0.983 and 0.982</w:t>
      </w:r>
      <w:r w:rsidR="007A3F95">
        <w:rPr>
          <w:lang w:val="en-GB"/>
        </w:rPr>
        <w:t>,</w:t>
      </w:r>
      <w:r w:rsidR="004E10DB">
        <w:rPr>
          <w:lang w:val="en-GB"/>
        </w:rPr>
        <w:t xml:space="preserve"> respectively. S</w:t>
      </w:r>
      <w:r w:rsidR="007A3F95">
        <w:rPr>
          <w:lang w:val="en-GB"/>
        </w:rPr>
        <w:t xml:space="preserve">uch result is not unexpected considering </w:t>
      </w:r>
      <w:r w:rsidR="007A3F95">
        <w:rPr>
          <w:i/>
          <w:iCs/>
          <w:lang w:val="en-GB"/>
        </w:rPr>
        <w:t>figure 2</w:t>
      </w:r>
      <w:r w:rsidR="007A3F95">
        <w:rPr>
          <w:lang w:val="en-GB"/>
        </w:rPr>
        <w:t>, which suggests that the number of cases per 100,000 in 2008 is highly correlated with the number of cases</w:t>
      </w:r>
      <w:r w:rsidR="00912D1A">
        <w:rPr>
          <w:lang w:val="en-GB"/>
        </w:rPr>
        <w:t xml:space="preserve"> </w:t>
      </w:r>
      <w:r w:rsidR="007A3F95">
        <w:rPr>
          <w:lang w:val="en-GB"/>
        </w:rPr>
        <w:t xml:space="preserve">in 2018. This is also reflected in the p-value of the coefficient for </w:t>
      </w:r>
      <w:r w:rsidR="007A3F95">
        <w:rPr>
          <w:i/>
          <w:iCs/>
          <w:lang w:val="en-GB"/>
        </w:rPr>
        <w:t>cases_total_prop_2008</w:t>
      </w:r>
      <w:r w:rsidR="007A3F95">
        <w:rPr>
          <w:lang w:val="en-GB"/>
        </w:rPr>
        <w:t xml:space="preserve"> which is close to zero, meaning that the variable is a significant predictor of the number of cases in 2018 and we can reject the null hypothesis that its gradient is equal to zero. </w:t>
      </w:r>
      <w:r w:rsidR="00924939">
        <w:rPr>
          <w:lang w:val="en-GB"/>
        </w:rPr>
        <w:t>The estimated coefficient is 0.99, which means that controlling for the other independent variables (keeping them equal to zero), having one case of childhood obesity per 100,000 in 2008 is associated with having 0.99 cases in 2018. This</w:t>
      </w:r>
      <w:r w:rsidR="00912D1A">
        <w:rPr>
          <w:lang w:val="en-GB"/>
        </w:rPr>
        <w:t xml:space="preserve"> nevertheless</w:t>
      </w:r>
      <w:r w:rsidR="00924939">
        <w:rPr>
          <w:lang w:val="en-GB"/>
        </w:rPr>
        <w:t xml:space="preserve"> cannot be interpreted as saying that the prevalence of cases has decreased over the years because the other independent variables were not zero in practice.  </w:t>
      </w:r>
    </w:p>
    <w:p w14:paraId="60E0D87D" w14:textId="675B60DC" w:rsidR="007A3F95" w:rsidRDefault="00924939" w:rsidP="004E10DB">
      <w:pPr>
        <w:jc w:val="both"/>
        <w:rPr>
          <w:lang w:val="en-GB"/>
        </w:rPr>
      </w:pPr>
      <w:r>
        <w:rPr>
          <w:lang w:val="en-GB"/>
        </w:rPr>
        <w:lastRenderedPageBreak/>
        <w:t>The change in the proportion of females is also significant with a p-value close to zero</w:t>
      </w:r>
      <w:r w:rsidR="000604E3">
        <w:rPr>
          <w:lang w:val="en-GB"/>
        </w:rPr>
        <w:t xml:space="preserve">, suggesting a significant difference in the prevalence of obesity between males and females. On average, a 1% increase in authority’s </w:t>
      </w:r>
      <w:r w:rsidR="00912D1A">
        <w:rPr>
          <w:lang w:val="en-GB"/>
        </w:rPr>
        <w:t>proportion of females is associated with 4.8 more cases per 100,000 inhabitants.</w:t>
      </w:r>
    </w:p>
    <w:p w14:paraId="379FC099" w14:textId="06AC7DE9" w:rsidR="00912D1A" w:rsidRDefault="00912D1A" w:rsidP="004E10DB">
      <w:pPr>
        <w:jc w:val="both"/>
        <w:rPr>
          <w:lang w:val="en-GB"/>
        </w:rPr>
      </w:pPr>
    </w:p>
    <w:p w14:paraId="2266FC55" w14:textId="0C8BA324" w:rsidR="00912D1A" w:rsidRDefault="00912D1A" w:rsidP="004E10DB">
      <w:pPr>
        <w:jc w:val="both"/>
        <w:rPr>
          <w:lang w:val="en-GB"/>
        </w:rPr>
      </w:pPr>
      <w:r>
        <w:rPr>
          <w:lang w:val="en-GB"/>
        </w:rPr>
        <w:t>Considering the effect of the interventions, most of them are not significantly associated with a change in the number of cases and we cannot reject the null hypothesis that their coefficients are equal to zero. Exceptions are school awareness and media awareness</w:t>
      </w:r>
      <w:r w:rsidR="0038707A">
        <w:rPr>
          <w:lang w:val="en-GB"/>
        </w:rPr>
        <w:t>, with increased funding for school awareness associated with number of cases lower by 0.72 per 100,000 with each extra 0.01 pounds per person. In contrast, extra 0.01 pounds per person spent on media awareness was associated with the number of cases per 100,000 higher by 1. The results imply that school awareness has been the most effective and media awareness the least effective of the interventions.</w:t>
      </w:r>
    </w:p>
    <w:p w14:paraId="62E4E5EA" w14:textId="77777777" w:rsidR="007A3F95" w:rsidRDefault="007A3F95" w:rsidP="004E10DB">
      <w:pPr>
        <w:jc w:val="both"/>
        <w:rPr>
          <w:lang w:val="en-GB"/>
        </w:rPr>
      </w:pPr>
    </w:p>
    <w:p w14:paraId="22ABFCEF" w14:textId="46235637" w:rsidR="008A0FA6" w:rsidRPr="00A21C99" w:rsidRDefault="00A21C99" w:rsidP="00A21C99">
      <w:pPr>
        <w:jc w:val="both"/>
        <w:rPr>
          <w:lang w:val="en-GB"/>
        </w:rPr>
      </w:pPr>
      <w:r>
        <w:rPr>
          <w:lang w:val="en-GB"/>
        </w:rPr>
        <w:t xml:space="preserve">Inspecting the residuals vs fitted values plot in </w:t>
      </w:r>
      <w:r>
        <w:rPr>
          <w:i/>
          <w:iCs/>
          <w:lang w:val="en-GB"/>
        </w:rPr>
        <w:t>figure 3</w:t>
      </w:r>
      <w:r>
        <w:rPr>
          <w:lang w:val="en-GB"/>
        </w:rPr>
        <w:t xml:space="preserve"> to assess the validity of linear regression assumptions, it seems that the errors are independent (there is no observable pattern), normally distributed around zero and have equal variance for all x values. This corroborates the validity of using a multiple linear regression model for understanding the data.</w:t>
      </w:r>
    </w:p>
    <w:p w14:paraId="49C7046E" w14:textId="77777777" w:rsidR="00A9282F" w:rsidRDefault="00A9282F" w:rsidP="00A9282F">
      <w:pPr>
        <w:rPr>
          <w:lang w:val="en-GB"/>
        </w:rPr>
      </w:pPr>
    </w:p>
    <w:p w14:paraId="66BB3C41" w14:textId="31E709DE" w:rsidR="008A0FA6" w:rsidRDefault="008A0FA6" w:rsidP="00397505">
      <w:pPr>
        <w:pStyle w:val="Heading2"/>
        <w:jc w:val="both"/>
        <w:rPr>
          <w:lang w:val="en-GB"/>
        </w:rPr>
      </w:pPr>
      <w:r>
        <w:rPr>
          <w:lang w:val="en-GB"/>
        </w:rPr>
        <w:t>Conclusion</w:t>
      </w:r>
    </w:p>
    <w:p w14:paraId="07725661" w14:textId="48687AB7" w:rsidR="00B16523" w:rsidRDefault="00B16523" w:rsidP="00B16523">
      <w:pPr>
        <w:rPr>
          <w:lang w:val="en-GB"/>
        </w:rPr>
      </w:pPr>
    </w:p>
    <w:p w14:paraId="6B389026" w14:textId="77777777" w:rsidR="00B16523" w:rsidRPr="00B16523" w:rsidRDefault="00B16523" w:rsidP="00B16523">
      <w:pPr>
        <w:rPr>
          <w:lang w:val="en-GB"/>
        </w:rPr>
      </w:pPr>
    </w:p>
    <w:sectPr w:rsidR="00B16523" w:rsidRPr="00B16523" w:rsidSect="002874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2533"/>
    <w:multiLevelType w:val="hybridMultilevel"/>
    <w:tmpl w:val="B62A146E"/>
    <w:lvl w:ilvl="0" w:tplc="19ECF7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76610"/>
    <w:multiLevelType w:val="hybridMultilevel"/>
    <w:tmpl w:val="A58C6320"/>
    <w:lvl w:ilvl="0" w:tplc="CC58CA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817394"/>
    <w:multiLevelType w:val="hybridMultilevel"/>
    <w:tmpl w:val="760AFD46"/>
    <w:lvl w:ilvl="0" w:tplc="42E0EC86">
      <w:start w:val="1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53854"/>
    <w:rsid w:val="000604E3"/>
    <w:rsid w:val="00093F3C"/>
    <w:rsid w:val="000C3D7F"/>
    <w:rsid w:val="0010535E"/>
    <w:rsid w:val="001A1D18"/>
    <w:rsid w:val="002345DB"/>
    <w:rsid w:val="00287401"/>
    <w:rsid w:val="002B76A0"/>
    <w:rsid w:val="002F1E36"/>
    <w:rsid w:val="0038707A"/>
    <w:rsid w:val="003925DB"/>
    <w:rsid w:val="00397505"/>
    <w:rsid w:val="003C71DB"/>
    <w:rsid w:val="003F5947"/>
    <w:rsid w:val="004D1918"/>
    <w:rsid w:val="004E10DB"/>
    <w:rsid w:val="00584876"/>
    <w:rsid w:val="005946CE"/>
    <w:rsid w:val="006D38B5"/>
    <w:rsid w:val="007A3F95"/>
    <w:rsid w:val="00805F9B"/>
    <w:rsid w:val="00815C8E"/>
    <w:rsid w:val="008A0FA6"/>
    <w:rsid w:val="008C4ABB"/>
    <w:rsid w:val="00912D1A"/>
    <w:rsid w:val="00924939"/>
    <w:rsid w:val="00937258"/>
    <w:rsid w:val="00950B80"/>
    <w:rsid w:val="00970A0B"/>
    <w:rsid w:val="009C625E"/>
    <w:rsid w:val="00A21C99"/>
    <w:rsid w:val="00A9282F"/>
    <w:rsid w:val="00AD5942"/>
    <w:rsid w:val="00B16523"/>
    <w:rsid w:val="00B351E0"/>
    <w:rsid w:val="00B56986"/>
    <w:rsid w:val="00B57057"/>
    <w:rsid w:val="00BB33BB"/>
    <w:rsid w:val="00DA7715"/>
    <w:rsid w:val="00E02D85"/>
    <w:rsid w:val="00E245E5"/>
    <w:rsid w:val="00F251DC"/>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E5B9"/>
  <w15:chartTrackingRefBased/>
  <w15:docId w15:val="{0311C746-7582-AC48-B16C-88988059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5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523"/>
    <w:pPr>
      <w:keepNext/>
      <w:keepLines/>
      <w:spacing w:before="12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165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52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B1652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16523"/>
    <w:pPr>
      <w:ind w:left="720"/>
      <w:contextualSpacing/>
    </w:pPr>
  </w:style>
  <w:style w:type="character" w:styleId="PlaceholderText">
    <w:name w:val="Placeholder Text"/>
    <w:basedOn w:val="DefaultParagraphFont"/>
    <w:uiPriority w:val="99"/>
    <w:semiHidden/>
    <w:rsid w:val="00397505"/>
    <w:rPr>
      <w:color w:val="808080"/>
    </w:rPr>
  </w:style>
  <w:style w:type="table" w:styleId="TableGrid">
    <w:name w:val="Table Grid"/>
    <w:basedOn w:val="TableNormal"/>
    <w:uiPriority w:val="39"/>
    <w:rsid w:val="00BB3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3D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C3D7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C3D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3D7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848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487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946C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5946C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urful">
    <w:name w:val="List Table 7 Colorful"/>
    <w:basedOn w:val="TableNormal"/>
    <w:uiPriority w:val="52"/>
    <w:rsid w:val="005946C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3">
    <w:name w:val="List Table 6 Colorful Accent 3"/>
    <w:basedOn w:val="TableNormal"/>
    <w:uiPriority w:val="51"/>
    <w:rsid w:val="005946C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urfulAccent5">
    <w:name w:val="List Table 6 Colorful Accent 5"/>
    <w:basedOn w:val="TableNormal"/>
    <w:uiPriority w:val="51"/>
    <w:rsid w:val="005946CE"/>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6">
    <w:name w:val="List Table 5 Dark Accent 6"/>
    <w:basedOn w:val="TableNormal"/>
    <w:uiPriority w:val="50"/>
    <w:rsid w:val="005946C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769">
      <w:bodyDiv w:val="1"/>
      <w:marLeft w:val="0"/>
      <w:marRight w:val="0"/>
      <w:marTop w:val="0"/>
      <w:marBottom w:val="0"/>
      <w:divBdr>
        <w:top w:val="none" w:sz="0" w:space="0" w:color="auto"/>
        <w:left w:val="none" w:sz="0" w:space="0" w:color="auto"/>
        <w:bottom w:val="none" w:sz="0" w:space="0" w:color="auto"/>
        <w:right w:val="none" w:sz="0" w:space="0" w:color="auto"/>
      </w:divBdr>
    </w:div>
    <w:div w:id="492600874">
      <w:bodyDiv w:val="1"/>
      <w:marLeft w:val="0"/>
      <w:marRight w:val="0"/>
      <w:marTop w:val="0"/>
      <w:marBottom w:val="0"/>
      <w:divBdr>
        <w:top w:val="none" w:sz="0" w:space="0" w:color="auto"/>
        <w:left w:val="none" w:sz="0" w:space="0" w:color="auto"/>
        <w:bottom w:val="none" w:sz="0" w:space="0" w:color="auto"/>
        <w:right w:val="none" w:sz="0" w:space="0" w:color="auto"/>
      </w:divBdr>
    </w:div>
    <w:div w:id="689719349">
      <w:bodyDiv w:val="1"/>
      <w:marLeft w:val="0"/>
      <w:marRight w:val="0"/>
      <w:marTop w:val="0"/>
      <w:marBottom w:val="0"/>
      <w:divBdr>
        <w:top w:val="none" w:sz="0" w:space="0" w:color="auto"/>
        <w:left w:val="none" w:sz="0" w:space="0" w:color="auto"/>
        <w:bottom w:val="none" w:sz="0" w:space="0" w:color="auto"/>
        <w:right w:val="none" w:sz="0" w:space="0" w:color="auto"/>
      </w:divBdr>
    </w:div>
    <w:div w:id="739444073">
      <w:bodyDiv w:val="1"/>
      <w:marLeft w:val="0"/>
      <w:marRight w:val="0"/>
      <w:marTop w:val="0"/>
      <w:marBottom w:val="0"/>
      <w:divBdr>
        <w:top w:val="none" w:sz="0" w:space="0" w:color="auto"/>
        <w:left w:val="none" w:sz="0" w:space="0" w:color="auto"/>
        <w:bottom w:val="none" w:sz="0" w:space="0" w:color="auto"/>
        <w:right w:val="none" w:sz="0" w:space="0" w:color="auto"/>
      </w:divBdr>
    </w:div>
    <w:div w:id="12368629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9969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Fabsikova</dc:creator>
  <cp:keywords/>
  <dc:description/>
  <cp:lastModifiedBy>Nina Fabsikova</cp:lastModifiedBy>
  <cp:revision>26</cp:revision>
  <dcterms:created xsi:type="dcterms:W3CDTF">2021-11-15T09:59:00Z</dcterms:created>
  <dcterms:modified xsi:type="dcterms:W3CDTF">2021-11-15T15:55:00Z</dcterms:modified>
</cp:coreProperties>
</file>