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AEF8" w14:textId="6F5643D0" w:rsidR="00D32E58" w:rsidRPr="00B74050" w:rsidRDefault="005D360A" w:rsidP="00D32E58">
      <w:pPr>
        <w:keepNext/>
        <w:rPr>
          <w:b/>
          <w:bCs/>
          <w:noProof/>
          <w:lang w:val="en-GB"/>
        </w:rPr>
      </w:pPr>
      <w:r>
        <w:rPr>
          <w:b/>
          <w:bCs/>
          <w:noProof/>
          <w:lang w:val="en-GB"/>
        </w:rPr>
        <w:t>Figure 1. A kinetic model of glycolysis can yield sustained oscillations</w:t>
      </w:r>
    </w:p>
    <w:p w14:paraId="176FDD92" w14:textId="3D6EFC6E" w:rsidR="00B74050" w:rsidRPr="005D360A" w:rsidRDefault="002439DE" w:rsidP="00D32E58">
      <w:pPr>
        <w:keepNext/>
        <w:rPr>
          <w:lang w:val="en-GB"/>
        </w:rPr>
      </w:pPr>
      <w:r>
        <w:rPr>
          <w:noProof/>
          <w:lang w:val="en-GB"/>
        </w:rPr>
        <w:drawing>
          <wp:inline distT="0" distB="0" distL="0" distR="0" wp14:anchorId="65D6CA6C" wp14:editId="62C8C55A">
            <wp:extent cx="5731510" cy="3978910"/>
            <wp:effectExtent l="0" t="0" r="2540" b="254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978910"/>
                    </a:xfrm>
                    <a:prstGeom prst="rect">
                      <a:avLst/>
                    </a:prstGeom>
                  </pic:spPr>
                </pic:pic>
              </a:graphicData>
            </a:graphic>
          </wp:inline>
        </w:drawing>
      </w:r>
    </w:p>
    <w:p w14:paraId="39005180" w14:textId="7E9826B6" w:rsidR="005D360A" w:rsidRPr="005D360A" w:rsidRDefault="005D360A" w:rsidP="005D360A">
      <w:pPr>
        <w:pStyle w:val="Caption"/>
        <w:jc w:val="both"/>
        <w:rPr>
          <w:lang w:val="en-GB"/>
        </w:rPr>
      </w:pPr>
      <w:r w:rsidRPr="005D360A">
        <w:rPr>
          <w:b/>
          <w:bCs/>
          <w:lang w:val="en-GB"/>
        </w:rPr>
        <w:t xml:space="preserve">Figure 1. A kinetic model of glycolysis can yield sustained </w:t>
      </w:r>
      <w:proofErr w:type="spellStart"/>
      <w:r w:rsidRPr="005D360A">
        <w:rPr>
          <w:b/>
          <w:bCs/>
          <w:lang w:val="en-GB"/>
        </w:rPr>
        <w:t>oscialtions</w:t>
      </w:r>
      <w:proofErr w:type="spellEnd"/>
      <w:r w:rsidRPr="005D360A">
        <w:rPr>
          <w:lang w:val="en-GB"/>
        </w:rPr>
        <w:t>. (</w:t>
      </w:r>
      <w:r w:rsidR="00B42938" w:rsidRPr="00B42938">
        <w:rPr>
          <w:b/>
          <w:bCs/>
          <w:lang w:val="en-GB"/>
        </w:rPr>
        <w:t>a</w:t>
      </w:r>
      <w:r w:rsidRPr="005D360A">
        <w:rPr>
          <w:lang w:val="en-GB"/>
        </w:rPr>
        <w:t xml:space="preserve">) Structure and stoichiometry of </w:t>
      </w:r>
      <w:r w:rsidR="00B42938">
        <w:rPr>
          <w:lang w:val="en-GB"/>
        </w:rPr>
        <w:t xml:space="preserve">a </w:t>
      </w:r>
      <w:r w:rsidRPr="005D360A">
        <w:rPr>
          <w:lang w:val="en-GB"/>
        </w:rPr>
        <w:t>simplified model of glycolysis. The outer dotted line is the model boundary. Solid arrows are reactions and dotted arrows are allosteric interactions of metabolites with enzymes. g6p</w:t>
      </w:r>
      <w:r w:rsidRPr="005D360A">
        <w:rPr>
          <w:rFonts w:hint="eastAsia"/>
          <w:lang w:val="en-GB"/>
        </w:rPr>
        <w:t>:</w:t>
      </w:r>
      <w:r w:rsidRPr="005D360A">
        <w:rPr>
          <w:lang w:val="en-GB"/>
        </w:rPr>
        <w:t xml:space="preserve"> glucose-6-</w:t>
      </w:r>
      <w:proofErr w:type="gramStart"/>
      <w:r w:rsidRPr="005D360A">
        <w:rPr>
          <w:lang w:val="en-GB"/>
        </w:rPr>
        <w:t xml:space="preserve">phosphate,  </w:t>
      </w:r>
      <w:proofErr w:type="spellStart"/>
      <w:r w:rsidRPr="005D360A">
        <w:rPr>
          <w:lang w:val="en-GB"/>
        </w:rPr>
        <w:t>fbp</w:t>
      </w:r>
      <w:proofErr w:type="spellEnd"/>
      <w:proofErr w:type="gramEnd"/>
      <w:r w:rsidRPr="005D360A">
        <w:rPr>
          <w:lang w:val="en-GB"/>
        </w:rPr>
        <w:t xml:space="preserve">: fructose-1,6-biphosphate, pep: phosphoenolpyruvate, </w:t>
      </w:r>
      <w:proofErr w:type="spellStart"/>
      <w:r w:rsidRPr="005D360A">
        <w:rPr>
          <w:lang w:val="en-GB"/>
        </w:rPr>
        <w:t>pyr</w:t>
      </w:r>
      <w:proofErr w:type="spellEnd"/>
      <w:r w:rsidRPr="005D360A">
        <w:rPr>
          <w:lang w:val="en-GB"/>
        </w:rPr>
        <w:t xml:space="preserve">: pyruvate,  PFK: </w:t>
      </w:r>
      <w:proofErr w:type="spellStart"/>
      <w:r w:rsidRPr="005D360A">
        <w:rPr>
          <w:lang w:val="en-GB"/>
        </w:rPr>
        <w:t>phophofructokinase</w:t>
      </w:r>
      <w:proofErr w:type="spellEnd"/>
      <w:r w:rsidRPr="005D360A">
        <w:rPr>
          <w:lang w:val="en-GB"/>
        </w:rPr>
        <w:t xml:space="preserve">, </w:t>
      </w:r>
      <w:proofErr w:type="spellStart"/>
      <w:r w:rsidRPr="005D360A">
        <w:rPr>
          <w:lang w:val="en-GB"/>
        </w:rPr>
        <w:t>FBPase</w:t>
      </w:r>
      <w:proofErr w:type="spellEnd"/>
      <w:r w:rsidRPr="005D360A">
        <w:rPr>
          <w:lang w:val="en-GB"/>
        </w:rPr>
        <w:t>: fructose-1,6-bisphosphatase, PYK: pyruvate kinase, FBA: fructose-bisphosphate aldolase, PTS: phosphotransferase system, PDH: pyruvate dehydrogenase. (</w:t>
      </w:r>
      <w:r w:rsidR="00B42938" w:rsidRPr="00B42938">
        <w:rPr>
          <w:b/>
          <w:bCs/>
          <w:lang w:val="en-GB"/>
        </w:rPr>
        <w:t>b</w:t>
      </w:r>
      <w:r w:rsidRPr="005D360A">
        <w:rPr>
          <w:lang w:val="en-GB"/>
        </w:rPr>
        <w:t xml:space="preserve">) </w:t>
      </w:r>
      <w:r w:rsidR="00B42938">
        <w:rPr>
          <w:lang w:val="en-GB"/>
        </w:rPr>
        <w:t>Two e</w:t>
      </w:r>
      <w:r w:rsidRPr="005D360A">
        <w:rPr>
          <w:lang w:val="en-GB"/>
        </w:rPr>
        <w:t>xample</w:t>
      </w:r>
      <w:r w:rsidR="00B42938">
        <w:rPr>
          <w:lang w:val="en-GB"/>
        </w:rPr>
        <w:t>s</w:t>
      </w:r>
      <w:r w:rsidRPr="005D360A">
        <w:rPr>
          <w:lang w:val="en-GB"/>
        </w:rPr>
        <w:t xml:space="preserve"> of simulated pyruvate concentration</w:t>
      </w:r>
      <w:r w:rsidR="00B42938">
        <w:rPr>
          <w:lang w:val="en-GB"/>
        </w:rPr>
        <w:t>s</w:t>
      </w:r>
      <w:r w:rsidRPr="005D360A">
        <w:rPr>
          <w:lang w:val="en-GB"/>
        </w:rPr>
        <w:t xml:space="preserve"> with </w:t>
      </w:r>
      <w:r w:rsidR="00B42938">
        <w:rPr>
          <w:lang w:val="en-GB"/>
        </w:rPr>
        <w:t>two</w:t>
      </w:r>
      <w:r w:rsidRPr="005D360A">
        <w:rPr>
          <w:lang w:val="en-GB"/>
        </w:rPr>
        <w:t xml:space="preserve"> parameter set</w:t>
      </w:r>
      <w:r w:rsidR="00B42938">
        <w:rPr>
          <w:lang w:val="en-GB"/>
        </w:rPr>
        <w:t>s</w:t>
      </w:r>
      <w:r w:rsidRPr="005D360A">
        <w:rPr>
          <w:lang w:val="en-GB"/>
        </w:rPr>
        <w:t xml:space="preserve"> that produce osci</w:t>
      </w:r>
      <w:r w:rsidR="00B42938">
        <w:rPr>
          <w:lang w:val="en-GB"/>
        </w:rPr>
        <w:t>l</w:t>
      </w:r>
      <w:r w:rsidRPr="005D360A">
        <w:rPr>
          <w:lang w:val="en-GB"/>
        </w:rPr>
        <w:t>lations. The model was initially at steady state and at t = 50 min the glucose uptake rate was decreased by 5%</w:t>
      </w:r>
      <w:r w:rsidR="00B42938">
        <w:rPr>
          <w:lang w:val="en-GB"/>
        </w:rPr>
        <w:t xml:space="preserve">. </w:t>
      </w:r>
      <w:r w:rsidRPr="005D360A">
        <w:rPr>
          <w:lang w:val="en-GB"/>
        </w:rPr>
        <w:t>(</w:t>
      </w:r>
      <w:r w:rsidR="00B42938" w:rsidRPr="00B42938">
        <w:rPr>
          <w:b/>
          <w:bCs/>
          <w:lang w:val="en-GB"/>
        </w:rPr>
        <w:t>c</w:t>
      </w:r>
      <w:r w:rsidRPr="005D360A">
        <w:rPr>
          <w:lang w:val="en-GB"/>
        </w:rPr>
        <w:t>) Boxplot show</w:t>
      </w:r>
      <w:r w:rsidR="00B42938">
        <w:rPr>
          <w:lang w:val="en-GB"/>
        </w:rPr>
        <w:t>ing</w:t>
      </w:r>
      <w:r w:rsidRPr="005D360A">
        <w:rPr>
          <w:lang w:val="en-GB"/>
        </w:rPr>
        <w:t xml:space="preserve"> the distribution of the periods of </w:t>
      </w:r>
      <w:r w:rsidR="00357B4A">
        <w:rPr>
          <w:lang w:val="en-GB"/>
        </w:rPr>
        <w:t>393</w:t>
      </w:r>
      <w:r w:rsidRPr="005D360A">
        <w:rPr>
          <w:lang w:val="en-GB"/>
        </w:rPr>
        <w:t xml:space="preserve"> simulations with oscillating pyruvate levels. (</w:t>
      </w:r>
      <w:r w:rsidR="00B42938" w:rsidRPr="00B42938">
        <w:rPr>
          <w:b/>
          <w:bCs/>
          <w:lang w:val="en-GB"/>
        </w:rPr>
        <w:t>d</w:t>
      </w:r>
      <w:r w:rsidRPr="005D360A">
        <w:rPr>
          <w:lang w:val="en-GB"/>
        </w:rPr>
        <w:t xml:space="preserve">) Comparison of parameter values in </w:t>
      </w:r>
      <w:r w:rsidR="002439DE">
        <w:rPr>
          <w:lang w:val="en-GB"/>
        </w:rPr>
        <w:t>393</w:t>
      </w:r>
      <w:r w:rsidRPr="005D360A">
        <w:rPr>
          <w:lang w:val="en-GB"/>
        </w:rPr>
        <w:t xml:space="preserve"> sets that led to oscillations with all 2,000 parameter sets that were random sampled, with numbering of individual reactions as in panel (</w:t>
      </w:r>
      <w:r w:rsidR="00B42938">
        <w:rPr>
          <w:lang w:val="en-GB"/>
        </w:rPr>
        <w:t>a</w:t>
      </w:r>
      <w:proofErr w:type="gramStart"/>
      <w:r w:rsidRPr="005D360A">
        <w:rPr>
          <w:lang w:val="en-GB"/>
        </w:rPr>
        <w:t>) .</w:t>
      </w:r>
      <w:proofErr w:type="gramEnd"/>
      <w:r w:rsidR="00B42938">
        <w:rPr>
          <w:lang w:val="en-GB"/>
        </w:rPr>
        <w:t xml:space="preserve"> Asterisks denote parameters that significantly (p-value &lt; 1E-10</w:t>
      </w:r>
      <w:r w:rsidR="002439DE">
        <w:rPr>
          <w:lang w:val="en-GB"/>
        </w:rPr>
        <w:t xml:space="preserve">, </w:t>
      </w:r>
      <w:r w:rsidR="002439DE" w:rsidRPr="002439DE">
        <w:rPr>
          <w:rFonts w:ascii="Symbol" w:hAnsi="Symbol"/>
          <w:lang w:val="en-GB"/>
        </w:rPr>
        <w:t>a</w:t>
      </w:r>
      <w:r w:rsidR="002439DE">
        <w:rPr>
          <w:lang w:val="en-GB"/>
        </w:rPr>
        <w:t xml:space="preserve"> = 0.01</w:t>
      </w:r>
      <w:r w:rsidR="00B42938">
        <w:rPr>
          <w:lang w:val="en-GB"/>
        </w:rPr>
        <w:t>) affect the model’s propensity to produce pyruvate oscillations.</w:t>
      </w:r>
    </w:p>
    <w:p w14:paraId="13C30FB4" w14:textId="77777777" w:rsidR="005D360A" w:rsidRDefault="005D360A" w:rsidP="00D32E58">
      <w:pPr>
        <w:pStyle w:val="Caption"/>
        <w:rPr>
          <w:lang w:val="en-GB"/>
        </w:rPr>
      </w:pPr>
    </w:p>
    <w:p w14:paraId="747133DD" w14:textId="77777777" w:rsidR="00B42938" w:rsidRPr="00B42938" w:rsidRDefault="00B42938" w:rsidP="00B42938">
      <w:pPr>
        <w:spacing w:after="0" w:line="480" w:lineRule="auto"/>
        <w:jc w:val="both"/>
        <w:rPr>
          <w:rFonts w:ascii="Times New Roman" w:hAnsi="Times New Roman" w:cs="Times New Roman"/>
          <w:b/>
          <w:bCs/>
          <w:sz w:val="24"/>
          <w:szCs w:val="24"/>
          <w:lang w:val="en-GB"/>
        </w:rPr>
      </w:pPr>
      <w:r w:rsidRPr="00B42938">
        <w:rPr>
          <w:rFonts w:ascii="Times New Roman" w:hAnsi="Times New Roman" w:cs="Times New Roman"/>
          <w:b/>
          <w:bCs/>
          <w:sz w:val="24"/>
          <w:szCs w:val="24"/>
          <w:lang w:val="en-GB"/>
        </w:rPr>
        <w:t xml:space="preserve">A kinetic model of </w:t>
      </w:r>
      <w:r w:rsidRPr="00B42938">
        <w:rPr>
          <w:rFonts w:ascii="Times New Roman" w:hAnsi="Times New Roman" w:cs="Times New Roman"/>
          <w:b/>
          <w:bCs/>
          <w:i/>
          <w:iCs/>
          <w:sz w:val="24"/>
          <w:szCs w:val="24"/>
          <w:lang w:val="en-GB"/>
        </w:rPr>
        <w:t>E. coli</w:t>
      </w:r>
      <w:r w:rsidRPr="00B42938">
        <w:rPr>
          <w:rFonts w:ascii="Times New Roman" w:hAnsi="Times New Roman" w:cs="Times New Roman"/>
          <w:b/>
          <w:bCs/>
          <w:sz w:val="24"/>
          <w:szCs w:val="24"/>
          <w:lang w:val="en-GB"/>
        </w:rPr>
        <w:t xml:space="preserve"> glycolysis predicts periodic oscillations</w:t>
      </w:r>
    </w:p>
    <w:p w14:paraId="35DF89C4" w14:textId="04475952" w:rsidR="00B42938" w:rsidRPr="00B42938" w:rsidRDefault="00B42938" w:rsidP="00B42938">
      <w:pPr>
        <w:jc w:val="both"/>
        <w:rPr>
          <w:rFonts w:ascii="Times New Roman" w:hAnsi="Times New Roman" w:cs="Times New Roman"/>
          <w:sz w:val="24"/>
          <w:szCs w:val="24"/>
          <w:lang w:val="en-GB"/>
        </w:rPr>
      </w:pPr>
      <w:r w:rsidRPr="00B42938">
        <w:rPr>
          <w:rFonts w:ascii="Times New Roman" w:hAnsi="Times New Roman" w:cs="Times New Roman"/>
          <w:sz w:val="24"/>
          <w:szCs w:val="24"/>
          <w:lang w:val="en-GB"/>
        </w:rPr>
        <w:t>To first test the likelihood of oscillations in the levels of glycolysis metabolites, we used a small kinetic model of E. coli glycolysis (Figure 1</w:t>
      </w:r>
      <w:r>
        <w:rPr>
          <w:rFonts w:ascii="Times New Roman" w:hAnsi="Times New Roman" w:cs="Times New Roman"/>
          <w:sz w:val="24"/>
          <w:szCs w:val="24"/>
          <w:lang w:val="en-GB"/>
        </w:rPr>
        <w:t>a</w:t>
      </w:r>
      <w:r w:rsidRPr="00B42938">
        <w:rPr>
          <w:rFonts w:ascii="Times New Roman" w:hAnsi="Times New Roman" w:cs="Times New Roman"/>
          <w:sz w:val="24"/>
          <w:szCs w:val="24"/>
          <w:lang w:val="en-GB"/>
        </w:rPr>
        <w:t>). The model consists of four metabolites and six metabolic reactions that were simulated with Michaelis-Menten and Hill kinetics (see STAR Methods for detailed description of the model). From a multitude of allosteric metabolite-enzyme interactions that regulate the activity of glycolysis enzymes, three of the most relevant ones were included in our model. The first interaction is the feedforward activation of pyruvate kinase (PYK) by fructose-1,6-biphosphate (FBP), which plays an important role in E. coli. The other two interactions represent negative feedback from phosphoenolpyruvate (PEP) levels to the interconversion of hexose-phosphate and FBP, by respectively inhibiting phosphofructokinase (PFK) and activating fructose-bisphosphate aldolase (</w:t>
      </w:r>
      <w:proofErr w:type="spellStart"/>
      <w:r w:rsidRPr="00B42938">
        <w:rPr>
          <w:rFonts w:ascii="Times New Roman" w:hAnsi="Times New Roman" w:cs="Times New Roman"/>
          <w:sz w:val="24"/>
          <w:szCs w:val="24"/>
          <w:lang w:val="en-GB"/>
        </w:rPr>
        <w:t>FBP</w:t>
      </w:r>
      <w:r>
        <w:rPr>
          <w:rFonts w:ascii="Times New Roman" w:hAnsi="Times New Roman" w:cs="Times New Roman"/>
          <w:sz w:val="24"/>
          <w:szCs w:val="24"/>
          <w:lang w:val="en-GB"/>
        </w:rPr>
        <w:t>ase</w:t>
      </w:r>
      <w:proofErr w:type="spellEnd"/>
      <w:r w:rsidRPr="00B42938">
        <w:rPr>
          <w:rFonts w:ascii="Times New Roman" w:hAnsi="Times New Roman" w:cs="Times New Roman"/>
          <w:sz w:val="24"/>
          <w:szCs w:val="24"/>
          <w:lang w:val="en-GB"/>
        </w:rPr>
        <w:t>).</w:t>
      </w:r>
    </w:p>
    <w:p w14:paraId="5BB4EE02" w14:textId="25F84B9E" w:rsidR="00B42938" w:rsidRPr="00B42938" w:rsidRDefault="00B42938" w:rsidP="00B42938">
      <w:pPr>
        <w:jc w:val="both"/>
        <w:rPr>
          <w:rFonts w:ascii="Times New Roman" w:hAnsi="Times New Roman" w:cs="Times New Roman"/>
          <w:sz w:val="24"/>
          <w:szCs w:val="24"/>
          <w:lang w:val="en-GB"/>
        </w:rPr>
      </w:pPr>
      <w:r w:rsidRPr="00B42938">
        <w:rPr>
          <w:rFonts w:ascii="Times New Roman" w:hAnsi="Times New Roman" w:cs="Times New Roman"/>
          <w:sz w:val="24"/>
          <w:szCs w:val="24"/>
          <w:lang w:val="en-GB"/>
        </w:rPr>
        <w:lastRenderedPageBreak/>
        <w:t xml:space="preserve">As a starting point for the model analysis, we fixed the glycolytic flux to a constant value and randomly sampled all model parameters (maximal rates and binding constants) 2,000 times such that the model was at steady state. Next, we perturbed this steady state by decreasing the glucose uptake rate by 5% and analysed whether this perturbation leads to oscillations. A forward Fourier transformation of the time dependent pyruvate levels revealed sustained oscillations of pyruvate concentrations for </w:t>
      </w:r>
      <w:r w:rsidR="009E1708">
        <w:rPr>
          <w:rFonts w:ascii="Times New Roman" w:hAnsi="Times New Roman" w:cs="Times New Roman"/>
          <w:sz w:val="24"/>
          <w:szCs w:val="24"/>
          <w:lang w:val="en-GB"/>
        </w:rPr>
        <w:t>393</w:t>
      </w:r>
      <w:r w:rsidRPr="00B42938">
        <w:rPr>
          <w:rFonts w:ascii="Times New Roman" w:hAnsi="Times New Roman" w:cs="Times New Roman"/>
          <w:sz w:val="24"/>
          <w:szCs w:val="24"/>
          <w:lang w:val="en-GB"/>
        </w:rPr>
        <w:t xml:space="preserve"> of the tested 2000 parameters sets (Figure 1B). The typical period of oscillations across these </w:t>
      </w:r>
      <w:r w:rsidR="009E1708">
        <w:rPr>
          <w:rFonts w:ascii="Times New Roman" w:hAnsi="Times New Roman" w:cs="Times New Roman"/>
          <w:sz w:val="24"/>
          <w:szCs w:val="24"/>
          <w:lang w:val="en-GB"/>
        </w:rPr>
        <w:t>393</w:t>
      </w:r>
      <w:r w:rsidRPr="00B42938">
        <w:rPr>
          <w:rFonts w:ascii="Times New Roman" w:hAnsi="Times New Roman" w:cs="Times New Roman"/>
          <w:sz w:val="24"/>
          <w:szCs w:val="24"/>
          <w:lang w:val="en-GB"/>
        </w:rPr>
        <w:t xml:space="preserve"> simulations was several minutes</w:t>
      </w:r>
      <w:r w:rsidR="009E1708">
        <w:rPr>
          <w:rFonts w:ascii="Times New Roman" w:hAnsi="Times New Roman" w:cs="Times New Roman"/>
          <w:sz w:val="24"/>
          <w:szCs w:val="24"/>
          <w:lang w:val="en-GB"/>
        </w:rPr>
        <w:t xml:space="preserve"> (median = 2.65 min</w:t>
      </w:r>
      <w:proofErr w:type="gramStart"/>
      <w:r w:rsidR="009E1708">
        <w:rPr>
          <w:rFonts w:ascii="Times New Roman" w:hAnsi="Times New Roman" w:cs="Times New Roman"/>
          <w:sz w:val="24"/>
          <w:szCs w:val="24"/>
          <w:lang w:val="en-GB"/>
        </w:rPr>
        <w:t xml:space="preserve">) </w:t>
      </w:r>
      <w:r w:rsidRPr="00B42938">
        <w:rPr>
          <w:rFonts w:ascii="Times New Roman" w:hAnsi="Times New Roman" w:cs="Times New Roman"/>
          <w:sz w:val="24"/>
          <w:szCs w:val="24"/>
          <w:lang w:val="en-GB"/>
        </w:rPr>
        <w:t>,</w:t>
      </w:r>
      <w:proofErr w:type="gramEnd"/>
      <w:r w:rsidRPr="00B42938">
        <w:rPr>
          <w:rFonts w:ascii="Times New Roman" w:hAnsi="Times New Roman" w:cs="Times New Roman"/>
          <w:sz w:val="24"/>
          <w:szCs w:val="24"/>
          <w:lang w:val="en-GB"/>
        </w:rPr>
        <w:t xml:space="preserve"> although some parameter sets caused faster or slower oscillations (Figure 1C). </w:t>
      </w:r>
    </w:p>
    <w:p w14:paraId="7F221435" w14:textId="7534471D" w:rsidR="00B42938" w:rsidRPr="00B42938" w:rsidRDefault="00B42938" w:rsidP="00B42938">
      <w:pPr>
        <w:jc w:val="both"/>
        <w:rPr>
          <w:lang w:val="en-GB"/>
        </w:rPr>
      </w:pPr>
      <w:r w:rsidRPr="00B42938">
        <w:rPr>
          <w:rFonts w:ascii="Times New Roman" w:hAnsi="Times New Roman" w:cs="Times New Roman"/>
          <w:sz w:val="24"/>
          <w:szCs w:val="24"/>
          <w:lang w:val="en-GB"/>
        </w:rPr>
        <w:t xml:space="preserve">To identify parameters that </w:t>
      </w:r>
      <w:proofErr w:type="spellStart"/>
      <w:r w:rsidRPr="00B42938">
        <w:rPr>
          <w:rFonts w:ascii="Times New Roman" w:hAnsi="Times New Roman" w:cs="Times New Roman"/>
          <w:sz w:val="24"/>
          <w:szCs w:val="24"/>
          <w:lang w:val="en-GB"/>
        </w:rPr>
        <w:t>favor</w:t>
      </w:r>
      <w:proofErr w:type="spellEnd"/>
      <w:r w:rsidRPr="00B42938">
        <w:rPr>
          <w:rFonts w:ascii="Times New Roman" w:hAnsi="Times New Roman" w:cs="Times New Roman"/>
          <w:sz w:val="24"/>
          <w:szCs w:val="24"/>
          <w:lang w:val="en-GB"/>
        </w:rPr>
        <w:t xml:space="preserve"> pyruvate oscillations, we compared the distribution of individual model parameters across all 2000 sets with those within </w:t>
      </w:r>
      <w:r w:rsidR="009E1708">
        <w:rPr>
          <w:rFonts w:ascii="Times New Roman" w:hAnsi="Times New Roman" w:cs="Times New Roman"/>
          <w:sz w:val="24"/>
          <w:szCs w:val="24"/>
          <w:lang w:val="en-GB"/>
        </w:rPr>
        <w:t>393</w:t>
      </w:r>
      <w:r w:rsidRPr="00B42938">
        <w:rPr>
          <w:rFonts w:ascii="Times New Roman" w:hAnsi="Times New Roman" w:cs="Times New Roman"/>
          <w:sz w:val="24"/>
          <w:szCs w:val="24"/>
          <w:lang w:val="en-GB"/>
        </w:rPr>
        <w:t xml:space="preserve"> sets that yielded oscillations (Figure 1D). This showed that allosteric activation of </w:t>
      </w:r>
      <w:r w:rsidR="009E1708">
        <w:rPr>
          <w:rFonts w:ascii="Times New Roman" w:hAnsi="Times New Roman" w:cs="Times New Roman"/>
          <w:sz w:val="24"/>
          <w:szCs w:val="24"/>
          <w:lang w:val="en-GB"/>
        </w:rPr>
        <w:t xml:space="preserve">the </w:t>
      </w:r>
      <w:r w:rsidRPr="00B42938">
        <w:rPr>
          <w:rFonts w:ascii="Times New Roman" w:hAnsi="Times New Roman" w:cs="Times New Roman"/>
          <w:sz w:val="24"/>
          <w:szCs w:val="24"/>
          <w:lang w:val="en-GB"/>
        </w:rPr>
        <w:t>pyruvate kinase by FBP (higher a</w:t>
      </w:r>
      <w:r w:rsidR="009E1708">
        <w:rPr>
          <w:rFonts w:ascii="Times New Roman" w:hAnsi="Times New Roman" w:cs="Times New Roman"/>
          <w:sz w:val="24"/>
          <w:szCs w:val="24"/>
          <w:lang w:val="en-GB"/>
        </w:rPr>
        <w:t>3</w:t>
      </w:r>
      <w:r w:rsidRPr="00B42938">
        <w:rPr>
          <w:rFonts w:ascii="Times New Roman" w:hAnsi="Times New Roman" w:cs="Times New Roman"/>
          <w:sz w:val="24"/>
          <w:szCs w:val="24"/>
          <w:lang w:val="en-GB"/>
        </w:rPr>
        <w:t xml:space="preserve">) favored oscillations, as well as a high affinity of </w:t>
      </w:r>
      <w:r w:rsidR="009E1708">
        <w:rPr>
          <w:rFonts w:ascii="Times New Roman" w:hAnsi="Times New Roman" w:cs="Times New Roman"/>
          <w:sz w:val="24"/>
          <w:szCs w:val="24"/>
          <w:lang w:val="en-GB"/>
        </w:rPr>
        <w:t xml:space="preserve">the </w:t>
      </w:r>
      <w:r w:rsidRPr="00B42938">
        <w:rPr>
          <w:rFonts w:ascii="Times New Roman" w:hAnsi="Times New Roman" w:cs="Times New Roman"/>
          <w:sz w:val="24"/>
          <w:szCs w:val="24"/>
          <w:lang w:val="en-GB"/>
        </w:rPr>
        <w:t>pyruvate dehydrogenase (PDH) for pyruvate (Km5). Thus, our simulations demonstrate that the stoichiometry and the kinetics of glycolysis can produce oscillations of intracellular metabolites on the time scale of several minutes in a broad range of parameter values and with multiple reactions being involved.</w:t>
      </w:r>
    </w:p>
    <w:p w14:paraId="75758AB2" w14:textId="77777777" w:rsidR="00B42938" w:rsidRDefault="00B42938" w:rsidP="006013C6">
      <w:pPr>
        <w:jc w:val="both"/>
        <w:rPr>
          <w:lang w:val="en-GB"/>
        </w:rPr>
      </w:pPr>
    </w:p>
    <w:p w14:paraId="4EF532E1" w14:textId="77777777" w:rsidR="00B42938" w:rsidRDefault="00B42938" w:rsidP="006013C6">
      <w:pPr>
        <w:jc w:val="both"/>
        <w:rPr>
          <w:lang w:val="en-GB"/>
        </w:rPr>
      </w:pPr>
    </w:p>
    <w:p w14:paraId="387A7D7F" w14:textId="77777777" w:rsidR="00B42938" w:rsidRDefault="00B42938" w:rsidP="006013C6">
      <w:pPr>
        <w:jc w:val="both"/>
        <w:rPr>
          <w:lang w:val="en-GB"/>
        </w:rPr>
      </w:pPr>
    </w:p>
    <w:p w14:paraId="3A26900E" w14:textId="77777777" w:rsidR="00B42938" w:rsidRDefault="00B42938" w:rsidP="006013C6">
      <w:pPr>
        <w:jc w:val="both"/>
        <w:rPr>
          <w:lang w:val="en-GB"/>
        </w:rPr>
      </w:pPr>
    </w:p>
    <w:p w14:paraId="21AC07C7" w14:textId="77777777" w:rsidR="0020456B" w:rsidRDefault="0020456B" w:rsidP="006013C6">
      <w:pPr>
        <w:jc w:val="both"/>
        <w:rPr>
          <w:lang w:val="en-GB"/>
        </w:rPr>
      </w:pPr>
    </w:p>
    <w:p w14:paraId="4313B198" w14:textId="77777777" w:rsidR="00AC5FE0" w:rsidRDefault="00AC5FE0">
      <w:pPr>
        <w:rPr>
          <w:lang w:val="en-GB"/>
        </w:rPr>
      </w:pPr>
      <w:r>
        <w:rPr>
          <w:lang w:val="en-GB"/>
        </w:rPr>
        <w:br w:type="page"/>
      </w:r>
    </w:p>
    <w:p w14:paraId="403D7A6C" w14:textId="6590EBE2" w:rsidR="0020456B" w:rsidRDefault="00AC5FE0" w:rsidP="006013C6">
      <w:pPr>
        <w:jc w:val="both"/>
        <w:rPr>
          <w:lang w:val="en-GB"/>
        </w:rPr>
      </w:pPr>
      <w:r>
        <w:rPr>
          <w:lang w:val="en-GB"/>
        </w:rPr>
        <w:lastRenderedPageBreak/>
        <w:t>Methods</w:t>
      </w:r>
    </w:p>
    <w:p w14:paraId="16B58404" w14:textId="3D5948EB" w:rsidR="00AC5FE0" w:rsidRPr="00463A9D" w:rsidRDefault="00024EB0" w:rsidP="00463A9D">
      <w:pPr>
        <w:tabs>
          <w:tab w:val="left" w:pos="2005"/>
        </w:tabs>
        <w:jc w:val="both"/>
        <w:rPr>
          <w:rFonts w:eastAsiaTheme="minorEastAsia"/>
          <w:lang w:val="en-GB"/>
        </w:rPr>
      </w:pPr>
      <w:r>
        <w:rPr>
          <w:lang w:val="en-GB"/>
        </w:rPr>
        <w:t>The stoichiometry of the model is shown in figure1a. Mass balancing results in a system of ordinary differential equations (ODE</w:t>
      </w:r>
      <w:r w:rsidR="00BA463F">
        <w:rPr>
          <w:lang w:val="en-GB"/>
        </w:rPr>
        <w:t>s), F, which is a temporal function of the state variables (</w:t>
      </w:r>
      <w:r w:rsidR="00C625D7">
        <w:rPr>
          <w:lang w:val="en-GB"/>
        </w:rPr>
        <w:t xml:space="preserve">g6p, </w:t>
      </w:r>
      <w:proofErr w:type="spellStart"/>
      <w:r w:rsidR="00C625D7">
        <w:rPr>
          <w:lang w:val="en-GB"/>
        </w:rPr>
        <w:t>fbp</w:t>
      </w:r>
      <w:proofErr w:type="spellEnd"/>
      <w:r w:rsidR="00C625D7">
        <w:rPr>
          <w:lang w:val="en-GB"/>
        </w:rPr>
        <w:t xml:space="preserve">, pep, </w:t>
      </w:r>
      <w:proofErr w:type="spellStart"/>
      <w:r w:rsidR="00C625D7">
        <w:rPr>
          <w:lang w:val="en-GB"/>
        </w:rPr>
        <w:t>pyr</w:t>
      </w:r>
      <w:proofErr w:type="spellEnd"/>
      <w:r w:rsidR="00BA463F">
        <w:rPr>
          <w:lang w:val="en-GB"/>
        </w:rPr>
        <w:t>) x and the kinetic parameters p</w:t>
      </w:r>
      <w:r w:rsidR="00393B24">
        <w:rPr>
          <w:lang w:val="en-GB"/>
        </w:rPr>
        <w:t>.</w:t>
      </w:r>
      <w:r w:rsidR="00463A9D">
        <w:rPr>
          <w:lang w:val="en-GB"/>
        </w:rPr>
        <w:t xml:space="preserve"> In total the system comprises 4 variables and 21 kinetic parameters. Dilution of metabolites by growth was not considered due to large differences between growth dilution and glycolytic flux. </w:t>
      </w:r>
    </w:p>
    <w:p w14:paraId="1BAA949C" w14:textId="5C11EB3F" w:rsidR="00BA463F" w:rsidRPr="00174AF2" w:rsidRDefault="00BA463F" w:rsidP="006013C6">
      <w:pPr>
        <w:jc w:val="both"/>
        <w:rPr>
          <w:lang w:val="en-GB"/>
        </w:rPr>
      </w:pPr>
      <m:oMathPara>
        <m:oMathParaPr>
          <m:jc m:val="left"/>
        </m:oMathParaPr>
        <m:oMath>
          <m:r>
            <w:rPr>
              <w:rFonts w:ascii="Cambria Math" w:hAnsi="Cambria Math"/>
              <w:lang w:val="en-GB"/>
            </w:rPr>
            <m:t>F</m:t>
          </m:r>
          <m:d>
            <m:dPr>
              <m:ctrlPr>
                <w:rPr>
                  <w:rFonts w:ascii="Cambria Math" w:hAnsi="Cambria Math"/>
                  <w:i/>
                  <w:lang w:val="en-GB"/>
                </w:rPr>
              </m:ctrlPr>
            </m:dPr>
            <m:e>
              <m:r>
                <w:rPr>
                  <w:rFonts w:ascii="Cambria Math" w:hAnsi="Cambria Math"/>
                  <w:lang w:val="en-GB"/>
                </w:rPr>
                <m:t>x,p</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dx</m:t>
              </m:r>
            </m:num>
            <m:den>
              <m:r>
                <w:rPr>
                  <w:rFonts w:ascii="Cambria Math" w:hAnsi="Cambria Math"/>
                  <w:lang w:val="en-GB"/>
                </w:rPr>
                <m:t>dt</m:t>
              </m:r>
            </m:den>
          </m:f>
          <m:r>
            <w:rPr>
              <w:rFonts w:ascii="Cambria Math" w:hAnsi="Cambria Math"/>
              <w:lang w:val="en-GB"/>
            </w:rPr>
            <m:t xml:space="preserve">= </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PTS+FBP-PFK</m:t>
                  </m:r>
                </m:e>
                <m:e>
                  <m:r>
                    <w:rPr>
                      <w:rFonts w:ascii="Cambria Math" w:hAnsi="Cambria Math"/>
                      <w:lang w:val="en-GB"/>
                    </w:rPr>
                    <m:t>PFK-FBP-FBA</m:t>
                  </m:r>
                </m:e>
                <m:e>
                  <m:r>
                    <w:rPr>
                      <w:rFonts w:ascii="Cambria Math" w:hAnsi="Cambria Math"/>
                      <w:lang w:val="en-GB"/>
                    </w:rPr>
                    <m:t>2∙FBA-PYK-PTS</m:t>
                  </m:r>
                  <m:ctrlPr>
                    <w:rPr>
                      <w:rFonts w:ascii="Cambria Math" w:eastAsia="Cambria Math" w:hAnsi="Cambria Math" w:cs="Cambria Math"/>
                      <w:i/>
                      <w:lang w:val="en-GB"/>
                    </w:rPr>
                  </m:ctrlPr>
                </m:e>
                <m:e>
                  <m:r>
                    <w:rPr>
                      <w:rFonts w:ascii="Cambria Math" w:eastAsia="Cambria Math" w:hAnsi="Cambria Math" w:cs="Cambria Math"/>
                      <w:lang w:val="en-GB"/>
                    </w:rPr>
                    <m:t>PTS+PYK-2∙PDH</m:t>
                  </m:r>
                </m:e>
              </m:eqArr>
            </m:e>
          </m:d>
        </m:oMath>
      </m:oMathPara>
    </w:p>
    <w:p w14:paraId="1C619B2A" w14:textId="6B6FB26A" w:rsidR="00AC5FE0" w:rsidRDefault="00135A4A" w:rsidP="006013C6">
      <w:pPr>
        <w:jc w:val="both"/>
        <w:rPr>
          <w:lang w:val="en-GB"/>
        </w:rPr>
      </w:pPr>
      <w:r>
        <w:rPr>
          <w:lang w:val="en-GB"/>
        </w:rPr>
        <w:t xml:space="preserve">The six reactions </w:t>
      </w:r>
      <w:r w:rsidR="00E85E7E">
        <w:rPr>
          <w:lang w:val="en-GB"/>
        </w:rPr>
        <w:t xml:space="preserve">(PTS, PFK, FBP, FBA, PYK, PDH) </w:t>
      </w:r>
      <w:r>
        <w:rPr>
          <w:lang w:val="en-GB"/>
        </w:rPr>
        <w:t>are described by the following kinetic equations:</w:t>
      </w:r>
    </w:p>
    <w:p w14:paraId="2E027060" w14:textId="22518ADE" w:rsidR="00135A4A" w:rsidRPr="007658C8" w:rsidRDefault="00135A4A" w:rsidP="006013C6">
      <w:pPr>
        <w:jc w:val="both"/>
        <w:rPr>
          <w:lang w:val="en-GB"/>
        </w:rPr>
      </w:pPr>
      <w:r>
        <w:rPr>
          <w:lang w:val="en-GB"/>
        </w:rPr>
        <w:t xml:space="preserve">The PTS reaction takes up glucose from outside the system boundary depending on the ratio of </w:t>
      </w:r>
      <w:proofErr w:type="spellStart"/>
      <w:r w:rsidR="00ED7EA7">
        <w:rPr>
          <w:lang w:val="en-GB"/>
        </w:rPr>
        <w:t>pyr</w:t>
      </w:r>
      <w:proofErr w:type="spellEnd"/>
      <w:r w:rsidR="00ED7EA7">
        <w:rPr>
          <w:lang w:val="en-GB"/>
        </w:rPr>
        <w:t>/pep</w:t>
      </w:r>
      <w:r w:rsidR="00A35CC4">
        <w:rPr>
          <w:lang w:val="en-GB"/>
        </w:rPr>
        <w:t xml:space="preserve">. </w:t>
      </w:r>
      <w:r w:rsidR="007658C8">
        <w:rPr>
          <w:lang w:val="en-GB"/>
        </w:rPr>
        <w:t>With an assumed glucose uptake rate of 8 mmol g</w:t>
      </w:r>
      <w:r w:rsidR="007658C8" w:rsidRPr="007658C8">
        <w:rPr>
          <w:vertAlign w:val="superscript"/>
          <w:lang w:val="en-GB"/>
        </w:rPr>
        <w:t>-1</w:t>
      </w:r>
      <w:r w:rsidR="007658C8">
        <w:rPr>
          <w:lang w:val="en-GB"/>
        </w:rPr>
        <w:t xml:space="preserve"> h</w:t>
      </w:r>
      <w:r w:rsidR="007658C8" w:rsidRPr="007658C8">
        <w:rPr>
          <w:vertAlign w:val="superscript"/>
          <w:lang w:val="en-GB"/>
        </w:rPr>
        <w:t>-1</w:t>
      </w:r>
      <w:r w:rsidR="007658C8">
        <w:rPr>
          <w:lang w:val="en-GB"/>
        </w:rPr>
        <w:t xml:space="preserve"> and the specific cell volume for </w:t>
      </w:r>
      <w:r w:rsidR="007658C8" w:rsidRPr="00EE74E4">
        <w:rPr>
          <w:i/>
          <w:iCs/>
          <w:lang w:val="en-GB"/>
        </w:rPr>
        <w:t>E. coli</w:t>
      </w:r>
      <w:r w:rsidR="007658C8">
        <w:rPr>
          <w:lang w:val="en-GB"/>
        </w:rPr>
        <w:t xml:space="preserve"> (2 µl</w:t>
      </w:r>
      <w:r w:rsidR="00F8702D">
        <w:rPr>
          <w:lang w:val="en-GB"/>
        </w:rPr>
        <w:t xml:space="preserve"> </w:t>
      </w:r>
      <w:r w:rsidR="007658C8">
        <w:rPr>
          <w:lang w:val="en-GB"/>
        </w:rPr>
        <w:t>mg</w:t>
      </w:r>
      <w:r w:rsidR="00F8702D" w:rsidRPr="00F8702D">
        <w:rPr>
          <w:vertAlign w:val="superscript"/>
          <w:lang w:val="en-GB"/>
        </w:rPr>
        <w:t>-1</w:t>
      </w:r>
      <w:r w:rsidR="007658C8">
        <w:rPr>
          <w:lang w:val="en-GB"/>
        </w:rPr>
        <w:t>) the reaction rate for the PTS system is:</w:t>
      </w:r>
    </w:p>
    <w:p w14:paraId="49151843" w14:textId="00AEEE87" w:rsidR="00135A4A" w:rsidRPr="00F8702D" w:rsidRDefault="00135A4A" w:rsidP="006013C6">
      <w:pPr>
        <w:jc w:val="both"/>
        <w:rPr>
          <w:rFonts w:eastAsiaTheme="minorEastAsia"/>
          <w:lang w:val="en-GB"/>
        </w:rPr>
      </w:pPr>
      <m:oMath>
        <m:r>
          <w:rPr>
            <w:rFonts w:ascii="Cambria Math" w:hAnsi="Cambria Math"/>
            <w:lang w:val="en-GB"/>
          </w:rPr>
          <m:t xml:space="preserve">r1=PTS= </m:t>
        </m:r>
        <m:f>
          <m:fPr>
            <m:ctrlPr>
              <w:rPr>
                <w:rFonts w:ascii="Cambria Math" w:hAnsi="Cambria Math"/>
                <w:i/>
                <w:lang w:val="en-GB"/>
              </w:rPr>
            </m:ctrlPr>
          </m:fPr>
          <m:num>
            <m:r>
              <w:rPr>
                <w:rFonts w:ascii="Cambria Math" w:hAnsi="Cambria Math"/>
                <w:lang w:val="en-GB"/>
              </w:rPr>
              <m:t>Vmax1</m:t>
            </m:r>
          </m:num>
          <m:den>
            <m:r>
              <w:rPr>
                <w:rFonts w:ascii="Cambria Math" w:hAnsi="Cambria Math"/>
                <w:lang w:val="en-GB"/>
              </w:rPr>
              <m:t>(k1 ∙</m:t>
            </m:r>
            <m:f>
              <m:fPr>
                <m:ctrlPr>
                  <w:rPr>
                    <w:rFonts w:ascii="Cambria Math" w:hAnsi="Cambria Math"/>
                    <w:i/>
                    <w:lang w:val="en-GB"/>
                  </w:rPr>
                </m:ctrlPr>
              </m:fPr>
              <m:num>
                <m:r>
                  <w:rPr>
                    <w:rFonts w:ascii="Cambria Math" w:hAnsi="Cambria Math"/>
                    <w:lang w:val="en-GB"/>
                  </w:rPr>
                  <m:t>pyr</m:t>
                </m:r>
              </m:num>
              <m:den>
                <m:r>
                  <w:rPr>
                    <w:rFonts w:ascii="Cambria Math" w:hAnsi="Cambria Math"/>
                    <w:lang w:val="en-GB"/>
                  </w:rPr>
                  <m:t>pep</m:t>
                </m:r>
              </m:den>
            </m:f>
            <m:r>
              <w:rPr>
                <w:rFonts w:ascii="Cambria Math" w:hAnsi="Cambria Math"/>
                <w:lang w:val="en-GB"/>
              </w:rPr>
              <m:t>+k2+k3 ∙</m:t>
            </m:r>
            <m:f>
              <m:fPr>
                <m:ctrlPr>
                  <w:rPr>
                    <w:rFonts w:ascii="Cambria Math" w:hAnsi="Cambria Math"/>
                    <w:i/>
                    <w:lang w:val="en-GB"/>
                  </w:rPr>
                </m:ctrlPr>
              </m:fPr>
              <m:num>
                <m:r>
                  <w:rPr>
                    <w:rFonts w:ascii="Cambria Math" w:hAnsi="Cambria Math"/>
                    <w:lang w:val="en-GB"/>
                  </w:rPr>
                  <m:t>pyr</m:t>
                </m:r>
              </m:num>
              <m:den>
                <m:r>
                  <w:rPr>
                    <w:rFonts w:ascii="Cambria Math" w:hAnsi="Cambria Math"/>
                    <w:lang w:val="en-GB"/>
                  </w:rPr>
                  <m:t>pep</m:t>
                </m:r>
              </m:den>
            </m:f>
            <m:r>
              <w:rPr>
                <w:rFonts w:ascii="Cambria Math" w:hAnsi="Cambria Math"/>
                <w:lang w:val="en-GB"/>
              </w:rPr>
              <m:t>+1</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 xml:space="preserve">8 mmol </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-1</m:t>
                </m:r>
              </m:sup>
            </m:s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-1</m:t>
                </m:r>
              </m:sup>
            </m:sSup>
          </m:num>
          <m:den>
            <m:r>
              <w:rPr>
                <w:rFonts w:ascii="Cambria Math" w:hAnsi="Cambria Math"/>
                <w:lang w:val="en-GB"/>
              </w:rPr>
              <m:t xml:space="preserve">0.002 g </m:t>
            </m:r>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-1</m:t>
                </m:r>
              </m:sup>
            </m:sSup>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r>
              <w:rPr>
                <w:rFonts w:ascii="Cambria Math" w:hAnsi="Cambria Math"/>
                <w:lang w:val="en-GB"/>
              </w:rPr>
              <m:t>h</m:t>
            </m:r>
          </m:num>
          <m:den>
            <m:r>
              <w:rPr>
                <w:rFonts w:ascii="Cambria Math" w:hAnsi="Cambria Math"/>
                <w:lang w:val="en-GB"/>
              </w:rPr>
              <m:t>60 min</m:t>
            </m:r>
          </m:den>
        </m:f>
      </m:oMath>
      <w:r w:rsidR="007658C8" w:rsidRPr="00F8702D">
        <w:rPr>
          <w:rFonts w:eastAsiaTheme="minorEastAsia"/>
          <w:lang w:val="en-GB"/>
        </w:rPr>
        <w:t xml:space="preserve"> = 66.66 mmol </w:t>
      </w:r>
      <w:proofErr w:type="gramStart"/>
      <w:r w:rsidR="007658C8" w:rsidRPr="00F8702D">
        <w:rPr>
          <w:rFonts w:eastAsiaTheme="minorEastAsia"/>
          <w:lang w:val="en-GB"/>
        </w:rPr>
        <w:t>min</w:t>
      </w:r>
      <w:r w:rsidR="007658C8" w:rsidRPr="00F8702D">
        <w:rPr>
          <w:rFonts w:eastAsiaTheme="minorEastAsia"/>
          <w:vertAlign w:val="superscript"/>
          <w:lang w:val="en-GB"/>
        </w:rPr>
        <w:t>-1</w:t>
      </w:r>
      <w:proofErr w:type="gramEnd"/>
    </w:p>
    <w:p w14:paraId="5C7C4BA6" w14:textId="107B5025" w:rsidR="007E3F29" w:rsidRDefault="00ED7EA7" w:rsidP="006013C6">
      <w:pPr>
        <w:jc w:val="both"/>
        <w:rPr>
          <w:rFonts w:eastAsiaTheme="minorEastAsia"/>
          <w:lang w:val="en-GB"/>
        </w:rPr>
      </w:pPr>
      <w:r>
        <w:rPr>
          <w:rFonts w:eastAsiaTheme="minorEastAsia"/>
          <w:lang w:val="en-GB"/>
        </w:rPr>
        <w:t>Reaction 2 (PFK) follows hill-type kinetics</w:t>
      </w:r>
      <w:r w:rsidR="007E3F29">
        <w:rPr>
          <w:rFonts w:eastAsiaTheme="minorEastAsia"/>
          <w:lang w:val="en-GB"/>
        </w:rPr>
        <w:t xml:space="preserve"> as it was shown that the enzyme PFK1 exhibits cooperative kinetics towards its substrate.</w:t>
      </w:r>
      <w:r>
        <w:rPr>
          <w:rFonts w:eastAsiaTheme="minorEastAsia"/>
          <w:lang w:val="en-GB"/>
        </w:rPr>
        <w:t xml:space="preserve"> </w:t>
      </w:r>
      <w:r w:rsidR="007E3F29">
        <w:rPr>
          <w:rFonts w:eastAsiaTheme="minorEastAsia"/>
          <w:lang w:val="en-GB"/>
        </w:rPr>
        <w:t xml:space="preserve">The enzyme is allosterically inhibited by pep which is modelled by a power-law where n1 is the hill-coefficient and </w:t>
      </w:r>
      <w:r w:rsidR="00C36A82">
        <w:rPr>
          <w:rFonts w:eastAsiaTheme="minorEastAsia"/>
          <w:lang w:val="en-GB"/>
        </w:rPr>
        <w:t>a</w:t>
      </w:r>
      <w:r w:rsidR="007E3F29">
        <w:rPr>
          <w:rFonts w:eastAsiaTheme="minorEastAsia"/>
          <w:lang w:val="en-GB"/>
        </w:rPr>
        <w:t>1 is the power-law exponent.</w:t>
      </w:r>
    </w:p>
    <w:p w14:paraId="41340937" w14:textId="48B18399" w:rsidR="00ED7EA7" w:rsidRPr="00951C78" w:rsidRDefault="00ED7EA7" w:rsidP="006013C6">
      <w:pPr>
        <w:jc w:val="both"/>
        <w:rPr>
          <w:rFonts w:eastAsiaTheme="minorEastAsia"/>
          <w:lang w:val="en-GB"/>
        </w:rPr>
      </w:pPr>
      <m:oMathPara>
        <m:oMathParaPr>
          <m:jc m:val="left"/>
        </m:oMathParaPr>
        <m:oMath>
          <m:r>
            <w:rPr>
              <w:rFonts w:ascii="Cambria Math" w:hAnsi="Cambria Math"/>
              <w:lang w:val="en-GB"/>
            </w:rPr>
            <m:t>r2=PFK=</m:t>
          </m:r>
          <m:f>
            <m:fPr>
              <m:ctrlPr>
                <w:rPr>
                  <w:rFonts w:ascii="Cambria Math" w:hAnsi="Cambria Math"/>
                  <w:i/>
                  <w:lang w:val="en-GB"/>
                </w:rPr>
              </m:ctrlPr>
            </m:fPr>
            <m:num>
              <m:r>
                <w:rPr>
                  <w:rFonts w:ascii="Cambria Math" w:hAnsi="Cambria Math"/>
                  <w:lang w:val="en-GB"/>
                </w:rPr>
                <m:t>Vmax2</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Km1</m:t>
                          </m:r>
                        </m:num>
                        <m:den>
                          <m:r>
                            <w:rPr>
                              <w:rFonts w:ascii="Cambria Math" w:hAnsi="Cambria Math"/>
                              <w:lang w:val="en-GB"/>
                            </w:rPr>
                            <m:t>g6p</m:t>
                          </m:r>
                        </m:den>
                      </m:f>
                    </m:e>
                  </m:d>
                </m:e>
                <m:sup>
                  <m:r>
                    <w:rPr>
                      <w:rFonts w:ascii="Cambria Math" w:hAnsi="Cambria Math"/>
                      <w:lang w:val="en-GB"/>
                    </w:rPr>
                    <m:t>n1</m:t>
                  </m:r>
                </m:sup>
              </m:sSup>
            </m:den>
          </m:f>
          <m:r>
            <w:rPr>
              <w:rFonts w:ascii="Cambria Math" w:hAnsi="Cambria Math"/>
              <w:lang w:val="en-GB"/>
            </w:rPr>
            <m:t xml:space="preserve"> ∙pe</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-a1</m:t>
              </m:r>
            </m:sup>
          </m:sSup>
          <m:r>
            <w:rPr>
              <w:rFonts w:ascii="Cambria Math" w:hAnsi="Cambria Math"/>
              <w:lang w:val="en-GB"/>
            </w:rPr>
            <m:t xml:space="preserve"> </m:t>
          </m:r>
        </m:oMath>
      </m:oMathPara>
    </w:p>
    <w:p w14:paraId="7ECBE8FF" w14:textId="0C66E5D9" w:rsidR="004209C1" w:rsidRDefault="00FC0CEC" w:rsidP="006013C6">
      <w:pPr>
        <w:jc w:val="both"/>
        <w:rPr>
          <w:rFonts w:eastAsiaTheme="minorEastAsia"/>
          <w:lang w:val="en-GB"/>
        </w:rPr>
      </w:pPr>
      <w:r>
        <w:rPr>
          <w:rFonts w:eastAsiaTheme="minorEastAsia"/>
          <w:lang w:val="en-GB"/>
        </w:rPr>
        <w:t>Reaction 3 (FBP) is modelled by a Michaelis-Menten type kinetic</w:t>
      </w:r>
      <w:r w:rsidR="00AE57E0">
        <w:rPr>
          <w:rFonts w:eastAsiaTheme="minorEastAsia"/>
          <w:lang w:val="en-GB"/>
        </w:rPr>
        <w:t>.</w:t>
      </w:r>
      <w:r w:rsidR="004209C1">
        <w:rPr>
          <w:rFonts w:eastAsiaTheme="minorEastAsia"/>
          <w:lang w:val="en-GB"/>
        </w:rPr>
        <w:t xml:space="preserve"> The physiologically relevant activation of FBP by pep is modelled by a power-law:</w:t>
      </w:r>
    </w:p>
    <w:p w14:paraId="72E17FBF" w14:textId="796210CC" w:rsidR="00FC0CEC" w:rsidRPr="00951C78" w:rsidRDefault="00FC0CEC" w:rsidP="006013C6">
      <w:pPr>
        <w:jc w:val="both"/>
        <w:rPr>
          <w:rFonts w:eastAsiaTheme="minorEastAsia"/>
          <w:lang w:val="en-GB"/>
        </w:rPr>
      </w:pPr>
      <m:oMathPara>
        <m:oMathParaPr>
          <m:jc m:val="left"/>
        </m:oMathParaPr>
        <m:oMath>
          <m:r>
            <w:rPr>
              <w:rFonts w:ascii="Cambria Math" w:hAnsi="Cambria Math"/>
              <w:lang w:val="en-GB"/>
            </w:rPr>
            <m:t>r3=FBA=Vmax3 ∙</m:t>
          </m:r>
          <m:f>
            <m:fPr>
              <m:ctrlPr>
                <w:rPr>
                  <w:rFonts w:ascii="Cambria Math" w:hAnsi="Cambria Math"/>
                  <w:i/>
                  <w:lang w:val="en-GB"/>
                </w:rPr>
              </m:ctrlPr>
            </m:fPr>
            <m:num>
              <m:r>
                <w:rPr>
                  <w:rFonts w:ascii="Cambria Math" w:hAnsi="Cambria Math"/>
                  <w:lang w:val="en-GB"/>
                </w:rPr>
                <m:t>fbp</m:t>
              </m:r>
            </m:num>
            <m:den>
              <m:r>
                <w:rPr>
                  <w:rFonts w:ascii="Cambria Math" w:hAnsi="Cambria Math"/>
                  <w:lang w:val="en-GB"/>
                </w:rPr>
                <m:t>fbp+Km2</m:t>
              </m:r>
            </m:den>
          </m:f>
          <m:r>
            <w:rPr>
              <w:rFonts w:ascii="Cambria Math" w:hAnsi="Cambria Math"/>
              <w:lang w:val="en-GB"/>
            </w:rPr>
            <m:t xml:space="preserve"> ∙pe</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a2</m:t>
              </m:r>
            </m:sup>
          </m:sSup>
          <m:r>
            <w:rPr>
              <w:rFonts w:ascii="Cambria Math" w:hAnsi="Cambria Math"/>
              <w:lang w:val="en-GB"/>
            </w:rPr>
            <m:t xml:space="preserve"> </m:t>
          </m:r>
        </m:oMath>
      </m:oMathPara>
    </w:p>
    <w:p w14:paraId="422B6BC1" w14:textId="3EF1CA74" w:rsidR="00AE57E0" w:rsidRDefault="00F8702D" w:rsidP="006013C6">
      <w:pPr>
        <w:jc w:val="both"/>
        <w:rPr>
          <w:rFonts w:eastAsiaTheme="minorEastAsia"/>
          <w:lang w:val="en-GB"/>
        </w:rPr>
      </w:pPr>
      <w:r>
        <w:rPr>
          <w:rFonts w:eastAsiaTheme="minorEastAsia"/>
          <w:lang w:val="en-GB"/>
        </w:rPr>
        <w:t>The flux ratio between PFK and FBP is randomly sampled between 0.01 and 1</w:t>
      </w:r>
      <w:r w:rsidR="00D856C5">
        <w:rPr>
          <w:rFonts w:eastAsiaTheme="minorEastAsia"/>
          <w:lang w:val="en-GB"/>
        </w:rPr>
        <w:t xml:space="preserve"> and</w:t>
      </w:r>
      <w:r>
        <w:rPr>
          <w:rFonts w:eastAsiaTheme="minorEastAsia"/>
          <w:lang w:val="en-GB"/>
        </w:rPr>
        <w:t xml:space="preserve"> constraint to a net flux </w:t>
      </w:r>
      <w:r w:rsidR="00EE74E4">
        <w:rPr>
          <w:rFonts w:eastAsiaTheme="minorEastAsia"/>
          <w:lang w:val="en-GB"/>
        </w:rPr>
        <w:t>of</w:t>
      </w:r>
      <w:r>
        <w:rPr>
          <w:rFonts w:eastAsiaTheme="minorEastAsia"/>
          <w:lang w:val="en-GB"/>
        </w:rPr>
        <w:t xml:space="preserve"> 66.66 mmol </w:t>
      </w:r>
      <w:proofErr w:type="gramStart"/>
      <w:r>
        <w:rPr>
          <w:rFonts w:eastAsiaTheme="minorEastAsia"/>
          <w:lang w:val="en-GB"/>
        </w:rPr>
        <w:t>min</w:t>
      </w:r>
      <w:r w:rsidRPr="00F8702D">
        <w:rPr>
          <w:rFonts w:eastAsiaTheme="minorEastAsia"/>
          <w:vertAlign w:val="superscript"/>
          <w:lang w:val="en-GB"/>
        </w:rPr>
        <w:t>-1</w:t>
      </w:r>
      <w:proofErr w:type="gramEnd"/>
      <w:r>
        <w:rPr>
          <w:rFonts w:eastAsiaTheme="minorEastAsia"/>
          <w:lang w:val="en-GB"/>
        </w:rPr>
        <w:t>.</w:t>
      </w:r>
      <w:r w:rsidR="00463A9D">
        <w:rPr>
          <w:rFonts w:eastAsiaTheme="minorEastAsia"/>
          <w:lang w:val="en-GB"/>
        </w:rPr>
        <w:t xml:space="preserve"> </w:t>
      </w:r>
      <w:r w:rsidR="00AE57E0">
        <w:rPr>
          <w:rFonts w:eastAsiaTheme="minorEastAsia"/>
          <w:lang w:val="en-GB"/>
        </w:rPr>
        <w:t>Reaction 4 (</w:t>
      </w:r>
      <w:r w:rsidR="00365E36">
        <w:rPr>
          <w:rFonts w:eastAsiaTheme="minorEastAsia"/>
          <w:lang w:val="en-GB"/>
        </w:rPr>
        <w:t>FBA</w:t>
      </w:r>
      <w:r w:rsidR="00AE57E0">
        <w:rPr>
          <w:rFonts w:eastAsiaTheme="minorEastAsia"/>
          <w:lang w:val="en-GB"/>
        </w:rPr>
        <w:t>) is modelled by a Michaelis Menten type kinetic</w:t>
      </w:r>
      <w:r w:rsidR="004209C1">
        <w:rPr>
          <w:rFonts w:eastAsiaTheme="minorEastAsia"/>
          <w:lang w:val="en-GB"/>
        </w:rPr>
        <w:t>. Here</w:t>
      </w:r>
      <w:r w:rsidR="00D856C5">
        <w:rPr>
          <w:rFonts w:eastAsiaTheme="minorEastAsia"/>
          <w:lang w:val="en-GB"/>
        </w:rPr>
        <w:t xml:space="preserve">, </w:t>
      </w:r>
      <w:r w:rsidR="004209C1">
        <w:rPr>
          <w:rFonts w:eastAsiaTheme="minorEastAsia"/>
          <w:lang w:val="en-GB"/>
        </w:rPr>
        <w:t>glycolysis</w:t>
      </w:r>
      <w:r w:rsidR="00D856C5">
        <w:rPr>
          <w:rFonts w:eastAsiaTheme="minorEastAsia"/>
          <w:lang w:val="en-GB"/>
        </w:rPr>
        <w:t xml:space="preserve"> is simplified</w:t>
      </w:r>
      <w:r w:rsidR="004209C1">
        <w:rPr>
          <w:rFonts w:eastAsiaTheme="minorEastAsia"/>
          <w:lang w:val="en-GB"/>
        </w:rPr>
        <w:t xml:space="preserve"> by </w:t>
      </w:r>
      <w:r w:rsidR="00393B24">
        <w:rPr>
          <w:rFonts w:eastAsiaTheme="minorEastAsia"/>
          <w:lang w:val="en-GB"/>
        </w:rPr>
        <w:t>condensing four reactions into one</w:t>
      </w:r>
      <w:r w:rsidR="00EE74E4">
        <w:rPr>
          <w:rFonts w:eastAsiaTheme="minorEastAsia"/>
          <w:lang w:val="en-GB"/>
        </w:rPr>
        <w:t xml:space="preserve"> reaction</w:t>
      </w:r>
      <w:r w:rsidR="00393B24">
        <w:rPr>
          <w:rFonts w:eastAsiaTheme="minorEastAsia"/>
          <w:lang w:val="en-GB"/>
        </w:rPr>
        <w:t xml:space="preserve"> (FBA-ENO):</w:t>
      </w:r>
    </w:p>
    <w:p w14:paraId="46FB6328" w14:textId="4934F748" w:rsidR="00AE57E0" w:rsidRPr="00951C78" w:rsidRDefault="00AE57E0" w:rsidP="00951C78">
      <w:pPr>
        <w:tabs>
          <w:tab w:val="left" w:pos="2005"/>
        </w:tabs>
        <w:jc w:val="center"/>
        <w:rPr>
          <w:rFonts w:eastAsiaTheme="minorEastAsia"/>
          <w:lang w:val="en-GB"/>
        </w:rPr>
      </w:pPr>
      <m:oMathPara>
        <m:oMathParaPr>
          <m:jc m:val="left"/>
        </m:oMathParaPr>
        <m:oMath>
          <m:r>
            <w:rPr>
              <w:rFonts w:ascii="Cambria Math" w:hAnsi="Cambria Math"/>
              <w:lang w:val="en-GB"/>
            </w:rPr>
            <m:t>r4=FBA=Vmax4 ∙</m:t>
          </m:r>
          <m:f>
            <m:fPr>
              <m:ctrlPr>
                <w:rPr>
                  <w:rFonts w:ascii="Cambria Math" w:hAnsi="Cambria Math"/>
                  <w:i/>
                  <w:lang w:val="en-GB"/>
                </w:rPr>
              </m:ctrlPr>
            </m:fPr>
            <m:num>
              <m:r>
                <w:rPr>
                  <w:rFonts w:ascii="Cambria Math" w:hAnsi="Cambria Math"/>
                  <w:lang w:val="en-GB"/>
                </w:rPr>
                <m:t>fbp</m:t>
              </m:r>
            </m:num>
            <m:den>
              <m:r>
                <w:rPr>
                  <w:rFonts w:ascii="Cambria Math" w:hAnsi="Cambria Math"/>
                  <w:lang w:val="en-GB"/>
                </w:rPr>
                <m:t>fbp +Km3</m:t>
              </m:r>
            </m:den>
          </m:f>
        </m:oMath>
      </m:oMathPara>
    </w:p>
    <w:p w14:paraId="4874D734" w14:textId="40697CF3" w:rsidR="00365E36" w:rsidRDefault="00365E36" w:rsidP="00AE57E0">
      <w:pPr>
        <w:tabs>
          <w:tab w:val="left" w:pos="2005"/>
        </w:tabs>
        <w:jc w:val="both"/>
        <w:rPr>
          <w:rFonts w:eastAsiaTheme="minorEastAsia"/>
          <w:lang w:val="en-GB"/>
        </w:rPr>
      </w:pPr>
      <w:r>
        <w:rPr>
          <w:rFonts w:eastAsiaTheme="minorEastAsia"/>
          <w:lang w:val="en-GB"/>
        </w:rPr>
        <w:t>Reaction 5 (PYK) follows hill</w:t>
      </w:r>
      <w:r w:rsidR="00E85E7E">
        <w:rPr>
          <w:rFonts w:eastAsiaTheme="minorEastAsia"/>
          <w:lang w:val="en-GB"/>
        </w:rPr>
        <w:t>-</w:t>
      </w:r>
      <w:r>
        <w:rPr>
          <w:rFonts w:eastAsiaTheme="minorEastAsia"/>
          <w:lang w:val="en-GB"/>
        </w:rPr>
        <w:t xml:space="preserve">type kinetics. The allosteric feed forward activation by </w:t>
      </w:r>
      <w:proofErr w:type="spellStart"/>
      <w:r>
        <w:rPr>
          <w:rFonts w:eastAsiaTheme="minorEastAsia"/>
          <w:lang w:val="en-GB"/>
        </w:rPr>
        <w:t>fbp</w:t>
      </w:r>
      <w:proofErr w:type="spellEnd"/>
      <w:r>
        <w:rPr>
          <w:rFonts w:eastAsiaTheme="minorEastAsia"/>
          <w:lang w:val="en-GB"/>
        </w:rPr>
        <w:t xml:space="preserve"> is modelled by a power-law:</w:t>
      </w:r>
    </w:p>
    <w:p w14:paraId="16C58F38" w14:textId="405BECFE" w:rsidR="00365E36" w:rsidRPr="00951C78" w:rsidRDefault="00365E36" w:rsidP="00365E36">
      <w:pPr>
        <w:jc w:val="both"/>
        <w:rPr>
          <w:rFonts w:eastAsiaTheme="minorEastAsia"/>
          <w:lang w:val="en-GB"/>
        </w:rPr>
      </w:pPr>
      <m:oMathPara>
        <m:oMathParaPr>
          <m:jc m:val="left"/>
        </m:oMathParaPr>
        <m:oMath>
          <m:r>
            <w:rPr>
              <w:rFonts w:ascii="Cambria Math" w:hAnsi="Cambria Math"/>
              <w:lang w:val="en-GB"/>
            </w:rPr>
            <m:t>r5=PYK=</m:t>
          </m:r>
          <m:f>
            <m:fPr>
              <m:ctrlPr>
                <w:rPr>
                  <w:rFonts w:ascii="Cambria Math" w:hAnsi="Cambria Math"/>
                  <w:i/>
                  <w:lang w:val="en-GB"/>
                </w:rPr>
              </m:ctrlPr>
            </m:fPr>
            <m:num>
              <m:r>
                <w:rPr>
                  <w:rFonts w:ascii="Cambria Math" w:hAnsi="Cambria Math"/>
                  <w:lang w:val="en-GB"/>
                </w:rPr>
                <m:t>Vmax5</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Km4</m:t>
                          </m:r>
                        </m:num>
                        <m:den>
                          <m:r>
                            <w:rPr>
                              <w:rFonts w:ascii="Cambria Math" w:hAnsi="Cambria Math"/>
                              <w:lang w:val="en-GB"/>
                            </w:rPr>
                            <m:t>pep</m:t>
                          </m:r>
                        </m:den>
                      </m:f>
                    </m:e>
                  </m:d>
                </m:e>
                <m:sup>
                  <m:r>
                    <w:rPr>
                      <w:rFonts w:ascii="Cambria Math" w:hAnsi="Cambria Math"/>
                      <w:lang w:val="en-GB"/>
                    </w:rPr>
                    <m:t>n2</m:t>
                  </m:r>
                </m:sup>
              </m:sSup>
            </m:den>
          </m:f>
          <m:r>
            <w:rPr>
              <w:rFonts w:ascii="Cambria Math" w:hAnsi="Cambria Math"/>
              <w:lang w:val="en-GB"/>
            </w:rPr>
            <m:t xml:space="preserve"> ∙fb</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a3</m:t>
              </m:r>
            </m:sup>
          </m:sSup>
          <m:r>
            <w:rPr>
              <w:rFonts w:ascii="Cambria Math" w:hAnsi="Cambria Math"/>
              <w:lang w:val="en-GB"/>
            </w:rPr>
            <m:t xml:space="preserve"> </m:t>
          </m:r>
        </m:oMath>
      </m:oMathPara>
    </w:p>
    <w:p w14:paraId="219F9362" w14:textId="29EB3DC3" w:rsidR="00E85E7E" w:rsidRDefault="00E85E7E" w:rsidP="00365E36">
      <w:pPr>
        <w:jc w:val="both"/>
        <w:rPr>
          <w:rFonts w:eastAsiaTheme="minorEastAsia"/>
          <w:lang w:val="en-GB"/>
        </w:rPr>
      </w:pPr>
      <w:r>
        <w:rPr>
          <w:rFonts w:eastAsiaTheme="minorEastAsia"/>
          <w:lang w:val="en-GB"/>
        </w:rPr>
        <w:t>Reaction 6 (PDH) follows hill-type kinetics:</w:t>
      </w:r>
    </w:p>
    <w:p w14:paraId="453F10E0" w14:textId="3D8944B4" w:rsidR="00E85E7E" w:rsidRPr="00951C78" w:rsidRDefault="00E85E7E" w:rsidP="00E85E7E">
      <w:pPr>
        <w:jc w:val="both"/>
        <w:rPr>
          <w:rFonts w:eastAsiaTheme="minorEastAsia"/>
          <w:lang w:val="en-GB"/>
        </w:rPr>
      </w:pPr>
      <m:oMathPara>
        <m:oMathParaPr>
          <m:jc m:val="left"/>
        </m:oMathParaPr>
        <m:oMath>
          <m:r>
            <w:rPr>
              <w:rFonts w:ascii="Cambria Math" w:hAnsi="Cambria Math"/>
              <w:lang w:val="en-GB"/>
            </w:rPr>
            <m:t>r6=PDH=</m:t>
          </m:r>
          <m:f>
            <m:fPr>
              <m:ctrlPr>
                <w:rPr>
                  <w:rFonts w:ascii="Cambria Math" w:hAnsi="Cambria Math"/>
                  <w:i/>
                  <w:lang w:val="en-GB"/>
                </w:rPr>
              </m:ctrlPr>
            </m:fPr>
            <m:num>
              <m:r>
                <w:rPr>
                  <w:rFonts w:ascii="Cambria Math" w:hAnsi="Cambria Math"/>
                  <w:lang w:val="en-GB"/>
                </w:rPr>
                <m:t>Vmax6</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Km5</m:t>
                          </m:r>
                        </m:num>
                        <m:den>
                          <m:r>
                            <w:rPr>
                              <w:rFonts w:ascii="Cambria Math" w:hAnsi="Cambria Math"/>
                              <w:lang w:val="en-GB"/>
                            </w:rPr>
                            <m:t>pyr</m:t>
                          </m:r>
                        </m:den>
                      </m:f>
                    </m:e>
                  </m:d>
                </m:e>
                <m:sup>
                  <m:r>
                    <w:rPr>
                      <w:rFonts w:ascii="Cambria Math" w:hAnsi="Cambria Math"/>
                      <w:lang w:val="en-GB"/>
                    </w:rPr>
                    <m:t>n3</m:t>
                  </m:r>
                </m:sup>
              </m:sSup>
            </m:den>
          </m:f>
          <m:r>
            <w:rPr>
              <w:rFonts w:ascii="Cambria Math" w:hAnsi="Cambria Math"/>
              <w:lang w:val="en-GB"/>
            </w:rPr>
            <m:t xml:space="preserve">  </m:t>
          </m:r>
        </m:oMath>
      </m:oMathPara>
    </w:p>
    <w:p w14:paraId="3AA03C64" w14:textId="254F35EA" w:rsidR="00365E36" w:rsidRDefault="00365E36" w:rsidP="00AE57E0">
      <w:pPr>
        <w:tabs>
          <w:tab w:val="left" w:pos="2005"/>
        </w:tabs>
        <w:jc w:val="both"/>
        <w:rPr>
          <w:lang w:val="en-GB"/>
        </w:rPr>
      </w:pPr>
    </w:p>
    <w:p w14:paraId="6AD423FA" w14:textId="1556B787" w:rsidR="00463A9D" w:rsidRDefault="00463A9D" w:rsidP="00AE57E0">
      <w:pPr>
        <w:tabs>
          <w:tab w:val="left" w:pos="2005"/>
        </w:tabs>
        <w:jc w:val="both"/>
        <w:rPr>
          <w:lang w:val="en-GB"/>
        </w:rPr>
      </w:pPr>
      <w:r>
        <w:rPr>
          <w:lang w:val="en-GB"/>
        </w:rPr>
        <w:t xml:space="preserve">The 21 parameters were randomly sampled 2000 times from a log-uniform distribution. </w:t>
      </w:r>
      <w:r w:rsidR="001F3887">
        <w:rPr>
          <w:lang w:val="en-GB"/>
        </w:rPr>
        <w:t xml:space="preserve">All state variables were set to 1. </w:t>
      </w:r>
      <w:r>
        <w:rPr>
          <w:lang w:val="en-GB"/>
        </w:rPr>
        <w:t xml:space="preserve">The system was set to a steady state by first setting the total reaction flux of all net reactions to the glucose uptake rate. Then, </w:t>
      </w:r>
      <w:r w:rsidR="00271B56">
        <w:rPr>
          <w:lang w:val="en-GB"/>
        </w:rPr>
        <w:t>p</w:t>
      </w:r>
      <w:r>
        <w:rPr>
          <w:lang w:val="en-GB"/>
        </w:rPr>
        <w:t>arameter values of binding constants (</w:t>
      </w:r>
      <w:r w:rsidR="00271B56">
        <w:rPr>
          <w:lang w:val="en-GB"/>
        </w:rPr>
        <w:t>k1-k3, Km1-Km5</w:t>
      </w:r>
      <w:r>
        <w:rPr>
          <w:lang w:val="en-GB"/>
        </w:rPr>
        <w:t>), hill coefficients (n1-n3)</w:t>
      </w:r>
      <w:r w:rsidR="00271B56">
        <w:rPr>
          <w:lang w:val="en-GB"/>
        </w:rPr>
        <w:t xml:space="preserve"> and power-law </w:t>
      </w:r>
      <w:r w:rsidR="001F3887">
        <w:rPr>
          <w:lang w:val="en-GB"/>
        </w:rPr>
        <w:t>exponen</w:t>
      </w:r>
      <w:r w:rsidR="00C36A82">
        <w:rPr>
          <w:lang w:val="en-GB"/>
        </w:rPr>
        <w:t>t</w:t>
      </w:r>
      <w:r w:rsidR="001F3887">
        <w:rPr>
          <w:lang w:val="en-GB"/>
        </w:rPr>
        <w:t>s</w:t>
      </w:r>
      <w:r w:rsidR="00271B56">
        <w:rPr>
          <w:lang w:val="en-GB"/>
        </w:rPr>
        <w:t xml:space="preserve"> (exponents a1-a3) were inserted</w:t>
      </w:r>
      <w:r w:rsidR="001F3887">
        <w:rPr>
          <w:lang w:val="en-GB"/>
        </w:rPr>
        <w:t>. T</w:t>
      </w:r>
      <w:r w:rsidR="00271B56">
        <w:rPr>
          <w:lang w:val="en-GB"/>
        </w:rPr>
        <w:t>hen the maximum velocities were calculated (Vmax1-Vmax6).</w:t>
      </w:r>
      <w:r w:rsidR="00C36A82">
        <w:rPr>
          <w:lang w:val="en-GB"/>
        </w:rPr>
        <w:t xml:space="preserve"> </w:t>
      </w:r>
      <w:r w:rsidR="00271B56">
        <w:rPr>
          <w:lang w:val="en-GB"/>
        </w:rPr>
        <w:t xml:space="preserve">Binding constants were sampled between 0.1 and 10, </w:t>
      </w:r>
      <w:r w:rsidR="001F3887">
        <w:rPr>
          <w:lang w:val="en-GB"/>
        </w:rPr>
        <w:t>hill-coefficients were sampled between 1 and 4, where a coefficient of 1 resembles a Michaelis-Menten type kinetic</w:t>
      </w:r>
      <w:r w:rsidR="00C36A82">
        <w:rPr>
          <w:lang w:val="en-GB"/>
        </w:rPr>
        <w:t>,</w:t>
      </w:r>
      <w:r w:rsidR="001F3887">
        <w:rPr>
          <w:lang w:val="en-GB"/>
        </w:rPr>
        <w:t xml:space="preserve"> and power-law exponents for allosteric regulations were sampled between 1 and 4 for feed-forward activations and -1 and -4 for feedback inhibitions.</w:t>
      </w:r>
    </w:p>
    <w:p w14:paraId="27629316" w14:textId="162FF563" w:rsidR="00C36A82" w:rsidRDefault="00C36A82" w:rsidP="00AE57E0">
      <w:pPr>
        <w:tabs>
          <w:tab w:val="left" w:pos="2005"/>
        </w:tabs>
        <w:jc w:val="both"/>
        <w:rPr>
          <w:b/>
          <w:bCs/>
          <w:lang w:val="en-GB"/>
        </w:rPr>
      </w:pPr>
      <w:r w:rsidRPr="00C36A82">
        <w:rPr>
          <w:b/>
          <w:bCs/>
          <w:lang w:val="en-GB"/>
        </w:rPr>
        <w:t xml:space="preserve">Model perturbation and finding strong oscillations using </w:t>
      </w:r>
      <w:proofErr w:type="spellStart"/>
      <w:r w:rsidRPr="00C36A82">
        <w:rPr>
          <w:b/>
          <w:bCs/>
          <w:lang w:val="en-GB"/>
        </w:rPr>
        <w:t>fourier</w:t>
      </w:r>
      <w:proofErr w:type="spellEnd"/>
      <w:r w:rsidRPr="00C36A82">
        <w:rPr>
          <w:b/>
          <w:bCs/>
          <w:lang w:val="en-GB"/>
        </w:rPr>
        <w:t xml:space="preserve"> transformation</w:t>
      </w:r>
    </w:p>
    <w:p w14:paraId="274BFFFA" w14:textId="67569F42" w:rsidR="00495E10" w:rsidRPr="00C36A82" w:rsidRDefault="00C9183C" w:rsidP="00AE57E0">
      <w:pPr>
        <w:tabs>
          <w:tab w:val="left" w:pos="2005"/>
        </w:tabs>
        <w:jc w:val="both"/>
        <w:rPr>
          <w:lang w:val="en-GB"/>
        </w:rPr>
      </w:pPr>
      <w:r>
        <w:rPr>
          <w:lang w:val="en-GB"/>
        </w:rPr>
        <w:t xml:space="preserve">The perturbation of the glucose uptake was simulated by changing the uptake rate by 5% at 50 minutes simulation time. </w:t>
      </w:r>
      <w:r w:rsidR="00791490">
        <w:rPr>
          <w:lang w:val="en-GB"/>
        </w:rPr>
        <w:t xml:space="preserve">The resulting time-course data were then processed to identify parameter sets which </w:t>
      </w:r>
      <w:r w:rsidR="00DC0E60">
        <w:rPr>
          <w:lang w:val="en-GB"/>
        </w:rPr>
        <w:t>led</w:t>
      </w:r>
      <w:r w:rsidR="00791490">
        <w:rPr>
          <w:lang w:val="en-GB"/>
        </w:rPr>
        <w:t xml:space="preserve"> to oscillations. </w:t>
      </w:r>
      <w:r w:rsidR="00495E10">
        <w:rPr>
          <w:lang w:val="en-GB"/>
        </w:rPr>
        <w:t xml:space="preserve">First, a polynomial first order fit was performed to remove trends and align the time courses. </w:t>
      </w:r>
      <w:r w:rsidR="00FB4804">
        <w:rPr>
          <w:lang w:val="en-GB"/>
        </w:rPr>
        <w:t>Second</w:t>
      </w:r>
      <w:r w:rsidR="00495E10">
        <w:rPr>
          <w:lang w:val="en-GB"/>
        </w:rPr>
        <w:t>, the data were Fourier transformed from time domain to frequency domain</w:t>
      </w:r>
      <w:r w:rsidR="00FB4804">
        <w:rPr>
          <w:lang w:val="en-GB"/>
        </w:rPr>
        <w:t>. Signals with amplitudes above 0.0</w:t>
      </w:r>
      <w:r w:rsidR="00DC0E60">
        <w:rPr>
          <w:lang w:val="en-GB"/>
        </w:rPr>
        <w:t>05</w:t>
      </w:r>
      <w:r w:rsidR="00FB4804">
        <w:rPr>
          <w:lang w:val="en-GB"/>
        </w:rPr>
        <w:t xml:space="preserve"> and the corresponding parameter sets were then </w:t>
      </w:r>
      <w:r w:rsidR="00951C78">
        <w:rPr>
          <w:lang w:val="en-GB"/>
        </w:rPr>
        <w:t>selected</w:t>
      </w:r>
      <w:r w:rsidR="00FB4804">
        <w:rPr>
          <w:lang w:val="en-GB"/>
        </w:rPr>
        <w:t>.</w:t>
      </w:r>
    </w:p>
    <w:sectPr w:rsidR="00495E10" w:rsidRPr="00C36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05"/>
    <w:rsid w:val="00024EB0"/>
    <w:rsid w:val="00096FA0"/>
    <w:rsid w:val="000C5905"/>
    <w:rsid w:val="000E6573"/>
    <w:rsid w:val="00135A4A"/>
    <w:rsid w:val="00145A1A"/>
    <w:rsid w:val="00154B82"/>
    <w:rsid w:val="00174AF2"/>
    <w:rsid w:val="001F3887"/>
    <w:rsid w:val="0020456B"/>
    <w:rsid w:val="002439DE"/>
    <w:rsid w:val="00271B56"/>
    <w:rsid w:val="00357B4A"/>
    <w:rsid w:val="00365E36"/>
    <w:rsid w:val="00393B24"/>
    <w:rsid w:val="003D3335"/>
    <w:rsid w:val="004209C1"/>
    <w:rsid w:val="00463A9D"/>
    <w:rsid w:val="00495E10"/>
    <w:rsid w:val="005D360A"/>
    <w:rsid w:val="006013C6"/>
    <w:rsid w:val="006C0D4C"/>
    <w:rsid w:val="006D01F0"/>
    <w:rsid w:val="00721501"/>
    <w:rsid w:val="00755ED2"/>
    <w:rsid w:val="007658C8"/>
    <w:rsid w:val="0078508C"/>
    <w:rsid w:val="00791490"/>
    <w:rsid w:val="007E3F29"/>
    <w:rsid w:val="00951C78"/>
    <w:rsid w:val="00983761"/>
    <w:rsid w:val="009E1708"/>
    <w:rsid w:val="009E5014"/>
    <w:rsid w:val="00A31C86"/>
    <w:rsid w:val="00A35CC4"/>
    <w:rsid w:val="00A718EC"/>
    <w:rsid w:val="00AC5FE0"/>
    <w:rsid w:val="00AE57E0"/>
    <w:rsid w:val="00B17827"/>
    <w:rsid w:val="00B42938"/>
    <w:rsid w:val="00B74050"/>
    <w:rsid w:val="00BA463F"/>
    <w:rsid w:val="00BC699F"/>
    <w:rsid w:val="00C36A82"/>
    <w:rsid w:val="00C625D7"/>
    <w:rsid w:val="00C9183C"/>
    <w:rsid w:val="00CB21CF"/>
    <w:rsid w:val="00CB66A1"/>
    <w:rsid w:val="00CC466C"/>
    <w:rsid w:val="00CD51B6"/>
    <w:rsid w:val="00D32E58"/>
    <w:rsid w:val="00D856C5"/>
    <w:rsid w:val="00DA27DF"/>
    <w:rsid w:val="00DC0E60"/>
    <w:rsid w:val="00E230C2"/>
    <w:rsid w:val="00E85E7E"/>
    <w:rsid w:val="00ED7EA7"/>
    <w:rsid w:val="00EE74E4"/>
    <w:rsid w:val="00F8702D"/>
    <w:rsid w:val="00FB4804"/>
    <w:rsid w:val="00FC0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6FA5"/>
  <w15:chartTrackingRefBased/>
  <w15:docId w15:val="{D12C2E21-A12B-4373-9DE3-8E2259C4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463F"/>
    <w:rPr>
      <w:color w:val="808080"/>
    </w:rPr>
  </w:style>
  <w:style w:type="paragraph" w:styleId="Caption">
    <w:name w:val="caption"/>
    <w:basedOn w:val="Normal"/>
    <w:next w:val="Normal"/>
    <w:uiPriority w:val="35"/>
    <w:unhideWhenUsed/>
    <w:qFormat/>
    <w:rsid w:val="00D32E58"/>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5D360A"/>
    <w:pPr>
      <w:spacing w:line="240" w:lineRule="auto"/>
    </w:pPr>
    <w:rPr>
      <w:rFonts w:eastAsiaTheme="minorEastAsia"/>
      <w:sz w:val="20"/>
      <w:szCs w:val="20"/>
      <w:lang w:val="en-US" w:eastAsia="zh-CN"/>
    </w:rPr>
  </w:style>
  <w:style w:type="character" w:customStyle="1" w:styleId="CommentTextChar">
    <w:name w:val="Comment Text Char"/>
    <w:basedOn w:val="DefaultParagraphFont"/>
    <w:link w:val="CommentText"/>
    <w:uiPriority w:val="99"/>
    <w:semiHidden/>
    <w:rsid w:val="005D360A"/>
    <w:rPr>
      <w:rFonts w:eastAsiaTheme="minorEastAsia"/>
      <w:sz w:val="20"/>
      <w:szCs w:val="20"/>
      <w:lang w:val="en-US" w:eastAsia="zh-CN"/>
    </w:rPr>
  </w:style>
  <w:style w:type="character" w:styleId="CommentReference">
    <w:name w:val="annotation reference"/>
    <w:basedOn w:val="DefaultParagraphFont"/>
    <w:uiPriority w:val="99"/>
    <w:semiHidden/>
    <w:unhideWhenUsed/>
    <w:rsid w:val="005D36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Farke</dc:creator>
  <cp:keywords/>
  <dc:description/>
  <cp:lastModifiedBy>Niklas Farke</cp:lastModifiedBy>
  <cp:revision>15</cp:revision>
  <dcterms:created xsi:type="dcterms:W3CDTF">2022-04-25T13:09:00Z</dcterms:created>
  <dcterms:modified xsi:type="dcterms:W3CDTF">2022-06-10T08:30:00Z</dcterms:modified>
</cp:coreProperties>
</file>