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6C" w:rsidRPr="00180D43" w:rsidRDefault="001A116C" w:rsidP="001A116C">
      <w:pPr>
        <w:pStyle w:val="Beschriftung"/>
        <w:ind w:left="0"/>
        <w:rPr>
          <w:rFonts w:eastAsia="Calibri" w:cstheme="minorHAnsi"/>
        </w:rPr>
      </w:pPr>
      <w:bookmarkStart w:id="0" w:name="_Toc88764550"/>
      <w:r w:rsidRPr="00180D43">
        <w:t xml:space="preserve">Table </w:t>
      </w:r>
      <w:r w:rsidRPr="00180D43">
        <w:fldChar w:fldCharType="begin"/>
      </w:r>
      <w:r w:rsidRPr="00180D43">
        <w:instrText xml:space="preserve"> SEQ Table \* ARABIC </w:instrText>
      </w:r>
      <w:r w:rsidRPr="00180D43">
        <w:fldChar w:fldCharType="separate"/>
      </w:r>
      <w:r>
        <w:rPr>
          <w:noProof/>
        </w:rPr>
        <w:t>3</w:t>
      </w:r>
      <w:r w:rsidRPr="00180D43">
        <w:fldChar w:fldCharType="end"/>
      </w:r>
      <w:r w:rsidRPr="00180D43">
        <w:t xml:space="preserve">. </w:t>
      </w:r>
      <w:r w:rsidRPr="00180D43">
        <w:rPr>
          <w:rFonts w:eastAsia="Calibri" w:cstheme="minorHAnsi"/>
        </w:rPr>
        <w:t>Identified global syntactic standards</w:t>
      </w:r>
      <w:bookmarkEnd w:id="0"/>
    </w:p>
    <w:tbl>
      <w:tblPr>
        <w:tblStyle w:val="Tabellenraster"/>
        <w:tblW w:w="15730" w:type="dxa"/>
        <w:tblLayout w:type="fixed"/>
        <w:tblLook w:val="04A0" w:firstRow="1" w:lastRow="0" w:firstColumn="1" w:lastColumn="0" w:noHBand="0" w:noVBand="1"/>
      </w:tblPr>
      <w:tblGrid>
        <w:gridCol w:w="1129"/>
        <w:gridCol w:w="1701"/>
        <w:gridCol w:w="1843"/>
        <w:gridCol w:w="1276"/>
        <w:gridCol w:w="1134"/>
        <w:gridCol w:w="992"/>
        <w:gridCol w:w="1276"/>
        <w:gridCol w:w="1276"/>
        <w:gridCol w:w="4501"/>
        <w:gridCol w:w="602"/>
      </w:tblGrid>
      <w:tr w:rsidR="001A116C" w:rsidRPr="007C3AC1" w:rsidTr="00CA11E6">
        <w:trPr>
          <w:trHeight w:val="580"/>
          <w:tblHeader/>
        </w:trPr>
        <w:tc>
          <w:tcPr>
            <w:tcW w:w="1129" w:type="dxa"/>
            <w:vAlign w:val="center"/>
            <w:hideMark/>
          </w:tcPr>
          <w:p w:rsidR="001A116C" w:rsidRPr="007C3AC1" w:rsidRDefault="001A116C" w:rsidP="00CA11E6">
            <w:pPr>
              <w:jc w:val="center"/>
              <w:rPr>
                <w:b/>
                <w:bCs/>
                <w:sz w:val="20"/>
                <w:szCs w:val="20"/>
              </w:rPr>
            </w:pPr>
            <w:r w:rsidRPr="007C3AC1">
              <w:rPr>
                <w:b/>
                <w:bCs/>
                <w:sz w:val="20"/>
                <w:szCs w:val="20"/>
              </w:rPr>
              <w:t>Standard</w:t>
            </w:r>
          </w:p>
        </w:tc>
        <w:tc>
          <w:tcPr>
            <w:tcW w:w="1701" w:type="dxa"/>
            <w:vAlign w:val="center"/>
            <w:hideMark/>
          </w:tcPr>
          <w:p w:rsidR="001A116C" w:rsidRPr="007C3AC1" w:rsidRDefault="001A116C" w:rsidP="00CA11E6">
            <w:pPr>
              <w:jc w:val="center"/>
              <w:rPr>
                <w:b/>
                <w:bCs/>
                <w:sz w:val="20"/>
                <w:szCs w:val="20"/>
              </w:rPr>
            </w:pPr>
            <w:r w:rsidRPr="007C3AC1">
              <w:rPr>
                <w:b/>
                <w:bCs/>
                <w:sz w:val="20"/>
                <w:szCs w:val="20"/>
              </w:rPr>
              <w:t>Name</w:t>
            </w:r>
          </w:p>
        </w:tc>
        <w:tc>
          <w:tcPr>
            <w:tcW w:w="1843" w:type="dxa"/>
            <w:vAlign w:val="center"/>
            <w:hideMark/>
          </w:tcPr>
          <w:p w:rsidR="001A116C" w:rsidRPr="007C3AC1" w:rsidRDefault="001A116C" w:rsidP="00CA11E6">
            <w:pPr>
              <w:jc w:val="center"/>
              <w:rPr>
                <w:b/>
                <w:bCs/>
                <w:sz w:val="20"/>
                <w:szCs w:val="20"/>
              </w:rPr>
            </w:pPr>
            <w:proofErr w:type="spellStart"/>
            <w:r w:rsidRPr="007C3AC1">
              <w:rPr>
                <w:b/>
                <w:bCs/>
                <w:sz w:val="20"/>
                <w:szCs w:val="20"/>
              </w:rPr>
              <w:t>Organization</w:t>
            </w:r>
            <w:proofErr w:type="spellEnd"/>
          </w:p>
        </w:tc>
        <w:tc>
          <w:tcPr>
            <w:tcW w:w="1276" w:type="dxa"/>
            <w:vAlign w:val="center"/>
            <w:hideMark/>
          </w:tcPr>
          <w:p w:rsidR="001A116C" w:rsidRPr="007C3AC1" w:rsidRDefault="001A116C" w:rsidP="00CA11E6">
            <w:pPr>
              <w:jc w:val="center"/>
              <w:rPr>
                <w:b/>
                <w:bCs/>
                <w:sz w:val="20"/>
                <w:szCs w:val="20"/>
              </w:rPr>
            </w:pPr>
            <w:r w:rsidRPr="007C3AC1">
              <w:rPr>
                <w:b/>
                <w:bCs/>
                <w:sz w:val="20"/>
                <w:szCs w:val="20"/>
              </w:rPr>
              <w:t>Domain</w:t>
            </w:r>
          </w:p>
        </w:tc>
        <w:tc>
          <w:tcPr>
            <w:tcW w:w="1134" w:type="dxa"/>
            <w:vAlign w:val="center"/>
            <w:hideMark/>
          </w:tcPr>
          <w:p w:rsidR="001A116C" w:rsidRPr="007C3AC1" w:rsidRDefault="001A116C" w:rsidP="00CA11E6">
            <w:pPr>
              <w:jc w:val="center"/>
              <w:rPr>
                <w:b/>
                <w:bCs/>
                <w:sz w:val="20"/>
                <w:szCs w:val="20"/>
              </w:rPr>
            </w:pPr>
            <w:r w:rsidRPr="007C3AC1">
              <w:rPr>
                <w:b/>
                <w:bCs/>
                <w:sz w:val="20"/>
                <w:szCs w:val="20"/>
              </w:rPr>
              <w:t>Data Exchange</w:t>
            </w:r>
          </w:p>
        </w:tc>
        <w:tc>
          <w:tcPr>
            <w:tcW w:w="992" w:type="dxa"/>
            <w:noWrap/>
            <w:vAlign w:val="center"/>
            <w:hideMark/>
          </w:tcPr>
          <w:p w:rsidR="001A116C" w:rsidRPr="007C3AC1" w:rsidRDefault="001A116C" w:rsidP="00CA11E6">
            <w:pPr>
              <w:jc w:val="center"/>
              <w:rPr>
                <w:b/>
                <w:bCs/>
                <w:sz w:val="20"/>
                <w:szCs w:val="20"/>
              </w:rPr>
            </w:pPr>
            <w:r w:rsidRPr="007C3AC1">
              <w:rPr>
                <w:b/>
                <w:bCs/>
                <w:sz w:val="20"/>
                <w:szCs w:val="20"/>
              </w:rPr>
              <w:t>Analysis</w:t>
            </w:r>
          </w:p>
        </w:tc>
        <w:tc>
          <w:tcPr>
            <w:tcW w:w="1276" w:type="dxa"/>
            <w:vAlign w:val="center"/>
            <w:hideMark/>
          </w:tcPr>
          <w:p w:rsidR="001A116C" w:rsidRPr="007C3AC1" w:rsidRDefault="001A116C" w:rsidP="00CA11E6">
            <w:pPr>
              <w:jc w:val="center"/>
              <w:rPr>
                <w:b/>
                <w:bCs/>
                <w:sz w:val="20"/>
                <w:szCs w:val="20"/>
              </w:rPr>
            </w:pPr>
            <w:r w:rsidRPr="007C3AC1">
              <w:rPr>
                <w:b/>
                <w:bCs/>
                <w:sz w:val="20"/>
                <w:szCs w:val="20"/>
              </w:rPr>
              <w:t xml:space="preserve">Data </w:t>
            </w:r>
            <w:proofErr w:type="spellStart"/>
            <w:r w:rsidRPr="007C3AC1">
              <w:rPr>
                <w:b/>
                <w:bCs/>
                <w:sz w:val="20"/>
                <w:szCs w:val="20"/>
              </w:rPr>
              <w:t>Structure</w:t>
            </w:r>
            <w:proofErr w:type="spellEnd"/>
          </w:p>
        </w:tc>
        <w:tc>
          <w:tcPr>
            <w:tcW w:w="1276" w:type="dxa"/>
            <w:vAlign w:val="center"/>
            <w:hideMark/>
          </w:tcPr>
          <w:p w:rsidR="001A116C" w:rsidRPr="007C3AC1" w:rsidRDefault="001A116C" w:rsidP="00CA11E6">
            <w:pPr>
              <w:jc w:val="center"/>
              <w:rPr>
                <w:b/>
                <w:bCs/>
                <w:sz w:val="20"/>
                <w:szCs w:val="20"/>
              </w:rPr>
            </w:pPr>
            <w:proofErr w:type="spellStart"/>
            <w:r w:rsidRPr="007C3AC1">
              <w:rPr>
                <w:b/>
                <w:bCs/>
                <w:sz w:val="20"/>
                <w:szCs w:val="20"/>
              </w:rPr>
              <w:t>Process</w:t>
            </w:r>
            <w:proofErr w:type="spellEnd"/>
            <w:r w:rsidRPr="007C3AC1">
              <w:rPr>
                <w:b/>
                <w:bCs/>
                <w:sz w:val="20"/>
                <w:szCs w:val="20"/>
              </w:rPr>
              <w:t xml:space="preserve"> Description</w:t>
            </w:r>
          </w:p>
        </w:tc>
        <w:tc>
          <w:tcPr>
            <w:tcW w:w="5103" w:type="dxa"/>
            <w:gridSpan w:val="2"/>
            <w:vAlign w:val="center"/>
            <w:hideMark/>
          </w:tcPr>
          <w:p w:rsidR="001A116C" w:rsidRPr="007C3AC1" w:rsidRDefault="001A116C" w:rsidP="00CA11E6">
            <w:pPr>
              <w:jc w:val="center"/>
              <w:rPr>
                <w:b/>
                <w:bCs/>
                <w:sz w:val="20"/>
                <w:szCs w:val="20"/>
              </w:rPr>
            </w:pPr>
            <w:r w:rsidRPr="007C3AC1">
              <w:rPr>
                <w:b/>
                <w:bCs/>
                <w:sz w:val="20"/>
                <w:szCs w:val="20"/>
              </w:rPr>
              <w:t>Goal</w:t>
            </w:r>
          </w:p>
        </w:tc>
      </w:tr>
      <w:tr w:rsidR="001A116C" w:rsidRPr="001111DB" w:rsidTr="001A116C">
        <w:trPr>
          <w:gridAfter w:val="1"/>
          <w:wAfter w:w="602" w:type="dxa"/>
          <w:trHeight w:val="1450"/>
        </w:trPr>
        <w:tc>
          <w:tcPr>
            <w:tcW w:w="1129" w:type="dxa"/>
            <w:hideMark/>
          </w:tcPr>
          <w:p w:rsidR="001A116C" w:rsidRPr="007C3AC1" w:rsidRDefault="001A116C" w:rsidP="00CA11E6">
            <w:pPr>
              <w:rPr>
                <w:b/>
                <w:bCs/>
                <w:sz w:val="20"/>
                <w:szCs w:val="20"/>
              </w:rPr>
            </w:pPr>
            <w:bookmarkStart w:id="1" w:name="_GoBack" w:colFirst="8" w:colLast="8"/>
            <w:r w:rsidRPr="007C3AC1">
              <w:rPr>
                <w:b/>
                <w:bCs/>
                <w:sz w:val="20"/>
                <w:szCs w:val="20"/>
              </w:rPr>
              <w:t> FHIR</w:t>
            </w:r>
          </w:p>
        </w:tc>
        <w:tc>
          <w:tcPr>
            <w:tcW w:w="1701" w:type="dxa"/>
            <w:hideMark/>
          </w:tcPr>
          <w:p w:rsidR="001A116C" w:rsidRPr="007C3AC1" w:rsidRDefault="001A116C" w:rsidP="00CA11E6">
            <w:pPr>
              <w:rPr>
                <w:sz w:val="20"/>
                <w:szCs w:val="20"/>
              </w:rPr>
            </w:pPr>
            <w:r w:rsidRPr="007C3AC1">
              <w:rPr>
                <w:sz w:val="20"/>
                <w:szCs w:val="20"/>
              </w:rPr>
              <w:t xml:space="preserve">Fast </w:t>
            </w:r>
            <w:proofErr w:type="spellStart"/>
            <w:r w:rsidRPr="007C3AC1">
              <w:rPr>
                <w:sz w:val="20"/>
                <w:szCs w:val="20"/>
              </w:rPr>
              <w:t>Healthcare</w:t>
            </w:r>
            <w:proofErr w:type="spellEnd"/>
            <w:r w:rsidRPr="007C3AC1">
              <w:rPr>
                <w:sz w:val="20"/>
                <w:szCs w:val="20"/>
              </w:rPr>
              <w:t xml:space="preserve"> </w:t>
            </w:r>
            <w:proofErr w:type="spellStart"/>
            <w:r w:rsidRPr="007C3AC1">
              <w:rPr>
                <w:sz w:val="20"/>
                <w:szCs w:val="20"/>
              </w:rPr>
              <w:t>Interoperability</w:t>
            </w:r>
            <w:proofErr w:type="spellEnd"/>
            <w:r w:rsidRPr="007C3AC1">
              <w:rPr>
                <w:sz w:val="20"/>
                <w:szCs w:val="20"/>
              </w:rPr>
              <w:t xml:space="preserve"> Resources </w:t>
            </w:r>
          </w:p>
        </w:tc>
        <w:tc>
          <w:tcPr>
            <w:tcW w:w="1843" w:type="dxa"/>
            <w:hideMark/>
          </w:tcPr>
          <w:p w:rsidR="001A116C" w:rsidRPr="007C3AC1" w:rsidRDefault="001A116C" w:rsidP="00CA11E6">
            <w:pPr>
              <w:rPr>
                <w:sz w:val="20"/>
                <w:szCs w:val="20"/>
              </w:rPr>
            </w:pPr>
            <w:proofErr w:type="spellStart"/>
            <w:r w:rsidRPr="007C3AC1">
              <w:rPr>
                <w:sz w:val="20"/>
                <w:szCs w:val="20"/>
              </w:rPr>
              <w:t>Health</w:t>
            </w:r>
            <w:proofErr w:type="spellEnd"/>
            <w:r w:rsidRPr="007C3AC1">
              <w:rPr>
                <w:sz w:val="20"/>
                <w:szCs w:val="20"/>
              </w:rPr>
              <w:t xml:space="preserve"> Level 7</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4501" w:type="dxa"/>
            <w:hideMark/>
          </w:tcPr>
          <w:p w:rsidR="001A116C" w:rsidRPr="007C3AC1" w:rsidRDefault="001A116C" w:rsidP="00CA11E6">
            <w:pPr>
              <w:jc w:val="both"/>
              <w:rPr>
                <w:sz w:val="20"/>
                <w:szCs w:val="20"/>
                <w:lang w:val="en-US"/>
              </w:rPr>
            </w:pPr>
            <w:r w:rsidRPr="007C3AC1">
              <w:rPr>
                <w:sz w:val="20"/>
                <w:szCs w:val="20"/>
                <w:lang w:val="en-US"/>
              </w:rPr>
              <w:t>Based on previous HL7 standards (HL7 Version 2 and 3, and CDA), and combines their advantages, authorization tools (OAuth), Representational State Transfer (REST) architecture, application programming interfaces (API), XML and JSON formats </w:t>
            </w:r>
          </w:p>
        </w:tc>
      </w:tr>
      <w:bookmarkEnd w:id="1"/>
      <w:tr w:rsidR="001A116C" w:rsidRPr="005625B3" w:rsidTr="00CA11E6">
        <w:trPr>
          <w:trHeight w:val="2320"/>
        </w:trPr>
        <w:tc>
          <w:tcPr>
            <w:tcW w:w="1129" w:type="dxa"/>
            <w:hideMark/>
          </w:tcPr>
          <w:p w:rsidR="001A116C" w:rsidRPr="007C3AC1" w:rsidRDefault="001A116C" w:rsidP="00CA11E6">
            <w:pPr>
              <w:rPr>
                <w:b/>
                <w:bCs/>
                <w:sz w:val="20"/>
                <w:szCs w:val="20"/>
              </w:rPr>
            </w:pPr>
            <w:r w:rsidRPr="007C3AC1">
              <w:rPr>
                <w:b/>
                <w:bCs/>
                <w:sz w:val="20"/>
                <w:szCs w:val="20"/>
              </w:rPr>
              <w:t>DICOM ®</w:t>
            </w:r>
          </w:p>
        </w:tc>
        <w:tc>
          <w:tcPr>
            <w:tcW w:w="1701" w:type="dxa"/>
            <w:hideMark/>
          </w:tcPr>
          <w:p w:rsidR="001A116C" w:rsidRPr="007C3AC1" w:rsidRDefault="001A116C" w:rsidP="00CA11E6">
            <w:pPr>
              <w:rPr>
                <w:sz w:val="20"/>
                <w:szCs w:val="20"/>
                <w:lang w:val="en-US"/>
              </w:rPr>
            </w:pPr>
            <w:r w:rsidRPr="007C3AC1">
              <w:rPr>
                <w:sz w:val="20"/>
                <w:szCs w:val="20"/>
                <w:lang w:val="en-US"/>
              </w:rPr>
              <w:t>Digital Imaging and Communications in Medicine</w:t>
            </w:r>
          </w:p>
        </w:tc>
        <w:tc>
          <w:tcPr>
            <w:tcW w:w="1843" w:type="dxa"/>
            <w:hideMark/>
          </w:tcPr>
          <w:p w:rsidR="001A116C" w:rsidRPr="007C3AC1" w:rsidRDefault="001A116C" w:rsidP="00CA11E6">
            <w:pPr>
              <w:rPr>
                <w:sz w:val="20"/>
                <w:szCs w:val="20"/>
                <w:lang w:val="en-US"/>
              </w:rPr>
            </w:pPr>
            <w:r w:rsidRPr="007C3AC1">
              <w:rPr>
                <w:sz w:val="20"/>
                <w:szCs w:val="20"/>
                <w:lang w:val="en-US"/>
              </w:rPr>
              <w:t>Medical Imaging Technology Association (MITA) - a division of the National Electrical Manufacturers Association</w:t>
            </w:r>
          </w:p>
        </w:tc>
        <w:tc>
          <w:tcPr>
            <w:tcW w:w="1276" w:type="dxa"/>
            <w:hideMark/>
          </w:tcPr>
          <w:p w:rsidR="001A116C" w:rsidRPr="007C3AC1" w:rsidRDefault="001A116C" w:rsidP="00CA11E6">
            <w:pPr>
              <w:rPr>
                <w:sz w:val="20"/>
                <w:szCs w:val="20"/>
              </w:rPr>
            </w:pPr>
            <w:r w:rsidRPr="007C3AC1">
              <w:rPr>
                <w:sz w:val="20"/>
                <w:szCs w:val="20"/>
              </w:rPr>
              <w:t>Imaging </w:t>
            </w:r>
          </w:p>
        </w:tc>
        <w:tc>
          <w:tcPr>
            <w:tcW w:w="1134" w:type="dxa"/>
            <w:noWrap/>
            <w:hideMark/>
          </w:tcPr>
          <w:p w:rsidR="001A116C" w:rsidRPr="007C3AC1" w:rsidRDefault="001A116C" w:rsidP="00CA11E6">
            <w:pPr>
              <w:jc w:val="center"/>
              <w:rPr>
                <w:sz w:val="20"/>
                <w:szCs w:val="20"/>
              </w:rPr>
            </w:pPr>
            <w:r w:rsidRPr="007C3AC1">
              <w:rPr>
                <w:sz w:val="20"/>
                <w:szCs w:val="20"/>
              </w:rPr>
              <w:t>-</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5625B3" w:rsidRDefault="001A116C" w:rsidP="00CA11E6">
            <w:pPr>
              <w:rPr>
                <w:sz w:val="20"/>
                <w:szCs w:val="20"/>
                <w:lang w:val="en-US"/>
              </w:rPr>
            </w:pPr>
            <w:r w:rsidRPr="007C3AC1">
              <w:rPr>
                <w:sz w:val="20"/>
                <w:szCs w:val="20"/>
                <w:lang w:val="en-US"/>
              </w:rPr>
              <w:t>Exchanging and</w:t>
            </w:r>
            <w:r>
              <w:rPr>
                <w:sz w:val="20"/>
                <w:szCs w:val="20"/>
                <w:lang w:val="en-US"/>
              </w:rPr>
              <w:t xml:space="preserve"> </w:t>
            </w:r>
            <w:r w:rsidRPr="007C3AC1">
              <w:rPr>
                <w:sz w:val="20"/>
                <w:szCs w:val="20"/>
                <w:lang w:val="en-US"/>
              </w:rPr>
              <w:t>Managing images,</w:t>
            </w:r>
            <w:r>
              <w:rPr>
                <w:sz w:val="20"/>
                <w:szCs w:val="20"/>
                <w:lang w:val="en-US"/>
              </w:rPr>
              <w:t xml:space="preserve"> </w:t>
            </w:r>
            <w:r w:rsidRPr="007C3AC1">
              <w:rPr>
                <w:sz w:val="20"/>
                <w:szCs w:val="20"/>
                <w:lang w:val="en-US"/>
              </w:rPr>
              <w:t xml:space="preserve">images from different medical imaging devices such as CT or MRI can be used by different applications. </w:t>
            </w:r>
            <w:r w:rsidRPr="005625B3">
              <w:rPr>
                <w:sz w:val="20"/>
                <w:szCs w:val="20"/>
                <w:lang w:val="en-US"/>
              </w:rPr>
              <w:t xml:space="preserve">DICOM® </w:t>
            </w:r>
            <w:proofErr w:type="gramStart"/>
            <w:r w:rsidRPr="005625B3">
              <w:rPr>
                <w:sz w:val="20"/>
                <w:szCs w:val="20"/>
                <w:lang w:val="en-US"/>
              </w:rPr>
              <w:t>is recognized</w:t>
            </w:r>
            <w:proofErr w:type="gramEnd"/>
            <w:r w:rsidRPr="005625B3">
              <w:rPr>
                <w:sz w:val="20"/>
                <w:szCs w:val="20"/>
                <w:lang w:val="en-US"/>
              </w:rPr>
              <w:t xml:space="preserve"> by ISO as the ISO 12052 standard.</w:t>
            </w:r>
          </w:p>
        </w:tc>
      </w:tr>
      <w:tr w:rsidR="001A116C" w:rsidRPr="001111DB" w:rsidTr="00CA11E6">
        <w:trPr>
          <w:trHeight w:val="1740"/>
        </w:trPr>
        <w:tc>
          <w:tcPr>
            <w:tcW w:w="1129" w:type="dxa"/>
            <w:hideMark/>
          </w:tcPr>
          <w:p w:rsidR="001A116C" w:rsidRPr="007C3AC1" w:rsidRDefault="001A116C" w:rsidP="00CA11E6">
            <w:pPr>
              <w:rPr>
                <w:b/>
                <w:bCs/>
                <w:sz w:val="20"/>
                <w:szCs w:val="20"/>
              </w:rPr>
            </w:pPr>
            <w:r w:rsidRPr="007C3AC1">
              <w:rPr>
                <w:b/>
                <w:bCs/>
                <w:sz w:val="20"/>
                <w:szCs w:val="20"/>
              </w:rPr>
              <w:t>OMOP CDM </w:t>
            </w:r>
          </w:p>
        </w:tc>
        <w:tc>
          <w:tcPr>
            <w:tcW w:w="1701" w:type="dxa"/>
            <w:hideMark/>
          </w:tcPr>
          <w:p w:rsidR="001A116C" w:rsidRPr="007C3AC1" w:rsidRDefault="001A116C" w:rsidP="00CA11E6">
            <w:pPr>
              <w:rPr>
                <w:sz w:val="20"/>
                <w:szCs w:val="20"/>
                <w:lang w:val="en-US"/>
              </w:rPr>
            </w:pPr>
            <w:r w:rsidRPr="007C3AC1">
              <w:rPr>
                <w:sz w:val="20"/>
                <w:szCs w:val="20"/>
                <w:lang w:val="en-US"/>
              </w:rPr>
              <w:t>Observational Medical Outcomes Partnership common data model  </w:t>
            </w:r>
          </w:p>
        </w:tc>
        <w:tc>
          <w:tcPr>
            <w:tcW w:w="1843" w:type="dxa"/>
            <w:hideMark/>
          </w:tcPr>
          <w:p w:rsidR="001A116C" w:rsidRPr="007C3AC1" w:rsidRDefault="001A116C" w:rsidP="00CA11E6">
            <w:pPr>
              <w:rPr>
                <w:sz w:val="20"/>
                <w:szCs w:val="20"/>
                <w:lang w:val="en-US"/>
              </w:rPr>
            </w:pPr>
            <w:r w:rsidRPr="007C3AC1">
              <w:rPr>
                <w:sz w:val="20"/>
                <w:szCs w:val="20"/>
                <w:lang w:val="en-US"/>
              </w:rPr>
              <w:t>Observational Health Data Sciences and Informatics (OHDSI)</w:t>
            </w:r>
          </w:p>
        </w:tc>
        <w:tc>
          <w:tcPr>
            <w:tcW w:w="1276" w:type="dxa"/>
            <w:hideMark/>
          </w:tcPr>
          <w:p w:rsidR="001A116C" w:rsidRPr="007C3AC1" w:rsidRDefault="001A116C" w:rsidP="00CA11E6">
            <w:pPr>
              <w:rPr>
                <w:sz w:val="20"/>
                <w:szCs w:val="20"/>
              </w:rPr>
            </w:pPr>
            <w:proofErr w:type="spellStart"/>
            <w:r w:rsidRPr="007C3AC1">
              <w:rPr>
                <w:sz w:val="20"/>
                <w:szCs w:val="20"/>
              </w:rPr>
              <w:t>Observational</w:t>
            </w:r>
            <w:proofErr w:type="spellEnd"/>
            <w:r w:rsidRPr="007C3AC1">
              <w:rPr>
                <w:sz w:val="20"/>
                <w:szCs w:val="20"/>
              </w:rPr>
              <w:t xml:space="preserve">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w:t>
            </w:r>
          </w:p>
        </w:tc>
        <w:tc>
          <w:tcPr>
            <w:tcW w:w="992"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Allows for the systematic analysis of disparate observational databases, Once a database has been converted to the OMOP CDM, evidence can be generated using standardized analytics tools, currently developing Open Source tools for data quality and characterization </w:t>
            </w:r>
          </w:p>
        </w:tc>
      </w:tr>
      <w:tr w:rsidR="001A116C" w:rsidRPr="001111DB" w:rsidTr="00CA11E6">
        <w:trPr>
          <w:trHeight w:val="1740"/>
        </w:trPr>
        <w:tc>
          <w:tcPr>
            <w:tcW w:w="1129" w:type="dxa"/>
            <w:hideMark/>
          </w:tcPr>
          <w:p w:rsidR="001A116C" w:rsidRPr="007C3AC1" w:rsidRDefault="001A116C" w:rsidP="00CA11E6">
            <w:pPr>
              <w:rPr>
                <w:b/>
                <w:bCs/>
                <w:sz w:val="20"/>
                <w:szCs w:val="20"/>
              </w:rPr>
            </w:pPr>
            <w:r w:rsidRPr="007C3AC1">
              <w:rPr>
                <w:b/>
                <w:bCs/>
                <w:sz w:val="20"/>
                <w:szCs w:val="20"/>
              </w:rPr>
              <w:t>CDISC ODM </w:t>
            </w:r>
          </w:p>
        </w:tc>
        <w:tc>
          <w:tcPr>
            <w:tcW w:w="1701" w:type="dxa"/>
            <w:hideMark/>
          </w:tcPr>
          <w:p w:rsidR="001A116C" w:rsidRPr="007C3AC1" w:rsidRDefault="001A116C" w:rsidP="00CA11E6">
            <w:pPr>
              <w:rPr>
                <w:sz w:val="20"/>
                <w:szCs w:val="20"/>
                <w:lang w:val="en-US"/>
              </w:rPr>
            </w:pPr>
            <w:r w:rsidRPr="007C3AC1">
              <w:rPr>
                <w:sz w:val="20"/>
                <w:szCs w:val="20"/>
                <w:lang w:val="en-US"/>
              </w:rPr>
              <w:t>Clinical Data Interchange Standards Consortium Operational Data Standard </w:t>
            </w:r>
          </w:p>
        </w:tc>
        <w:tc>
          <w:tcPr>
            <w:tcW w:w="1843" w:type="dxa"/>
            <w:hideMark/>
          </w:tcPr>
          <w:p w:rsidR="001A116C" w:rsidRPr="007C3AC1" w:rsidRDefault="001A116C" w:rsidP="00CA11E6">
            <w:pPr>
              <w:rPr>
                <w:sz w:val="20"/>
                <w:szCs w:val="20"/>
                <w:lang w:val="en-US"/>
              </w:rPr>
            </w:pPr>
            <w:r w:rsidRPr="007C3AC1">
              <w:rPr>
                <w:sz w:val="20"/>
                <w:szCs w:val="20"/>
                <w:lang w:val="en-US"/>
              </w:rPr>
              <w:t>Clinical Data Interchange Standards Consortium</w:t>
            </w:r>
          </w:p>
        </w:tc>
        <w:tc>
          <w:tcPr>
            <w:tcW w:w="1276" w:type="dxa"/>
            <w:hideMark/>
          </w:tcPr>
          <w:p w:rsidR="001A116C" w:rsidRPr="007C3AC1" w:rsidRDefault="001A116C" w:rsidP="00CA11E6">
            <w:pPr>
              <w:rPr>
                <w:sz w:val="20"/>
                <w:szCs w:val="20"/>
              </w:rPr>
            </w:pPr>
            <w:r w:rsidRPr="007C3AC1">
              <w:rPr>
                <w:sz w:val="20"/>
                <w:szCs w:val="20"/>
              </w:rPr>
              <w:t>Clinical Trials</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Exchange of data within clinical trials, Standards to support acquisition, exchange, submission and archive of data for medical and biopharmaceutical product development</w:t>
            </w:r>
          </w:p>
        </w:tc>
      </w:tr>
      <w:tr w:rsidR="001A116C" w:rsidRPr="001111DB" w:rsidTr="00CA11E6">
        <w:trPr>
          <w:trHeight w:val="1450"/>
        </w:trPr>
        <w:tc>
          <w:tcPr>
            <w:tcW w:w="1129" w:type="dxa"/>
            <w:hideMark/>
          </w:tcPr>
          <w:p w:rsidR="001A116C" w:rsidRPr="007C3AC1" w:rsidRDefault="001A116C" w:rsidP="00CA11E6">
            <w:pPr>
              <w:rPr>
                <w:b/>
                <w:bCs/>
                <w:sz w:val="20"/>
                <w:szCs w:val="20"/>
              </w:rPr>
            </w:pPr>
            <w:r w:rsidRPr="007C3AC1">
              <w:rPr>
                <w:b/>
                <w:bCs/>
                <w:sz w:val="20"/>
                <w:szCs w:val="20"/>
              </w:rPr>
              <w:lastRenderedPageBreak/>
              <w:t>i2b2 </w:t>
            </w:r>
          </w:p>
        </w:tc>
        <w:tc>
          <w:tcPr>
            <w:tcW w:w="1701" w:type="dxa"/>
            <w:hideMark/>
          </w:tcPr>
          <w:p w:rsidR="001A116C" w:rsidRPr="007C3AC1" w:rsidRDefault="001A116C" w:rsidP="00CA11E6">
            <w:pPr>
              <w:rPr>
                <w:sz w:val="20"/>
                <w:szCs w:val="20"/>
                <w:lang w:val="en-US"/>
              </w:rPr>
            </w:pPr>
            <w:r w:rsidRPr="007C3AC1">
              <w:rPr>
                <w:sz w:val="20"/>
                <w:szCs w:val="20"/>
                <w:lang w:val="en-US"/>
              </w:rPr>
              <w:t>Informatics for Integrating Biology &amp; the Bedside </w:t>
            </w:r>
          </w:p>
        </w:tc>
        <w:tc>
          <w:tcPr>
            <w:tcW w:w="1843" w:type="dxa"/>
            <w:hideMark/>
          </w:tcPr>
          <w:p w:rsidR="001A116C" w:rsidRPr="007C3AC1" w:rsidRDefault="001A116C" w:rsidP="00CA11E6">
            <w:pPr>
              <w:rPr>
                <w:sz w:val="20"/>
                <w:szCs w:val="20"/>
              </w:rPr>
            </w:pPr>
            <w:r w:rsidRPr="007C3AC1">
              <w:rPr>
                <w:sz w:val="20"/>
                <w:szCs w:val="20"/>
              </w:rPr>
              <w:t xml:space="preserve">i2b2 </w:t>
            </w:r>
            <w:proofErr w:type="spellStart"/>
            <w:r w:rsidRPr="007C3AC1">
              <w:rPr>
                <w:sz w:val="20"/>
                <w:szCs w:val="20"/>
              </w:rPr>
              <w:t>tranSMART</w:t>
            </w:r>
            <w:proofErr w:type="spellEnd"/>
            <w:r w:rsidRPr="007C3AC1">
              <w:rPr>
                <w:sz w:val="20"/>
                <w:szCs w:val="20"/>
              </w:rPr>
              <w:t xml:space="preserve"> </w:t>
            </w:r>
            <w:proofErr w:type="spellStart"/>
            <w:r w:rsidRPr="007C3AC1">
              <w:rPr>
                <w:sz w:val="20"/>
                <w:szCs w:val="20"/>
              </w:rPr>
              <w:t>Foundation</w:t>
            </w:r>
            <w:proofErr w:type="spellEnd"/>
          </w:p>
        </w:tc>
        <w:tc>
          <w:tcPr>
            <w:tcW w:w="1276" w:type="dxa"/>
            <w:hideMark/>
          </w:tcPr>
          <w:p w:rsidR="001A116C" w:rsidRPr="007C3AC1" w:rsidRDefault="001A116C" w:rsidP="00CA11E6">
            <w:pPr>
              <w:rPr>
                <w:sz w:val="20"/>
                <w:szCs w:val="20"/>
              </w:rPr>
            </w:pPr>
            <w:r w:rsidRPr="007C3AC1">
              <w:rPr>
                <w:sz w:val="20"/>
                <w:szCs w:val="20"/>
              </w:rPr>
              <w:t xml:space="preserve">Research </w:t>
            </w:r>
            <w:proofErr w:type="spellStart"/>
            <w:r w:rsidRPr="007C3AC1">
              <w:rPr>
                <w:sz w:val="20"/>
                <w:szCs w:val="20"/>
              </w:rPr>
              <w:t>for</w:t>
            </w:r>
            <w:proofErr w:type="spellEnd"/>
            <w:r w:rsidRPr="007C3AC1">
              <w:rPr>
                <w:sz w:val="20"/>
                <w:szCs w:val="20"/>
              </w:rPr>
              <w:t xml:space="preserve"> </w:t>
            </w:r>
            <w:proofErr w:type="spellStart"/>
            <w:r w:rsidRPr="007C3AC1">
              <w:rPr>
                <w:sz w:val="20"/>
                <w:szCs w:val="20"/>
              </w:rPr>
              <w:t>cohort</w:t>
            </w:r>
            <w:proofErr w:type="spellEnd"/>
            <w:r w:rsidRPr="007C3AC1">
              <w:rPr>
                <w:sz w:val="20"/>
                <w:szCs w:val="20"/>
              </w:rPr>
              <w:t xml:space="preserve"> </w:t>
            </w:r>
            <w:proofErr w:type="spellStart"/>
            <w:r w:rsidRPr="007C3AC1">
              <w:rPr>
                <w:sz w:val="20"/>
                <w:szCs w:val="20"/>
              </w:rPr>
              <w:t>discovery</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w:t>
            </w:r>
          </w:p>
        </w:tc>
        <w:tc>
          <w:tcPr>
            <w:tcW w:w="992"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Open-source clinical data warehousing and analytics research platform, cohort discovery tool, </w:t>
            </w:r>
            <w:proofErr w:type="gramStart"/>
            <w:r w:rsidRPr="007C3AC1">
              <w:rPr>
                <w:sz w:val="20"/>
                <w:szCs w:val="20"/>
                <w:lang w:val="en-US"/>
              </w:rPr>
              <w:t>meaning</w:t>
            </w:r>
            <w:proofErr w:type="gramEnd"/>
            <w:r w:rsidRPr="007C3AC1">
              <w:rPr>
                <w:sz w:val="20"/>
                <w:szCs w:val="20"/>
                <w:lang w:val="en-US"/>
              </w:rPr>
              <w:t xml:space="preserve"> only patient counts can be retrieved. Individual patient-level data cannot be accessed through this tool, but it is possible to gather this information outside of i2b2 </w:t>
            </w:r>
          </w:p>
        </w:tc>
      </w:tr>
      <w:tr w:rsidR="001A116C" w:rsidRPr="001111DB" w:rsidTr="00CA11E6">
        <w:trPr>
          <w:trHeight w:val="1450"/>
        </w:trPr>
        <w:tc>
          <w:tcPr>
            <w:tcW w:w="1129" w:type="dxa"/>
            <w:hideMark/>
          </w:tcPr>
          <w:p w:rsidR="001A116C" w:rsidRPr="007C3AC1" w:rsidRDefault="001A116C" w:rsidP="00CA11E6">
            <w:pPr>
              <w:rPr>
                <w:b/>
                <w:bCs/>
                <w:sz w:val="20"/>
                <w:szCs w:val="20"/>
              </w:rPr>
            </w:pPr>
            <w:proofErr w:type="spellStart"/>
            <w:r w:rsidRPr="007C3AC1">
              <w:rPr>
                <w:b/>
                <w:bCs/>
                <w:sz w:val="20"/>
                <w:szCs w:val="20"/>
              </w:rPr>
              <w:t>OpenEHR</w:t>
            </w:r>
            <w:proofErr w:type="spellEnd"/>
            <w:r w:rsidRPr="007C3AC1">
              <w:rPr>
                <w:b/>
                <w:bCs/>
                <w:sz w:val="20"/>
                <w:szCs w:val="20"/>
              </w:rPr>
              <w:t> </w:t>
            </w:r>
          </w:p>
        </w:tc>
        <w:tc>
          <w:tcPr>
            <w:tcW w:w="1701" w:type="dxa"/>
            <w:hideMark/>
          </w:tcPr>
          <w:p w:rsidR="001A116C" w:rsidRPr="007C3AC1" w:rsidRDefault="001A116C" w:rsidP="00CA11E6">
            <w:pPr>
              <w:rPr>
                <w:sz w:val="20"/>
                <w:szCs w:val="20"/>
              </w:rPr>
            </w:pPr>
            <w:r w:rsidRPr="007C3AC1">
              <w:rPr>
                <w:sz w:val="20"/>
                <w:szCs w:val="20"/>
              </w:rPr>
              <w:t>-</w:t>
            </w:r>
          </w:p>
        </w:tc>
        <w:tc>
          <w:tcPr>
            <w:tcW w:w="1843" w:type="dxa"/>
            <w:hideMark/>
          </w:tcPr>
          <w:p w:rsidR="001A116C" w:rsidRPr="007C3AC1" w:rsidRDefault="001A116C" w:rsidP="00CA11E6">
            <w:pPr>
              <w:rPr>
                <w:sz w:val="20"/>
                <w:szCs w:val="20"/>
              </w:rPr>
            </w:pPr>
            <w:proofErr w:type="spellStart"/>
            <w:r w:rsidRPr="007C3AC1">
              <w:rPr>
                <w:sz w:val="20"/>
                <w:szCs w:val="20"/>
              </w:rPr>
              <w:t>OpenEHR</w:t>
            </w:r>
            <w:proofErr w:type="spellEnd"/>
            <w:r w:rsidRPr="007C3AC1">
              <w:rPr>
                <w:sz w:val="20"/>
                <w:szCs w:val="20"/>
              </w:rPr>
              <w:t xml:space="preserve"> </w:t>
            </w:r>
            <w:proofErr w:type="spellStart"/>
            <w:r w:rsidRPr="007C3AC1">
              <w:rPr>
                <w:sz w:val="20"/>
                <w:szCs w:val="20"/>
              </w:rPr>
              <w:t>Foundation</w:t>
            </w:r>
            <w:proofErr w:type="spellEnd"/>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Common description of electronic health records (EHR)</w:t>
            </w:r>
            <w:proofErr w:type="gramStart"/>
            <w:r w:rsidRPr="007C3AC1">
              <w:rPr>
                <w:sz w:val="20"/>
                <w:szCs w:val="20"/>
                <w:lang w:val="en-US"/>
              </w:rPr>
              <w:t>,  offers</w:t>
            </w:r>
            <w:proofErr w:type="gramEnd"/>
            <w:r w:rsidRPr="007C3AC1">
              <w:rPr>
                <w:sz w:val="20"/>
                <w:szCs w:val="20"/>
                <w:lang w:val="en-US"/>
              </w:rPr>
              <w:t xml:space="preserve"> open specifications, clinical models and software.  The clinical data models (archetypes) have been accepted as European standard in 2007 (CEN 13606 Part II) </w:t>
            </w:r>
          </w:p>
        </w:tc>
      </w:tr>
      <w:tr w:rsidR="001A116C" w:rsidRPr="001111DB" w:rsidTr="00CA11E6">
        <w:trPr>
          <w:trHeight w:val="1160"/>
        </w:trPr>
        <w:tc>
          <w:tcPr>
            <w:tcW w:w="1129" w:type="dxa"/>
            <w:hideMark/>
          </w:tcPr>
          <w:p w:rsidR="001A116C" w:rsidRPr="007C3AC1" w:rsidRDefault="001A116C" w:rsidP="00CA11E6">
            <w:pPr>
              <w:rPr>
                <w:b/>
                <w:bCs/>
                <w:sz w:val="20"/>
                <w:szCs w:val="20"/>
              </w:rPr>
            </w:pPr>
            <w:r w:rsidRPr="007C3AC1">
              <w:rPr>
                <w:b/>
                <w:bCs/>
                <w:sz w:val="20"/>
                <w:szCs w:val="20"/>
              </w:rPr>
              <w:t>IHE </w:t>
            </w:r>
          </w:p>
        </w:tc>
        <w:tc>
          <w:tcPr>
            <w:tcW w:w="1701" w:type="dxa"/>
            <w:hideMark/>
          </w:tcPr>
          <w:p w:rsidR="001A116C" w:rsidRPr="007C3AC1" w:rsidRDefault="001A116C" w:rsidP="00CA11E6">
            <w:pPr>
              <w:rPr>
                <w:sz w:val="20"/>
                <w:szCs w:val="20"/>
              </w:rPr>
            </w:pPr>
            <w:proofErr w:type="spellStart"/>
            <w:r w:rsidRPr="007C3AC1">
              <w:rPr>
                <w:sz w:val="20"/>
                <w:szCs w:val="20"/>
              </w:rPr>
              <w:t>Integrating</w:t>
            </w:r>
            <w:proofErr w:type="spellEnd"/>
            <w:r w:rsidRPr="007C3AC1">
              <w:rPr>
                <w:sz w:val="20"/>
                <w:szCs w:val="20"/>
              </w:rPr>
              <w:t xml:space="preserve"> </w:t>
            </w:r>
            <w:proofErr w:type="spellStart"/>
            <w:r w:rsidRPr="007C3AC1">
              <w:rPr>
                <w:sz w:val="20"/>
                <w:szCs w:val="20"/>
              </w:rPr>
              <w:t>the</w:t>
            </w:r>
            <w:proofErr w:type="spellEnd"/>
            <w:r w:rsidRPr="007C3AC1">
              <w:rPr>
                <w:sz w:val="20"/>
                <w:szCs w:val="20"/>
              </w:rPr>
              <w:t xml:space="preserve"> </w:t>
            </w:r>
            <w:proofErr w:type="spellStart"/>
            <w:r w:rsidRPr="007C3AC1">
              <w:rPr>
                <w:sz w:val="20"/>
                <w:szCs w:val="20"/>
              </w:rPr>
              <w:t>Healthcare</w:t>
            </w:r>
            <w:proofErr w:type="spellEnd"/>
            <w:r w:rsidRPr="007C3AC1">
              <w:rPr>
                <w:sz w:val="20"/>
                <w:szCs w:val="20"/>
              </w:rPr>
              <w:t xml:space="preserve"> Enterprise </w:t>
            </w:r>
          </w:p>
        </w:tc>
        <w:tc>
          <w:tcPr>
            <w:tcW w:w="1843" w:type="dxa"/>
            <w:hideMark/>
          </w:tcPr>
          <w:p w:rsidR="001A116C" w:rsidRPr="007C3AC1" w:rsidRDefault="001A116C" w:rsidP="00CA11E6">
            <w:pPr>
              <w:rPr>
                <w:sz w:val="20"/>
                <w:szCs w:val="20"/>
              </w:rPr>
            </w:pPr>
            <w:proofErr w:type="spellStart"/>
            <w:r w:rsidRPr="007C3AC1">
              <w:rPr>
                <w:sz w:val="20"/>
                <w:szCs w:val="20"/>
              </w:rPr>
              <w:t>Integrating</w:t>
            </w:r>
            <w:proofErr w:type="spellEnd"/>
            <w:r w:rsidRPr="007C3AC1">
              <w:rPr>
                <w:sz w:val="20"/>
                <w:szCs w:val="20"/>
              </w:rPr>
              <w:t xml:space="preserve"> </w:t>
            </w:r>
            <w:proofErr w:type="spellStart"/>
            <w:r w:rsidRPr="007C3AC1">
              <w:rPr>
                <w:sz w:val="20"/>
                <w:szCs w:val="20"/>
              </w:rPr>
              <w:t>the</w:t>
            </w:r>
            <w:proofErr w:type="spellEnd"/>
            <w:r w:rsidRPr="007C3AC1">
              <w:rPr>
                <w:sz w:val="20"/>
                <w:szCs w:val="20"/>
              </w:rPr>
              <w:t xml:space="preserve"> </w:t>
            </w:r>
            <w:proofErr w:type="spellStart"/>
            <w:r w:rsidRPr="007C3AC1">
              <w:rPr>
                <w:sz w:val="20"/>
                <w:szCs w:val="20"/>
              </w:rPr>
              <w:t>Healthcare</w:t>
            </w:r>
            <w:proofErr w:type="spellEnd"/>
            <w:r w:rsidRPr="007C3AC1">
              <w:rPr>
                <w:sz w:val="20"/>
                <w:szCs w:val="20"/>
              </w:rPr>
              <w:t xml:space="preserve"> Enterprise </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Promotes the coordinated use of established standards such as DICOM and HL7,  address specific clinical needs in support of optimal patient care </w:t>
            </w:r>
          </w:p>
        </w:tc>
      </w:tr>
      <w:tr w:rsidR="001A116C" w:rsidRPr="001111DB" w:rsidTr="00CA11E6">
        <w:trPr>
          <w:trHeight w:val="580"/>
        </w:trPr>
        <w:tc>
          <w:tcPr>
            <w:tcW w:w="1129" w:type="dxa"/>
            <w:hideMark/>
          </w:tcPr>
          <w:p w:rsidR="001A116C" w:rsidRPr="007C3AC1" w:rsidRDefault="001A116C" w:rsidP="00CA11E6">
            <w:pPr>
              <w:rPr>
                <w:b/>
                <w:bCs/>
                <w:sz w:val="20"/>
                <w:szCs w:val="20"/>
              </w:rPr>
            </w:pPr>
            <w:r w:rsidRPr="007C3AC1">
              <w:rPr>
                <w:b/>
                <w:bCs/>
                <w:sz w:val="20"/>
                <w:szCs w:val="20"/>
              </w:rPr>
              <w:t>CDA </w:t>
            </w:r>
          </w:p>
        </w:tc>
        <w:tc>
          <w:tcPr>
            <w:tcW w:w="1701" w:type="dxa"/>
            <w:hideMark/>
          </w:tcPr>
          <w:p w:rsidR="001A116C" w:rsidRPr="007C3AC1" w:rsidRDefault="001A116C" w:rsidP="00CA11E6">
            <w:pPr>
              <w:rPr>
                <w:sz w:val="20"/>
                <w:szCs w:val="20"/>
              </w:rPr>
            </w:pPr>
            <w:r w:rsidRPr="007C3AC1">
              <w:rPr>
                <w:sz w:val="20"/>
                <w:szCs w:val="20"/>
              </w:rPr>
              <w:t xml:space="preserve">Clinical </w:t>
            </w:r>
            <w:proofErr w:type="spellStart"/>
            <w:r w:rsidRPr="007C3AC1">
              <w:rPr>
                <w:sz w:val="20"/>
                <w:szCs w:val="20"/>
              </w:rPr>
              <w:t>Document</w:t>
            </w:r>
            <w:proofErr w:type="spellEnd"/>
            <w:r w:rsidRPr="007C3AC1">
              <w:rPr>
                <w:sz w:val="20"/>
                <w:szCs w:val="20"/>
              </w:rPr>
              <w:t xml:space="preserve"> </w:t>
            </w:r>
            <w:proofErr w:type="spellStart"/>
            <w:r w:rsidRPr="007C3AC1">
              <w:rPr>
                <w:sz w:val="20"/>
                <w:szCs w:val="20"/>
              </w:rPr>
              <w:t>Architecture</w:t>
            </w:r>
            <w:proofErr w:type="spellEnd"/>
            <w:r w:rsidRPr="007C3AC1">
              <w:rPr>
                <w:sz w:val="20"/>
                <w:szCs w:val="20"/>
              </w:rPr>
              <w:t> </w:t>
            </w:r>
          </w:p>
        </w:tc>
        <w:tc>
          <w:tcPr>
            <w:tcW w:w="1843" w:type="dxa"/>
            <w:hideMark/>
          </w:tcPr>
          <w:p w:rsidR="001A116C" w:rsidRPr="007C3AC1" w:rsidRDefault="001A116C" w:rsidP="00CA11E6">
            <w:pPr>
              <w:rPr>
                <w:sz w:val="20"/>
                <w:szCs w:val="20"/>
              </w:rPr>
            </w:pPr>
            <w:proofErr w:type="spellStart"/>
            <w:r w:rsidRPr="007C3AC1">
              <w:rPr>
                <w:sz w:val="20"/>
                <w:szCs w:val="20"/>
              </w:rPr>
              <w:t>Health</w:t>
            </w:r>
            <w:proofErr w:type="spellEnd"/>
            <w:r w:rsidRPr="007C3AC1">
              <w:rPr>
                <w:sz w:val="20"/>
                <w:szCs w:val="20"/>
              </w:rPr>
              <w:t xml:space="preserve"> Level 7</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Information model to describe  and exchange clinical documents </w:t>
            </w:r>
          </w:p>
        </w:tc>
      </w:tr>
      <w:tr w:rsidR="001A116C" w:rsidRPr="001111DB" w:rsidTr="00CA11E6">
        <w:trPr>
          <w:trHeight w:val="1740"/>
        </w:trPr>
        <w:tc>
          <w:tcPr>
            <w:tcW w:w="1129" w:type="dxa"/>
            <w:hideMark/>
          </w:tcPr>
          <w:p w:rsidR="001A116C" w:rsidRPr="007C3AC1" w:rsidRDefault="001A116C" w:rsidP="00CA11E6">
            <w:pPr>
              <w:rPr>
                <w:b/>
                <w:bCs/>
                <w:sz w:val="20"/>
                <w:szCs w:val="20"/>
              </w:rPr>
            </w:pPr>
            <w:r w:rsidRPr="007C3AC1">
              <w:rPr>
                <w:b/>
                <w:bCs/>
                <w:sz w:val="20"/>
                <w:szCs w:val="20"/>
              </w:rPr>
              <w:t>GA4GH AAI</w:t>
            </w:r>
          </w:p>
        </w:tc>
        <w:tc>
          <w:tcPr>
            <w:tcW w:w="1701" w:type="dxa"/>
            <w:hideMark/>
          </w:tcPr>
          <w:p w:rsidR="001A116C" w:rsidRPr="007C3AC1" w:rsidRDefault="001A116C" w:rsidP="00CA11E6">
            <w:pPr>
              <w:rPr>
                <w:sz w:val="20"/>
                <w:szCs w:val="20"/>
              </w:rPr>
            </w:pPr>
            <w:r w:rsidRPr="007C3AC1">
              <w:rPr>
                <w:sz w:val="20"/>
                <w:szCs w:val="20"/>
              </w:rPr>
              <w:t xml:space="preserve">Authentication &amp; </w:t>
            </w:r>
            <w:proofErr w:type="spellStart"/>
            <w:r w:rsidRPr="007C3AC1">
              <w:rPr>
                <w:sz w:val="20"/>
                <w:szCs w:val="20"/>
              </w:rPr>
              <w:t>Authorization</w:t>
            </w:r>
            <w:proofErr w:type="spellEnd"/>
            <w:r w:rsidRPr="007C3AC1">
              <w:rPr>
                <w:sz w:val="20"/>
                <w:szCs w:val="20"/>
              </w:rPr>
              <w:t xml:space="preserve"> Infrastructure</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The standard specification leverages </w:t>
            </w:r>
            <w:proofErr w:type="spellStart"/>
            <w:r w:rsidRPr="007C3AC1">
              <w:rPr>
                <w:sz w:val="20"/>
                <w:szCs w:val="20"/>
                <w:lang w:val="en-US"/>
              </w:rPr>
              <w:t>OpenID</w:t>
            </w:r>
            <w:proofErr w:type="spellEnd"/>
            <w:r w:rsidRPr="007C3AC1">
              <w:rPr>
                <w:sz w:val="20"/>
                <w:szCs w:val="20"/>
                <w:lang w:val="en-US"/>
              </w:rPr>
              <w:t xml:space="preserve"> Connect (OIDC) Servers for use in authenticating the identity of researchers desiring to access clinical and genomic resources from data holders adhering to GA4GH standards, and to enable data holders to obtain security-related attributes of those researchers.</w:t>
            </w:r>
          </w:p>
        </w:tc>
      </w:tr>
      <w:tr w:rsidR="001A116C" w:rsidRPr="001111DB" w:rsidTr="00CA11E6">
        <w:trPr>
          <w:trHeight w:val="2030"/>
        </w:trPr>
        <w:tc>
          <w:tcPr>
            <w:tcW w:w="1129" w:type="dxa"/>
            <w:hideMark/>
          </w:tcPr>
          <w:p w:rsidR="001A116C" w:rsidRPr="007C3AC1" w:rsidRDefault="001A116C" w:rsidP="00CA11E6">
            <w:pPr>
              <w:rPr>
                <w:b/>
                <w:bCs/>
                <w:sz w:val="20"/>
                <w:szCs w:val="20"/>
              </w:rPr>
            </w:pPr>
            <w:r w:rsidRPr="007C3AC1">
              <w:rPr>
                <w:b/>
                <w:bCs/>
                <w:sz w:val="20"/>
                <w:szCs w:val="20"/>
              </w:rPr>
              <w:t xml:space="preserve">GA4GH </w:t>
            </w:r>
            <w:proofErr w:type="spellStart"/>
            <w:r w:rsidRPr="007C3AC1">
              <w:rPr>
                <w:b/>
                <w:bCs/>
                <w:sz w:val="20"/>
                <w:szCs w:val="20"/>
              </w:rPr>
              <w:t>Passports</w:t>
            </w:r>
            <w:proofErr w:type="spellEnd"/>
          </w:p>
        </w:tc>
        <w:tc>
          <w:tcPr>
            <w:tcW w:w="1701" w:type="dxa"/>
            <w:hideMark/>
          </w:tcPr>
          <w:p w:rsidR="001A116C" w:rsidRPr="007C3AC1" w:rsidRDefault="001A116C" w:rsidP="00CA11E6">
            <w:pPr>
              <w:rPr>
                <w:sz w:val="20"/>
                <w:szCs w:val="20"/>
              </w:rPr>
            </w:pPr>
            <w:r w:rsidRPr="007C3AC1">
              <w:rPr>
                <w:sz w:val="20"/>
                <w:szCs w:val="20"/>
              </w:rPr>
              <w:t xml:space="preserve">GA4GH </w:t>
            </w:r>
            <w:proofErr w:type="spellStart"/>
            <w:r w:rsidRPr="007C3AC1">
              <w:rPr>
                <w:sz w:val="20"/>
                <w:szCs w:val="20"/>
              </w:rPr>
              <w:t>Passport</w:t>
            </w:r>
            <w:proofErr w:type="spellEnd"/>
            <w:r w:rsidRPr="007C3AC1">
              <w:rPr>
                <w:sz w:val="20"/>
                <w:szCs w:val="20"/>
              </w:rPr>
              <w:t xml:space="preserve"> </w:t>
            </w:r>
            <w:proofErr w:type="spellStart"/>
            <w:r w:rsidRPr="007C3AC1">
              <w:rPr>
                <w:sz w:val="20"/>
                <w:szCs w:val="20"/>
              </w:rPr>
              <w:t>specification</w:t>
            </w:r>
            <w:proofErr w:type="spellEnd"/>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The GA4GH Passport specification aims to support data access policies within current and evolving </w:t>
            </w:r>
            <w:proofErr w:type="gramStart"/>
            <w:r w:rsidRPr="007C3AC1">
              <w:rPr>
                <w:sz w:val="20"/>
                <w:szCs w:val="20"/>
                <w:lang w:val="en-US"/>
              </w:rPr>
              <w:t>data access governance systems</w:t>
            </w:r>
            <w:proofErr w:type="gramEnd"/>
            <w:r w:rsidRPr="007C3AC1">
              <w:rPr>
                <w:sz w:val="20"/>
                <w:szCs w:val="20"/>
                <w:lang w:val="en-US"/>
              </w:rPr>
              <w:t>. This specification defines Passports and Passport Visas as the standard way of communicating the data access authorizations that a user has based on either their role (e.g. researcher), affiliation, or access status.</w:t>
            </w:r>
          </w:p>
        </w:tc>
      </w:tr>
      <w:tr w:rsidR="001A116C" w:rsidRPr="001111DB" w:rsidTr="00CA11E6">
        <w:trPr>
          <w:trHeight w:val="2320"/>
        </w:trPr>
        <w:tc>
          <w:tcPr>
            <w:tcW w:w="1129" w:type="dxa"/>
            <w:hideMark/>
          </w:tcPr>
          <w:p w:rsidR="001A116C" w:rsidRPr="007C3AC1" w:rsidRDefault="001A116C" w:rsidP="00CA11E6">
            <w:pPr>
              <w:rPr>
                <w:b/>
                <w:bCs/>
                <w:sz w:val="20"/>
                <w:szCs w:val="20"/>
              </w:rPr>
            </w:pPr>
            <w:r w:rsidRPr="007C3AC1">
              <w:rPr>
                <w:b/>
                <w:bCs/>
                <w:sz w:val="20"/>
                <w:szCs w:val="20"/>
              </w:rPr>
              <w:t>GA4GH DRS</w:t>
            </w:r>
          </w:p>
        </w:tc>
        <w:tc>
          <w:tcPr>
            <w:tcW w:w="1701" w:type="dxa"/>
            <w:hideMark/>
          </w:tcPr>
          <w:p w:rsidR="001A116C" w:rsidRPr="007C3AC1" w:rsidRDefault="001A116C" w:rsidP="00CA11E6">
            <w:pPr>
              <w:rPr>
                <w:sz w:val="20"/>
                <w:szCs w:val="20"/>
                <w:lang w:val="en-US"/>
              </w:rPr>
            </w:pPr>
            <w:r w:rsidRPr="007C3AC1">
              <w:rPr>
                <w:sz w:val="20"/>
                <w:szCs w:val="20"/>
                <w:lang w:val="en-US"/>
              </w:rPr>
              <w:t>Data Repository Service (DRS) API</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Standard for building data repositories and adapting access tools to work with those repositories, works with other approved APIs from the GA4GH Cloud Work Stream to allow researchers to discover algorithms across different cloud environments and send them to datasets they wish to analyze. The API allows data consumers to access datasets regardless of the repository in which they are stored or managed.</w:t>
            </w:r>
          </w:p>
        </w:tc>
      </w:tr>
      <w:tr w:rsidR="001A116C" w:rsidRPr="001111DB" w:rsidTr="00CA11E6">
        <w:trPr>
          <w:trHeight w:val="4060"/>
        </w:trPr>
        <w:tc>
          <w:tcPr>
            <w:tcW w:w="1129" w:type="dxa"/>
            <w:hideMark/>
          </w:tcPr>
          <w:p w:rsidR="001A116C" w:rsidRPr="007C3AC1" w:rsidRDefault="001A116C" w:rsidP="00CA11E6">
            <w:pPr>
              <w:rPr>
                <w:b/>
                <w:bCs/>
                <w:sz w:val="20"/>
                <w:szCs w:val="20"/>
              </w:rPr>
            </w:pPr>
            <w:proofErr w:type="spellStart"/>
            <w:r w:rsidRPr="007C3AC1">
              <w:rPr>
                <w:b/>
                <w:bCs/>
                <w:sz w:val="20"/>
                <w:szCs w:val="20"/>
              </w:rPr>
              <w:t>Beacon</w:t>
            </w:r>
            <w:proofErr w:type="spellEnd"/>
            <w:r w:rsidRPr="007C3AC1">
              <w:rPr>
                <w:b/>
                <w:bCs/>
                <w:sz w:val="20"/>
                <w:szCs w:val="20"/>
              </w:rPr>
              <w:t xml:space="preserve"> API</w:t>
            </w:r>
          </w:p>
        </w:tc>
        <w:tc>
          <w:tcPr>
            <w:tcW w:w="1701" w:type="dxa"/>
            <w:hideMark/>
          </w:tcPr>
          <w:p w:rsidR="001A116C" w:rsidRPr="007C3AC1" w:rsidRDefault="001A116C" w:rsidP="00CA11E6">
            <w:pPr>
              <w:rPr>
                <w:sz w:val="20"/>
                <w:szCs w:val="20"/>
              </w:rPr>
            </w:pPr>
            <w:proofErr w:type="spellStart"/>
            <w:r w:rsidRPr="007C3AC1">
              <w:rPr>
                <w:sz w:val="20"/>
                <w:szCs w:val="20"/>
              </w:rPr>
              <w:t>Beacon</w:t>
            </w:r>
            <w:proofErr w:type="spellEnd"/>
            <w:r w:rsidRPr="007C3AC1">
              <w:rPr>
                <w:sz w:val="20"/>
                <w:szCs w:val="20"/>
              </w:rPr>
              <w:t xml:space="preserve"> API</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The Beacon API </w:t>
            </w:r>
            <w:proofErr w:type="gramStart"/>
            <w:r w:rsidRPr="007C3AC1">
              <w:rPr>
                <w:sz w:val="20"/>
                <w:szCs w:val="20"/>
                <w:lang w:val="en-US"/>
              </w:rPr>
              <w:t>can be implemented</w:t>
            </w:r>
            <w:proofErr w:type="gramEnd"/>
            <w:r w:rsidRPr="007C3AC1">
              <w:rPr>
                <w:sz w:val="20"/>
                <w:szCs w:val="20"/>
                <w:lang w:val="en-US"/>
              </w:rPr>
              <w:t xml:space="preserve"> as a web-accessible service that users may query for information about a specific allele. A user of a Beacon can pose the query “Have you observed this nucleotide (e.g. C) at this genomic location (e.g. position 32,936,732 on chromosome 13)?” to which the Beacon responds with either “yes” or “no”. The new release of the Beacon API extends its functionality through support for additional types of genomic variants and improved metadata support. Additionally, the accompanying ELIXIR Beacon reference implementation demonstrates ELIXIR Authorization and Authentication Infrastructure (AAI), enabling data owners to light Beacons at different tiers of data access: public, registered, or controlled.</w:t>
            </w:r>
          </w:p>
        </w:tc>
      </w:tr>
      <w:tr w:rsidR="001A116C" w:rsidRPr="001111DB" w:rsidTr="00CA11E6">
        <w:trPr>
          <w:trHeight w:val="1450"/>
        </w:trPr>
        <w:tc>
          <w:tcPr>
            <w:tcW w:w="1129" w:type="dxa"/>
            <w:hideMark/>
          </w:tcPr>
          <w:p w:rsidR="001A116C" w:rsidRPr="007C3AC1" w:rsidRDefault="001A116C" w:rsidP="00CA11E6">
            <w:pPr>
              <w:rPr>
                <w:b/>
                <w:bCs/>
                <w:sz w:val="20"/>
                <w:szCs w:val="20"/>
              </w:rPr>
            </w:pPr>
            <w:r w:rsidRPr="007C3AC1">
              <w:rPr>
                <w:b/>
                <w:bCs/>
                <w:sz w:val="20"/>
                <w:szCs w:val="20"/>
              </w:rPr>
              <w:t>Data Connect API</w:t>
            </w:r>
          </w:p>
        </w:tc>
        <w:tc>
          <w:tcPr>
            <w:tcW w:w="1701" w:type="dxa"/>
            <w:hideMark/>
          </w:tcPr>
          <w:p w:rsidR="001A116C" w:rsidRPr="007C3AC1" w:rsidRDefault="001A116C" w:rsidP="00CA11E6">
            <w:pPr>
              <w:rPr>
                <w:sz w:val="20"/>
                <w:szCs w:val="20"/>
              </w:rPr>
            </w:pPr>
            <w:r w:rsidRPr="007C3AC1">
              <w:rPr>
                <w:sz w:val="20"/>
                <w:szCs w:val="20"/>
              </w:rPr>
              <w:t>Data Connect API</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A standard for the discovery and search of biomedical data, developed by the GA4GH Discovery Work Stream. The standard provides a mechanism for describing data and its underlying data model, as well as the ability to search the data with the given data model.</w:t>
            </w:r>
          </w:p>
        </w:tc>
      </w:tr>
      <w:tr w:rsidR="001A116C" w:rsidRPr="001111DB" w:rsidTr="00CA11E6">
        <w:trPr>
          <w:trHeight w:val="2610"/>
        </w:trPr>
        <w:tc>
          <w:tcPr>
            <w:tcW w:w="1129" w:type="dxa"/>
            <w:hideMark/>
          </w:tcPr>
          <w:p w:rsidR="001A116C" w:rsidRPr="007C3AC1" w:rsidRDefault="001A116C" w:rsidP="00CA11E6">
            <w:pPr>
              <w:rPr>
                <w:b/>
                <w:bCs/>
                <w:sz w:val="20"/>
                <w:szCs w:val="20"/>
              </w:rPr>
            </w:pPr>
            <w:r w:rsidRPr="007C3AC1">
              <w:rPr>
                <w:b/>
                <w:bCs/>
                <w:sz w:val="20"/>
                <w:szCs w:val="20"/>
              </w:rPr>
              <w:t>GA4GH TES</w:t>
            </w:r>
          </w:p>
        </w:tc>
        <w:tc>
          <w:tcPr>
            <w:tcW w:w="1701" w:type="dxa"/>
            <w:hideMark/>
          </w:tcPr>
          <w:p w:rsidR="001A116C" w:rsidRPr="007C3AC1" w:rsidRDefault="001A116C" w:rsidP="00CA11E6">
            <w:pPr>
              <w:rPr>
                <w:sz w:val="20"/>
                <w:szCs w:val="20"/>
                <w:lang w:val="en-US"/>
              </w:rPr>
            </w:pPr>
            <w:r w:rsidRPr="007C3AC1">
              <w:rPr>
                <w:sz w:val="20"/>
                <w:szCs w:val="20"/>
                <w:lang w:val="en-US"/>
              </w:rPr>
              <w:t>Task Execution Service (TES) API</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The standard defines a schema and API for describing batch execution tasks. A task defines a set of input files, a set of (Docker) containers and commands to run, a set of output files, and some other logging and metadata. The TES API supports greater genomic and health data sharing by providing greater flexibility in bringing computation to data and enabling execution of workflows spanning multiple institutions and infrastructures.</w:t>
            </w:r>
          </w:p>
        </w:tc>
      </w:tr>
      <w:tr w:rsidR="001A116C" w:rsidRPr="001111DB" w:rsidTr="00CA11E6">
        <w:trPr>
          <w:trHeight w:val="2320"/>
        </w:trPr>
        <w:tc>
          <w:tcPr>
            <w:tcW w:w="1129" w:type="dxa"/>
            <w:hideMark/>
          </w:tcPr>
          <w:p w:rsidR="001A116C" w:rsidRPr="007C3AC1" w:rsidRDefault="001A116C" w:rsidP="00CA11E6">
            <w:pPr>
              <w:rPr>
                <w:b/>
                <w:bCs/>
                <w:sz w:val="20"/>
                <w:szCs w:val="20"/>
              </w:rPr>
            </w:pPr>
            <w:proofErr w:type="spellStart"/>
            <w:r w:rsidRPr="007C3AC1">
              <w:rPr>
                <w:b/>
                <w:bCs/>
                <w:sz w:val="20"/>
                <w:szCs w:val="20"/>
              </w:rPr>
              <w:t>Machine</w:t>
            </w:r>
            <w:proofErr w:type="spellEnd"/>
            <w:r w:rsidRPr="007C3AC1">
              <w:rPr>
                <w:b/>
                <w:bCs/>
                <w:sz w:val="20"/>
                <w:szCs w:val="20"/>
              </w:rPr>
              <w:t xml:space="preserve"> </w:t>
            </w:r>
            <w:proofErr w:type="spellStart"/>
            <w:r w:rsidRPr="007C3AC1">
              <w:rPr>
                <w:b/>
                <w:bCs/>
                <w:sz w:val="20"/>
                <w:szCs w:val="20"/>
              </w:rPr>
              <w:t>Readable</w:t>
            </w:r>
            <w:proofErr w:type="spellEnd"/>
            <w:r w:rsidRPr="007C3AC1">
              <w:rPr>
                <w:b/>
                <w:bCs/>
                <w:sz w:val="20"/>
                <w:szCs w:val="20"/>
              </w:rPr>
              <w:t xml:space="preserve"> </w:t>
            </w:r>
            <w:proofErr w:type="spellStart"/>
            <w:r w:rsidRPr="007C3AC1">
              <w:rPr>
                <w:b/>
                <w:bCs/>
                <w:sz w:val="20"/>
                <w:szCs w:val="20"/>
              </w:rPr>
              <w:t>Consent</w:t>
            </w:r>
            <w:proofErr w:type="spellEnd"/>
            <w:r w:rsidRPr="007C3AC1">
              <w:rPr>
                <w:b/>
                <w:bCs/>
                <w:sz w:val="20"/>
                <w:szCs w:val="20"/>
              </w:rPr>
              <w:t xml:space="preserve"> </w:t>
            </w:r>
            <w:proofErr w:type="spellStart"/>
            <w:r w:rsidRPr="007C3AC1">
              <w:rPr>
                <w:b/>
                <w:bCs/>
                <w:sz w:val="20"/>
                <w:szCs w:val="20"/>
              </w:rPr>
              <w:t>Guidance</w:t>
            </w:r>
            <w:proofErr w:type="spellEnd"/>
          </w:p>
        </w:tc>
        <w:tc>
          <w:tcPr>
            <w:tcW w:w="1701" w:type="dxa"/>
            <w:hideMark/>
          </w:tcPr>
          <w:p w:rsidR="001A116C" w:rsidRPr="007C3AC1" w:rsidRDefault="001A116C" w:rsidP="00CA11E6">
            <w:pPr>
              <w:rPr>
                <w:sz w:val="20"/>
                <w:szCs w:val="20"/>
                <w:lang w:val="en-US"/>
              </w:rPr>
            </w:pPr>
            <w:r w:rsidRPr="007C3AC1">
              <w:rPr>
                <w:sz w:val="20"/>
                <w:szCs w:val="20"/>
                <w:lang w:val="en-US"/>
              </w:rPr>
              <w:t>GA4GH Machine Readable Consent Guidance</w:t>
            </w:r>
          </w:p>
        </w:tc>
        <w:tc>
          <w:tcPr>
            <w:tcW w:w="1843" w:type="dxa"/>
            <w:hideMark/>
          </w:tcPr>
          <w:p w:rsidR="001A116C" w:rsidRPr="007C3AC1" w:rsidRDefault="001A116C" w:rsidP="00CA11E6">
            <w:pPr>
              <w:rPr>
                <w:sz w:val="20"/>
                <w:szCs w:val="20"/>
              </w:rPr>
            </w:pPr>
            <w:r w:rsidRPr="007C3AC1">
              <w:rPr>
                <w:sz w:val="20"/>
                <w:szCs w:val="20"/>
              </w:rPr>
              <w:t>GA4GH</w:t>
            </w:r>
          </w:p>
        </w:tc>
        <w:tc>
          <w:tcPr>
            <w:tcW w:w="1276" w:type="dxa"/>
            <w:hideMark/>
          </w:tcPr>
          <w:p w:rsidR="001A116C" w:rsidRPr="007C3AC1" w:rsidRDefault="001A116C" w:rsidP="00CA11E6">
            <w:pPr>
              <w:rPr>
                <w:sz w:val="20"/>
                <w:szCs w:val="20"/>
              </w:rPr>
            </w:pPr>
            <w:proofErr w:type="spellStart"/>
            <w:r w:rsidRPr="007C3AC1">
              <w:rPr>
                <w:sz w:val="20"/>
                <w:szCs w:val="20"/>
              </w:rPr>
              <w:t>Healthcare</w:t>
            </w:r>
            <w:proofErr w:type="spellEnd"/>
            <w:r w:rsidRPr="007C3AC1">
              <w:rPr>
                <w:sz w:val="20"/>
                <w:szCs w:val="20"/>
              </w:rPr>
              <w:t xml:space="preserve"> and </w:t>
            </w:r>
            <w:proofErr w:type="spellStart"/>
            <w:r w:rsidRPr="007C3AC1">
              <w:rPr>
                <w:sz w:val="20"/>
                <w:szCs w:val="20"/>
              </w:rPr>
              <w:t>research</w:t>
            </w:r>
            <w:proofErr w:type="spellEnd"/>
            <w:r w:rsidRPr="007C3AC1">
              <w:rPr>
                <w:sz w:val="20"/>
                <w:szCs w:val="20"/>
              </w:rPr>
              <w:t> </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The standard provides instructions for researchers integrate standard data sharing language into consent forms in a way that </w:t>
            </w:r>
            <w:proofErr w:type="gramStart"/>
            <w:r w:rsidRPr="007C3AC1">
              <w:rPr>
                <w:sz w:val="20"/>
                <w:szCs w:val="20"/>
                <w:lang w:val="en-US"/>
              </w:rPr>
              <w:t>is able to</w:t>
            </w:r>
            <w:proofErr w:type="gramEnd"/>
            <w:r w:rsidRPr="007C3AC1">
              <w:rPr>
                <w:sz w:val="20"/>
                <w:szCs w:val="20"/>
                <w:lang w:val="en-US"/>
              </w:rPr>
              <w:t xml:space="preserve"> be translated to a computable language. </w:t>
            </w:r>
            <w:proofErr w:type="gramStart"/>
            <w:r w:rsidRPr="007C3AC1">
              <w:rPr>
                <w:sz w:val="20"/>
                <w:szCs w:val="20"/>
                <w:lang w:val="en-US"/>
              </w:rPr>
              <w:t>Machine readable</w:t>
            </w:r>
            <w:proofErr w:type="gramEnd"/>
            <w:r w:rsidRPr="007C3AC1">
              <w:rPr>
                <w:sz w:val="20"/>
                <w:szCs w:val="20"/>
                <w:lang w:val="en-US"/>
              </w:rPr>
              <w:t xml:space="preserve"> consent language is able to be attached to datasets and stored in their descriptive data using DUO terms. Researchers can then search for datasets that </w:t>
            </w:r>
            <w:proofErr w:type="gramStart"/>
            <w:r w:rsidRPr="007C3AC1">
              <w:rPr>
                <w:sz w:val="20"/>
                <w:szCs w:val="20"/>
                <w:lang w:val="en-US"/>
              </w:rPr>
              <w:t>have been consented</w:t>
            </w:r>
            <w:proofErr w:type="gramEnd"/>
            <w:r w:rsidRPr="007C3AC1">
              <w:rPr>
                <w:sz w:val="20"/>
                <w:szCs w:val="20"/>
                <w:lang w:val="en-US"/>
              </w:rPr>
              <w:t xml:space="preserve"> to for their research purposes.</w:t>
            </w:r>
          </w:p>
        </w:tc>
      </w:tr>
      <w:tr w:rsidR="001A116C" w:rsidRPr="001111DB" w:rsidTr="00CA11E6">
        <w:trPr>
          <w:trHeight w:val="1450"/>
        </w:trPr>
        <w:tc>
          <w:tcPr>
            <w:tcW w:w="1129" w:type="dxa"/>
            <w:hideMark/>
          </w:tcPr>
          <w:p w:rsidR="001A116C" w:rsidRPr="007C3AC1" w:rsidRDefault="001A116C" w:rsidP="00CA11E6">
            <w:pPr>
              <w:rPr>
                <w:b/>
                <w:bCs/>
                <w:sz w:val="20"/>
                <w:szCs w:val="20"/>
              </w:rPr>
            </w:pPr>
            <w:r w:rsidRPr="007C3AC1">
              <w:rPr>
                <w:b/>
                <w:bCs/>
                <w:sz w:val="20"/>
                <w:szCs w:val="20"/>
              </w:rPr>
              <w:t>MIABIS</w:t>
            </w:r>
          </w:p>
        </w:tc>
        <w:tc>
          <w:tcPr>
            <w:tcW w:w="1701" w:type="dxa"/>
            <w:hideMark/>
          </w:tcPr>
          <w:p w:rsidR="001A116C" w:rsidRPr="007C3AC1" w:rsidRDefault="001A116C" w:rsidP="00CA11E6">
            <w:pPr>
              <w:rPr>
                <w:sz w:val="20"/>
                <w:szCs w:val="20"/>
                <w:lang w:val="en-US"/>
              </w:rPr>
            </w:pPr>
            <w:r w:rsidRPr="007C3AC1">
              <w:rPr>
                <w:sz w:val="20"/>
                <w:szCs w:val="20"/>
                <w:lang w:val="en-US"/>
              </w:rPr>
              <w:t xml:space="preserve">Minimum Information About </w:t>
            </w:r>
            <w:proofErr w:type="spellStart"/>
            <w:r w:rsidRPr="007C3AC1">
              <w:rPr>
                <w:sz w:val="20"/>
                <w:szCs w:val="20"/>
                <w:lang w:val="en-US"/>
              </w:rPr>
              <w:t>BIobank</w:t>
            </w:r>
            <w:proofErr w:type="spellEnd"/>
            <w:r w:rsidRPr="007C3AC1">
              <w:rPr>
                <w:sz w:val="20"/>
                <w:szCs w:val="20"/>
                <w:lang w:val="en-US"/>
              </w:rPr>
              <w:t xml:space="preserve"> data Sharing</w:t>
            </w:r>
          </w:p>
        </w:tc>
        <w:tc>
          <w:tcPr>
            <w:tcW w:w="1843" w:type="dxa"/>
            <w:hideMark/>
          </w:tcPr>
          <w:p w:rsidR="001A116C" w:rsidRPr="007C3AC1" w:rsidRDefault="001A116C" w:rsidP="00CA11E6">
            <w:pPr>
              <w:rPr>
                <w:sz w:val="20"/>
                <w:szCs w:val="20"/>
              </w:rPr>
            </w:pPr>
            <w:r w:rsidRPr="007C3AC1">
              <w:rPr>
                <w:sz w:val="20"/>
                <w:szCs w:val="20"/>
              </w:rPr>
              <w:t>BBMRI-ERIC</w:t>
            </w:r>
          </w:p>
        </w:tc>
        <w:tc>
          <w:tcPr>
            <w:tcW w:w="1276" w:type="dxa"/>
            <w:hideMark/>
          </w:tcPr>
          <w:p w:rsidR="001A116C" w:rsidRPr="007C3AC1" w:rsidRDefault="001A116C" w:rsidP="00CA11E6">
            <w:pPr>
              <w:rPr>
                <w:sz w:val="20"/>
                <w:szCs w:val="20"/>
              </w:rPr>
            </w:pPr>
            <w:r w:rsidRPr="007C3AC1">
              <w:rPr>
                <w:sz w:val="20"/>
                <w:szCs w:val="20"/>
              </w:rPr>
              <w:t>Biobanking</w:t>
            </w:r>
          </w:p>
        </w:tc>
        <w:tc>
          <w:tcPr>
            <w:tcW w:w="1134" w:type="dxa"/>
            <w:noWrap/>
            <w:hideMark/>
          </w:tcPr>
          <w:p w:rsidR="001A116C" w:rsidRPr="007C3AC1" w:rsidRDefault="001A116C" w:rsidP="00CA11E6">
            <w:pPr>
              <w:jc w:val="center"/>
              <w:rPr>
                <w:sz w:val="20"/>
                <w:szCs w:val="20"/>
              </w:rPr>
            </w:pPr>
            <w:r w:rsidRPr="007C3AC1">
              <w:rPr>
                <w:sz w:val="20"/>
                <w:szCs w:val="20"/>
              </w:rPr>
              <w:t>x</w:t>
            </w:r>
          </w:p>
        </w:tc>
        <w:tc>
          <w:tcPr>
            <w:tcW w:w="992" w:type="dxa"/>
            <w:noWrap/>
            <w:hideMark/>
          </w:tcPr>
          <w:p w:rsidR="001A116C" w:rsidRPr="007C3AC1" w:rsidRDefault="001A116C" w:rsidP="00CA11E6">
            <w:pPr>
              <w:jc w:val="center"/>
              <w:rPr>
                <w:sz w:val="20"/>
                <w:szCs w:val="20"/>
              </w:rPr>
            </w:pPr>
            <w:r w:rsidRPr="007C3AC1">
              <w:rPr>
                <w:sz w:val="20"/>
                <w:szCs w:val="20"/>
              </w:rPr>
              <w:t>-</w:t>
            </w:r>
          </w:p>
        </w:tc>
        <w:tc>
          <w:tcPr>
            <w:tcW w:w="1276" w:type="dxa"/>
            <w:noWrap/>
            <w:hideMark/>
          </w:tcPr>
          <w:p w:rsidR="001A116C" w:rsidRPr="007C3AC1" w:rsidRDefault="001A116C" w:rsidP="00CA11E6">
            <w:pPr>
              <w:jc w:val="center"/>
              <w:rPr>
                <w:sz w:val="20"/>
                <w:szCs w:val="20"/>
              </w:rPr>
            </w:pPr>
            <w:r w:rsidRPr="007C3AC1">
              <w:rPr>
                <w:sz w:val="20"/>
                <w:szCs w:val="20"/>
              </w:rPr>
              <w:t>x</w:t>
            </w:r>
          </w:p>
        </w:tc>
        <w:tc>
          <w:tcPr>
            <w:tcW w:w="1276" w:type="dxa"/>
            <w:noWrap/>
            <w:hideMark/>
          </w:tcPr>
          <w:p w:rsidR="001A116C" w:rsidRPr="007C3AC1" w:rsidRDefault="001A116C" w:rsidP="00CA11E6">
            <w:pPr>
              <w:jc w:val="center"/>
              <w:rPr>
                <w:sz w:val="20"/>
                <w:szCs w:val="20"/>
              </w:rPr>
            </w:pPr>
            <w:r w:rsidRPr="007C3AC1">
              <w:rPr>
                <w:sz w:val="20"/>
                <w:szCs w:val="20"/>
              </w:rPr>
              <w:t>-</w:t>
            </w:r>
          </w:p>
        </w:tc>
        <w:tc>
          <w:tcPr>
            <w:tcW w:w="5103" w:type="dxa"/>
            <w:gridSpan w:val="2"/>
            <w:hideMark/>
          </w:tcPr>
          <w:p w:rsidR="001A116C" w:rsidRPr="007C3AC1" w:rsidRDefault="001A116C" w:rsidP="00CA11E6">
            <w:pPr>
              <w:jc w:val="both"/>
              <w:rPr>
                <w:sz w:val="20"/>
                <w:szCs w:val="20"/>
                <w:lang w:val="en-US"/>
              </w:rPr>
            </w:pPr>
            <w:r w:rsidRPr="007C3AC1">
              <w:rPr>
                <w:sz w:val="20"/>
                <w:szCs w:val="20"/>
                <w:lang w:val="en-US"/>
              </w:rPr>
              <w:t xml:space="preserve">MIABIS aims to standardize data elements used to describe biobanks, research on samples and associated data. The MIABIS Community Standards work on several granularity levels, with the aim to support interoperability between biobanks sharing their data. </w:t>
            </w:r>
          </w:p>
        </w:tc>
      </w:tr>
    </w:tbl>
    <w:p w:rsidR="001A116C" w:rsidRDefault="001A116C" w:rsidP="001A116C">
      <w:pPr>
        <w:rPr>
          <w:sz w:val="20"/>
          <w:szCs w:val="20"/>
          <w:lang w:val="en-US"/>
        </w:rPr>
      </w:pPr>
    </w:p>
    <w:p w:rsidR="001A116C" w:rsidRPr="00CA6816" w:rsidRDefault="001A116C" w:rsidP="001A116C">
      <w:pPr>
        <w:rPr>
          <w:sz w:val="20"/>
          <w:szCs w:val="20"/>
          <w:lang w:val="en-US"/>
        </w:rPr>
      </w:pPr>
      <w:r w:rsidRPr="00CA6816">
        <w:rPr>
          <w:sz w:val="20"/>
          <w:szCs w:val="20"/>
          <w:lang w:val="en-US"/>
        </w:rPr>
        <w:t>*extent of analysis is dependent on FHIR Server</w:t>
      </w:r>
    </w:p>
    <w:p w:rsidR="001A116C" w:rsidRDefault="001A116C" w:rsidP="001A116C">
      <w:pPr>
        <w:rPr>
          <w:lang w:val="en-US"/>
        </w:rPr>
      </w:pPr>
    </w:p>
    <w:p w:rsidR="00AE5B48" w:rsidRPr="001A116C" w:rsidRDefault="00AE5B48">
      <w:pPr>
        <w:rPr>
          <w:lang w:val="en-US"/>
        </w:rPr>
      </w:pPr>
    </w:p>
    <w:sectPr w:rsidR="00AE5B48" w:rsidRPr="001A116C" w:rsidSect="001A11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C"/>
    <w:rsid w:val="001A116C"/>
    <w:rsid w:val="00AE5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52934-89E4-441B-835C-13DEC76C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116C"/>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A116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Listenabsatz"/>
    <w:next w:val="Standard"/>
    <w:uiPriority w:val="35"/>
    <w:unhideWhenUsed/>
    <w:qFormat/>
    <w:rsid w:val="001A116C"/>
    <w:pPr>
      <w:spacing w:line="360" w:lineRule="auto"/>
      <w:ind w:left="360"/>
      <w:jc w:val="both"/>
    </w:pPr>
    <w:rPr>
      <w:rFonts w:eastAsia="Times New Roman" w:cs="Times New Roman"/>
      <w:b/>
      <w:lang w:val="en-US"/>
    </w:rPr>
  </w:style>
  <w:style w:type="paragraph" w:styleId="Listenabsatz">
    <w:name w:val="List Paragraph"/>
    <w:basedOn w:val="Standard"/>
    <w:uiPriority w:val="34"/>
    <w:qFormat/>
    <w:rsid w:val="001A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6366B6115821498F44ABDA06810297" ma:contentTypeVersion="16" ma:contentTypeDescription="Ein neues Dokument erstellen." ma:contentTypeScope="" ma:versionID="1715c0d980bea416d476cbe62d1ddf6a">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e5b40e3d9e6a771deae56420ce44fb43"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624B9A-F5D7-4354-BA92-A9B54558B7F4}"/>
</file>

<file path=customXml/itemProps2.xml><?xml version="1.0" encoding="utf-8"?>
<ds:datastoreItem xmlns:ds="http://schemas.openxmlformats.org/officeDocument/2006/customXml" ds:itemID="{CB354268-62BB-4B2B-8D8F-0D11FE760556}"/>
</file>

<file path=customXml/itemProps3.xml><?xml version="1.0" encoding="utf-8"?>
<ds:datastoreItem xmlns:ds="http://schemas.openxmlformats.org/officeDocument/2006/customXml" ds:itemID="{48B6828F-2062-495A-B19D-78420C8CD960}"/>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5683</Characters>
  <Application>Microsoft Office Word</Application>
  <DocSecurity>0</DocSecurity>
  <Lines>47</Lines>
  <Paragraphs>13</Paragraphs>
  <ScaleCrop>false</ScaleCrop>
  <Company>Charité Universitaetsmedizin Berlin</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Vorisek, Carina Nina</dc:creator>
  <cp:keywords/>
  <dc:description/>
  <cp:lastModifiedBy>Vorisek, Carina Nina</cp:lastModifiedBy>
  <cp:revision>1</cp:revision>
  <dcterms:created xsi:type="dcterms:W3CDTF">2022-10-10T10:06:00Z</dcterms:created>
  <dcterms:modified xsi:type="dcterms:W3CDTF">2022-10-10T10:08:00Z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ies>
</file>