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AE" w:rsidRPr="00D2665E" w:rsidRDefault="008B19AE" w:rsidP="008B19AE">
      <w:pPr>
        <w:pStyle w:val="Beschriftung"/>
        <w:ind w:left="0"/>
      </w:pPr>
      <w:bookmarkStart w:id="0" w:name="_Toc88764551"/>
      <w:r w:rsidRPr="00180D43">
        <w:t xml:space="preserve">Table </w:t>
      </w:r>
      <w:r w:rsidRPr="00180D43">
        <w:fldChar w:fldCharType="begin"/>
      </w:r>
      <w:r w:rsidRPr="00180D43">
        <w:instrText xml:space="preserve"> SEQ Table \* ARABIC </w:instrText>
      </w:r>
      <w:r w:rsidRPr="00180D43">
        <w:fldChar w:fldCharType="separate"/>
      </w:r>
      <w:r>
        <w:rPr>
          <w:noProof/>
        </w:rPr>
        <w:t>4</w:t>
      </w:r>
      <w:r w:rsidRPr="00180D43">
        <w:fldChar w:fldCharType="end"/>
      </w:r>
      <w:r w:rsidRPr="00180D43">
        <w:t>. Identified global semantic standards</w:t>
      </w:r>
      <w:bookmarkEnd w:id="0"/>
    </w:p>
    <w:tbl>
      <w:tblPr>
        <w:tblStyle w:val="Tabellenraster"/>
        <w:tblW w:w="15730" w:type="dxa"/>
        <w:tblLayout w:type="fixed"/>
        <w:tblLook w:val="04A0" w:firstRow="1" w:lastRow="0" w:firstColumn="1" w:lastColumn="0" w:noHBand="0" w:noVBand="1"/>
      </w:tblPr>
      <w:tblGrid>
        <w:gridCol w:w="1271"/>
        <w:gridCol w:w="2603"/>
        <w:gridCol w:w="2075"/>
        <w:gridCol w:w="1843"/>
        <w:gridCol w:w="1842"/>
        <w:gridCol w:w="6096"/>
      </w:tblGrid>
      <w:tr w:rsidR="008B19AE" w:rsidRPr="00353E30" w:rsidTr="00CA11E6">
        <w:trPr>
          <w:trHeight w:val="580"/>
          <w:tblHeader/>
        </w:trPr>
        <w:tc>
          <w:tcPr>
            <w:tcW w:w="1271" w:type="dxa"/>
            <w:vAlign w:val="center"/>
            <w:hideMark/>
          </w:tcPr>
          <w:p w:rsidR="008B19AE" w:rsidRPr="00353E30" w:rsidRDefault="008B19AE" w:rsidP="00CA11E6">
            <w:pPr>
              <w:jc w:val="center"/>
              <w:rPr>
                <w:rFonts w:cstheme="minorHAnsi"/>
                <w:b/>
                <w:bCs/>
                <w:sz w:val="20"/>
                <w:szCs w:val="20"/>
              </w:rPr>
            </w:pPr>
            <w:r w:rsidRPr="00353E30">
              <w:rPr>
                <w:rFonts w:cstheme="minorHAnsi"/>
                <w:b/>
                <w:bCs/>
                <w:sz w:val="20"/>
                <w:szCs w:val="20"/>
              </w:rPr>
              <w:t>Standard</w:t>
            </w:r>
          </w:p>
        </w:tc>
        <w:tc>
          <w:tcPr>
            <w:tcW w:w="2603" w:type="dxa"/>
            <w:vAlign w:val="center"/>
            <w:hideMark/>
          </w:tcPr>
          <w:p w:rsidR="008B19AE" w:rsidRPr="00353E30" w:rsidRDefault="008B19AE" w:rsidP="00CA11E6">
            <w:pPr>
              <w:jc w:val="center"/>
              <w:rPr>
                <w:rFonts w:cstheme="minorHAnsi"/>
                <w:b/>
                <w:bCs/>
                <w:sz w:val="20"/>
                <w:szCs w:val="20"/>
              </w:rPr>
            </w:pPr>
            <w:r w:rsidRPr="00353E30">
              <w:rPr>
                <w:rFonts w:cstheme="minorHAnsi"/>
                <w:b/>
                <w:bCs/>
                <w:sz w:val="20"/>
                <w:szCs w:val="20"/>
              </w:rPr>
              <w:t>Name</w:t>
            </w:r>
          </w:p>
        </w:tc>
        <w:tc>
          <w:tcPr>
            <w:tcW w:w="2075" w:type="dxa"/>
            <w:vAlign w:val="center"/>
            <w:hideMark/>
          </w:tcPr>
          <w:p w:rsidR="008B19AE" w:rsidRPr="00353E30" w:rsidRDefault="008B19AE" w:rsidP="00CA11E6">
            <w:pPr>
              <w:jc w:val="center"/>
              <w:rPr>
                <w:rFonts w:cstheme="minorHAnsi"/>
                <w:b/>
                <w:bCs/>
                <w:sz w:val="20"/>
                <w:szCs w:val="20"/>
              </w:rPr>
            </w:pPr>
            <w:proofErr w:type="spellStart"/>
            <w:r w:rsidRPr="00353E30">
              <w:rPr>
                <w:rFonts w:cstheme="minorHAnsi"/>
                <w:b/>
                <w:bCs/>
                <w:sz w:val="20"/>
                <w:szCs w:val="20"/>
              </w:rPr>
              <w:t>Organization</w:t>
            </w:r>
            <w:proofErr w:type="spellEnd"/>
          </w:p>
        </w:tc>
        <w:tc>
          <w:tcPr>
            <w:tcW w:w="1843" w:type="dxa"/>
            <w:vAlign w:val="center"/>
            <w:hideMark/>
          </w:tcPr>
          <w:p w:rsidR="008B19AE" w:rsidRPr="00353E30" w:rsidRDefault="008B19AE" w:rsidP="00CA11E6">
            <w:pPr>
              <w:jc w:val="center"/>
              <w:rPr>
                <w:rFonts w:cstheme="minorHAnsi"/>
                <w:b/>
                <w:bCs/>
                <w:sz w:val="20"/>
                <w:szCs w:val="20"/>
              </w:rPr>
            </w:pPr>
            <w:r w:rsidRPr="00353E30">
              <w:rPr>
                <w:rFonts w:cstheme="minorHAnsi"/>
                <w:b/>
                <w:bCs/>
                <w:sz w:val="20"/>
                <w:szCs w:val="20"/>
              </w:rPr>
              <w:t>Domain</w:t>
            </w:r>
          </w:p>
        </w:tc>
        <w:tc>
          <w:tcPr>
            <w:tcW w:w="1842" w:type="dxa"/>
            <w:vAlign w:val="center"/>
            <w:hideMark/>
          </w:tcPr>
          <w:p w:rsidR="008B19AE" w:rsidRPr="00353E30" w:rsidRDefault="008B19AE" w:rsidP="00CA11E6">
            <w:pPr>
              <w:jc w:val="center"/>
              <w:rPr>
                <w:rFonts w:cstheme="minorHAnsi"/>
                <w:b/>
                <w:bCs/>
                <w:sz w:val="20"/>
                <w:szCs w:val="20"/>
              </w:rPr>
            </w:pPr>
            <w:r w:rsidRPr="00353E30">
              <w:rPr>
                <w:rFonts w:cstheme="minorHAnsi"/>
                <w:b/>
                <w:bCs/>
                <w:sz w:val="20"/>
                <w:szCs w:val="20"/>
              </w:rPr>
              <w:t xml:space="preserve">Type of </w:t>
            </w:r>
            <w:proofErr w:type="spellStart"/>
            <w:r w:rsidRPr="00353E30">
              <w:rPr>
                <w:rFonts w:cstheme="minorHAnsi"/>
                <w:b/>
                <w:bCs/>
                <w:sz w:val="20"/>
                <w:szCs w:val="20"/>
              </w:rPr>
              <w:t>Semantic</w:t>
            </w:r>
            <w:proofErr w:type="spellEnd"/>
            <w:r w:rsidRPr="00353E30">
              <w:rPr>
                <w:rFonts w:cstheme="minorHAnsi"/>
                <w:b/>
                <w:bCs/>
                <w:sz w:val="20"/>
                <w:szCs w:val="20"/>
              </w:rPr>
              <w:t xml:space="preserve"> Standard</w:t>
            </w:r>
          </w:p>
        </w:tc>
        <w:tc>
          <w:tcPr>
            <w:tcW w:w="6096" w:type="dxa"/>
            <w:vAlign w:val="center"/>
            <w:hideMark/>
          </w:tcPr>
          <w:p w:rsidR="008B19AE" w:rsidRPr="00353E30" w:rsidRDefault="008B19AE" w:rsidP="00CA11E6">
            <w:pPr>
              <w:jc w:val="center"/>
              <w:rPr>
                <w:rFonts w:cstheme="minorHAnsi"/>
                <w:b/>
                <w:bCs/>
                <w:sz w:val="20"/>
                <w:szCs w:val="20"/>
              </w:rPr>
            </w:pPr>
            <w:r w:rsidRPr="00353E30">
              <w:rPr>
                <w:rFonts w:cstheme="minorHAnsi"/>
                <w:b/>
                <w:bCs/>
                <w:sz w:val="20"/>
                <w:szCs w:val="20"/>
              </w:rPr>
              <w:t>Goal</w:t>
            </w:r>
          </w:p>
        </w:tc>
      </w:tr>
      <w:tr w:rsidR="008B19AE" w:rsidRPr="00353E30" w:rsidTr="00CA11E6">
        <w:trPr>
          <w:trHeight w:val="1185"/>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LOINC ®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Logical Observation Identifiers Names and Codes </w:t>
            </w:r>
          </w:p>
        </w:tc>
        <w:tc>
          <w:tcPr>
            <w:tcW w:w="2075" w:type="dxa"/>
            <w:hideMark/>
          </w:tcPr>
          <w:p w:rsidR="008B19AE" w:rsidRPr="00353E30" w:rsidRDefault="008B19AE" w:rsidP="00CA11E6">
            <w:pPr>
              <w:rPr>
                <w:rFonts w:cstheme="minorHAnsi"/>
                <w:sz w:val="20"/>
                <w:szCs w:val="20"/>
              </w:rPr>
            </w:pPr>
            <w:proofErr w:type="spellStart"/>
            <w:r w:rsidRPr="00353E30">
              <w:rPr>
                <w:rFonts w:cstheme="minorHAnsi"/>
                <w:sz w:val="20"/>
                <w:szCs w:val="20"/>
              </w:rPr>
              <w:t>Regenstrief</w:t>
            </w:r>
            <w:proofErr w:type="spellEnd"/>
            <w:r w:rsidRPr="00353E30">
              <w:rPr>
                <w:rFonts w:cstheme="minorHAnsi"/>
                <w:sz w:val="20"/>
                <w:szCs w:val="20"/>
              </w:rPr>
              <w:t xml:space="preserve"> Institute</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Healthcare</w:t>
            </w:r>
            <w:proofErr w:type="spellEnd"/>
            <w:r w:rsidRPr="00353E30">
              <w:rPr>
                <w:rFonts w:cstheme="minorHAnsi"/>
                <w:sz w:val="20"/>
                <w:szCs w:val="20"/>
              </w:rPr>
              <w:t xml:space="preserve"> and </w:t>
            </w:r>
            <w:proofErr w:type="spellStart"/>
            <w:r w:rsidRPr="00353E30">
              <w:rPr>
                <w:rFonts w:cstheme="minorHAnsi"/>
                <w:sz w:val="20"/>
                <w:szCs w:val="20"/>
              </w:rPr>
              <w:t>research</w:t>
            </w:r>
            <w:proofErr w:type="spellEnd"/>
            <w:r w:rsidRPr="00353E30">
              <w:rPr>
                <w:rFonts w:cstheme="minorHAnsi"/>
                <w:sz w:val="20"/>
                <w:szCs w:val="20"/>
              </w:rPr>
              <w:t xml:space="preserve"> </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Coding</w:t>
            </w:r>
            <w:proofErr w:type="spellEnd"/>
            <w:r w:rsidRPr="00353E30">
              <w:rPr>
                <w:rFonts w:cstheme="minorHAnsi"/>
                <w:sz w:val="20"/>
                <w:szCs w:val="20"/>
              </w:rPr>
              <w:t xml:space="preserve"> System </w:t>
            </w:r>
          </w:p>
        </w:tc>
        <w:tc>
          <w:tcPr>
            <w:tcW w:w="6096" w:type="dxa"/>
            <w:hideMark/>
          </w:tcPr>
          <w:p w:rsidR="008B19AE" w:rsidRPr="00353E30" w:rsidRDefault="008B19AE" w:rsidP="00CA11E6">
            <w:pPr>
              <w:jc w:val="both"/>
              <w:rPr>
                <w:rFonts w:cstheme="minorHAnsi"/>
                <w:sz w:val="20"/>
                <w:szCs w:val="20"/>
                <w:lang w:val="en-US"/>
              </w:rPr>
            </w:pPr>
            <w:proofErr w:type="spellStart"/>
            <w:r w:rsidRPr="00353E30">
              <w:rPr>
                <w:rFonts w:cstheme="minorHAnsi"/>
                <w:sz w:val="20"/>
                <w:szCs w:val="20"/>
                <w:lang w:val="en-US"/>
              </w:rPr>
              <w:t>Universalcode</w:t>
            </w:r>
            <w:proofErr w:type="spellEnd"/>
            <w:r w:rsidRPr="00353E30">
              <w:rPr>
                <w:rFonts w:cstheme="minorHAnsi"/>
                <w:sz w:val="20"/>
                <w:szCs w:val="20"/>
                <w:lang w:val="en-US"/>
              </w:rPr>
              <w:t> system, identifying health measurements, observations, and documents. Represent the “question” for a test or measurement </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SNOMED CT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Systematized Nomenclature of Medicine -Clinical Terms </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SNOMED International</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Healthcare</w:t>
            </w:r>
            <w:proofErr w:type="spellEnd"/>
            <w:r w:rsidRPr="00353E30">
              <w:rPr>
                <w:rFonts w:cstheme="minorHAnsi"/>
                <w:sz w:val="20"/>
                <w:szCs w:val="20"/>
              </w:rPr>
              <w:t xml:space="preserve"> and </w:t>
            </w:r>
            <w:proofErr w:type="spellStart"/>
            <w:r w:rsidRPr="00353E30">
              <w:rPr>
                <w:rFonts w:cstheme="minorHAnsi"/>
                <w:sz w:val="20"/>
                <w:szCs w:val="20"/>
              </w:rPr>
              <w:t>research</w:t>
            </w:r>
            <w:proofErr w:type="spellEnd"/>
            <w:r w:rsidRPr="00353E30">
              <w:rPr>
                <w:rFonts w:cstheme="minorHAnsi"/>
                <w:sz w:val="20"/>
                <w:szCs w:val="20"/>
              </w:rPr>
              <w:t> </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Health(care) terminology, enables the consistent, processable representation of clinical content in electronic health records </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ATC </w:t>
            </w:r>
          </w:p>
        </w:tc>
        <w:tc>
          <w:tcPr>
            <w:tcW w:w="2603" w:type="dxa"/>
            <w:hideMark/>
          </w:tcPr>
          <w:p w:rsidR="008B19AE" w:rsidRPr="00353E30" w:rsidRDefault="008B19AE" w:rsidP="00CA11E6">
            <w:pPr>
              <w:rPr>
                <w:rFonts w:cstheme="minorHAnsi"/>
                <w:sz w:val="20"/>
                <w:szCs w:val="20"/>
              </w:rPr>
            </w:pPr>
            <w:proofErr w:type="spellStart"/>
            <w:r w:rsidRPr="00353E30">
              <w:rPr>
                <w:rFonts w:cstheme="minorHAnsi"/>
                <w:sz w:val="20"/>
                <w:szCs w:val="20"/>
              </w:rPr>
              <w:t>Anatomical</w:t>
            </w:r>
            <w:proofErr w:type="spellEnd"/>
            <w:r w:rsidRPr="00353E30">
              <w:rPr>
                <w:rFonts w:cstheme="minorHAnsi"/>
                <w:sz w:val="20"/>
                <w:szCs w:val="20"/>
              </w:rPr>
              <w:t xml:space="preserve"> </w:t>
            </w:r>
            <w:proofErr w:type="spellStart"/>
            <w:r w:rsidRPr="00353E30">
              <w:rPr>
                <w:rFonts w:cstheme="minorHAnsi"/>
                <w:sz w:val="20"/>
                <w:szCs w:val="20"/>
              </w:rPr>
              <w:t>Therapeutic</w:t>
            </w:r>
            <w:proofErr w:type="spellEnd"/>
            <w:r w:rsidRPr="00353E30">
              <w:rPr>
                <w:rFonts w:cstheme="minorHAnsi"/>
                <w:sz w:val="20"/>
                <w:szCs w:val="20"/>
              </w:rPr>
              <w:t xml:space="preserve"> Chemical </w:t>
            </w:r>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WHO Collaborating Centre for Drug Statistics Methodology</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Pharmacy</w:t>
            </w:r>
            <w:proofErr w:type="spellEnd"/>
            <w:r w:rsidRPr="00353E30">
              <w:rPr>
                <w:rFonts w:cstheme="minorHAnsi"/>
                <w:sz w:val="20"/>
                <w:szCs w:val="20"/>
              </w:rPr>
              <w:t> </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Classification of pharmacological substances in a hierarchical system with 5 levels, enables to monitor the use of medication and facilitates research on the topic of quality improvement of drug utilization </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ORPHA</w:t>
            </w:r>
          </w:p>
        </w:tc>
        <w:tc>
          <w:tcPr>
            <w:tcW w:w="2603" w:type="dxa"/>
            <w:hideMark/>
          </w:tcPr>
          <w:p w:rsidR="008B19AE" w:rsidRPr="00353E30" w:rsidRDefault="008B19AE" w:rsidP="00CA11E6">
            <w:pPr>
              <w:rPr>
                <w:rFonts w:cstheme="minorHAnsi"/>
                <w:sz w:val="20"/>
                <w:szCs w:val="20"/>
              </w:rPr>
            </w:pPr>
            <w:proofErr w:type="spellStart"/>
            <w:r w:rsidRPr="00353E30">
              <w:rPr>
                <w:rFonts w:cstheme="minorHAnsi"/>
                <w:sz w:val="20"/>
                <w:szCs w:val="20"/>
              </w:rPr>
              <w:t>Orphanet</w:t>
            </w:r>
            <w:proofErr w:type="spellEnd"/>
            <w:r w:rsidRPr="00353E30">
              <w:rPr>
                <w:rFonts w:cstheme="minorHAnsi"/>
                <w:sz w:val="20"/>
                <w:szCs w:val="20"/>
              </w:rPr>
              <w:t xml:space="preserve"> Rare </w:t>
            </w:r>
            <w:proofErr w:type="spellStart"/>
            <w:r w:rsidRPr="00353E30">
              <w:rPr>
                <w:rFonts w:cstheme="minorHAnsi"/>
                <w:sz w:val="20"/>
                <w:szCs w:val="20"/>
              </w:rPr>
              <w:t>Disease</w:t>
            </w:r>
            <w:proofErr w:type="spellEnd"/>
            <w:r w:rsidRPr="00353E30">
              <w:rPr>
                <w:rFonts w:cstheme="minorHAnsi"/>
                <w:sz w:val="20"/>
                <w:szCs w:val="20"/>
              </w:rPr>
              <w:t xml:space="preserve"> </w:t>
            </w:r>
            <w:proofErr w:type="spellStart"/>
            <w:r w:rsidRPr="00353E30">
              <w:rPr>
                <w:rFonts w:cstheme="minorHAnsi"/>
                <w:sz w:val="20"/>
                <w:szCs w:val="20"/>
              </w:rPr>
              <w:t>Ontology</w:t>
            </w:r>
            <w:proofErr w:type="spellEnd"/>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 </w:t>
            </w:r>
            <w:proofErr w:type="spellStart"/>
            <w:r w:rsidRPr="00353E30">
              <w:rPr>
                <w:rFonts w:cstheme="minorHAnsi"/>
                <w:sz w:val="20"/>
                <w:szCs w:val="20"/>
              </w:rPr>
              <w:t>Orphanet</w:t>
            </w:r>
            <w:proofErr w:type="spellEnd"/>
            <w:r w:rsidRPr="00353E30">
              <w:rPr>
                <w:rFonts w:cstheme="minorHAnsi"/>
                <w:sz w:val="20"/>
                <w:szCs w:val="20"/>
              </w:rPr>
              <w:t xml:space="preserve"> and </w:t>
            </w:r>
            <w:proofErr w:type="spellStart"/>
            <w:r w:rsidRPr="00353E30">
              <w:rPr>
                <w:rFonts w:cstheme="minorHAnsi"/>
                <w:sz w:val="20"/>
                <w:szCs w:val="20"/>
              </w:rPr>
              <w:t>the</w:t>
            </w:r>
            <w:proofErr w:type="spellEnd"/>
            <w:r w:rsidRPr="00353E30">
              <w:rPr>
                <w:rFonts w:cstheme="minorHAnsi"/>
                <w:sz w:val="20"/>
                <w:szCs w:val="20"/>
              </w:rPr>
              <w:t xml:space="preserve"> EBI</w:t>
            </w:r>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 xml:space="preserve">Rare </w:t>
            </w:r>
            <w:proofErr w:type="spellStart"/>
            <w:r w:rsidRPr="00353E30">
              <w:rPr>
                <w:rFonts w:cstheme="minorHAnsi"/>
                <w:sz w:val="20"/>
                <w:szCs w:val="20"/>
              </w:rPr>
              <w:t>Diseases</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Vocabulary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Structured vocabulary for rare diseases capturing relationships between diseases, genes and other relevant features which will form a useful resource for the computational analysis of rare diseases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ICD-10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International Statistical Classification of Diseases, 10th Version </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World </w:t>
            </w:r>
            <w:proofErr w:type="spellStart"/>
            <w:r w:rsidRPr="00353E30">
              <w:rPr>
                <w:rFonts w:cstheme="minorHAnsi"/>
                <w:sz w:val="20"/>
                <w:szCs w:val="20"/>
              </w:rPr>
              <w:t>Health</w:t>
            </w:r>
            <w:proofErr w:type="spellEnd"/>
            <w:r w:rsidRPr="00353E30">
              <w:rPr>
                <w:rFonts w:cstheme="minorHAnsi"/>
                <w:sz w:val="20"/>
                <w:szCs w:val="20"/>
              </w:rPr>
              <w:t> </w:t>
            </w:r>
            <w:proofErr w:type="spellStart"/>
            <w:r w:rsidRPr="00353E30">
              <w:rPr>
                <w:rFonts w:cstheme="minorHAnsi"/>
                <w:sz w:val="20"/>
                <w:szCs w:val="20"/>
              </w:rPr>
              <w:t>Organization</w:t>
            </w:r>
            <w:proofErr w:type="spellEnd"/>
            <w:r w:rsidRPr="00353E30">
              <w:rPr>
                <w:rFonts w:cstheme="minorHAnsi"/>
                <w:sz w:val="20"/>
                <w:szCs w:val="20"/>
              </w:rPr>
              <w:t> (WHO) </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Classification, codes for diseases, signs and symptoms, abnormal findings, complaints, social circumstances, and external causes of injury or diseases. </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ICD-11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International Classification of Diseases 11th Revision </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World </w:t>
            </w:r>
            <w:proofErr w:type="spellStart"/>
            <w:r w:rsidRPr="00353E30">
              <w:rPr>
                <w:rFonts w:cstheme="minorHAnsi"/>
                <w:sz w:val="20"/>
                <w:szCs w:val="20"/>
              </w:rPr>
              <w:t>Health</w:t>
            </w:r>
            <w:proofErr w:type="spellEnd"/>
            <w:r w:rsidRPr="00353E30">
              <w:rPr>
                <w:rFonts w:cstheme="minorHAnsi"/>
                <w:sz w:val="20"/>
                <w:szCs w:val="20"/>
              </w:rPr>
              <w:t> </w:t>
            </w:r>
            <w:proofErr w:type="spellStart"/>
            <w:r w:rsidRPr="00353E30">
              <w:rPr>
                <w:rFonts w:cstheme="minorHAnsi"/>
                <w:sz w:val="20"/>
                <w:szCs w:val="20"/>
              </w:rPr>
              <w:t>Organization</w:t>
            </w:r>
            <w:proofErr w:type="spellEnd"/>
            <w:r w:rsidRPr="00353E30">
              <w:rPr>
                <w:rFonts w:cstheme="minorHAnsi"/>
                <w:sz w:val="20"/>
                <w:szCs w:val="20"/>
              </w:rPr>
              <w:t> (WHO) </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In force since January 2021, supports not only statistical purposes but also decision support, respect of guidelines, billing and resource allocation </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proofErr w:type="spellStart"/>
            <w:r w:rsidRPr="00353E30">
              <w:rPr>
                <w:rFonts w:cstheme="minorHAnsi"/>
                <w:b/>
                <w:bCs/>
                <w:sz w:val="20"/>
                <w:szCs w:val="20"/>
              </w:rPr>
              <w:t>RxNorm</w:t>
            </w:r>
            <w:proofErr w:type="spellEnd"/>
            <w:r w:rsidRPr="00353E30">
              <w:rPr>
                <w:rFonts w:cstheme="minorHAnsi"/>
                <w:b/>
                <w:bCs/>
                <w:sz w:val="20"/>
                <w:szCs w:val="20"/>
              </w:rPr>
              <w:t> </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w:t>
            </w:r>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National Library of Medicine (maintenance)</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Pharmacy</w:t>
            </w:r>
            <w:proofErr w:type="spellEnd"/>
            <w:r w:rsidRPr="00353E30">
              <w:rPr>
                <w:rFonts w:cstheme="minorHAnsi"/>
                <w:sz w:val="20"/>
                <w:szCs w:val="20"/>
              </w:rPr>
              <w:t> </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Pharmacy management and drug interaction software, normalized names for clinical drugs links its names to many of the drug vocabularies  ; US-specific </w:t>
            </w:r>
            <w:proofErr w:type="spellStart"/>
            <w:r w:rsidRPr="00353E30">
              <w:rPr>
                <w:rFonts w:cstheme="minorHAnsi"/>
                <w:sz w:val="20"/>
                <w:szCs w:val="20"/>
                <w:lang w:val="en-US"/>
              </w:rPr>
              <w:t>terminolog</w:t>
            </w:r>
            <w:proofErr w:type="spellEnd"/>
          </w:p>
        </w:tc>
      </w:tr>
      <w:tr w:rsidR="008B19AE" w:rsidRPr="001111DB" w:rsidTr="00CA11E6">
        <w:trPr>
          <w:trHeight w:val="1740"/>
        </w:trPr>
        <w:tc>
          <w:tcPr>
            <w:tcW w:w="1271" w:type="dxa"/>
            <w:hideMark/>
          </w:tcPr>
          <w:p w:rsidR="008B19AE" w:rsidRPr="00353E30" w:rsidRDefault="008B19AE" w:rsidP="00CA11E6">
            <w:pPr>
              <w:rPr>
                <w:rFonts w:cstheme="minorHAnsi"/>
                <w:b/>
                <w:bCs/>
                <w:sz w:val="20"/>
                <w:szCs w:val="20"/>
              </w:rPr>
            </w:pPr>
            <w:proofErr w:type="spellStart"/>
            <w:r w:rsidRPr="00353E30">
              <w:rPr>
                <w:rFonts w:cstheme="minorHAnsi"/>
                <w:b/>
                <w:bCs/>
                <w:sz w:val="20"/>
                <w:szCs w:val="20"/>
              </w:rPr>
              <w:lastRenderedPageBreak/>
              <w:t>RadLex</w:t>
            </w:r>
            <w:proofErr w:type="spellEnd"/>
            <w:r w:rsidRPr="00353E30">
              <w:rPr>
                <w:rFonts w:cstheme="minorHAnsi"/>
                <w:b/>
                <w:bCs/>
                <w:sz w:val="20"/>
                <w:szCs w:val="20"/>
              </w:rPr>
              <w:t> ®</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w:t>
            </w:r>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Radiology Society of North America</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radiology</w:t>
            </w:r>
            <w:proofErr w:type="spellEnd"/>
            <w:r w:rsidRPr="00353E30">
              <w:rPr>
                <w:rFonts w:cstheme="minorHAnsi"/>
                <w:sz w:val="20"/>
                <w:szCs w:val="20"/>
              </w:rPr>
              <w:t> </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Unified language of radiology terms , for standardized indexing and retrieval of radiology information resources, It unifies and supplements other lexicons and standards, such as SNOMED-CT and DICOM, managed by the Radiological Society of North America </w:t>
            </w:r>
          </w:p>
        </w:tc>
      </w:tr>
      <w:tr w:rsidR="008B19AE" w:rsidRPr="001111DB" w:rsidTr="00CA11E6">
        <w:trPr>
          <w:trHeight w:val="145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MEDCIN </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w:t>
            </w:r>
          </w:p>
        </w:tc>
        <w:tc>
          <w:tcPr>
            <w:tcW w:w="2075" w:type="dxa"/>
            <w:hideMark/>
          </w:tcPr>
          <w:p w:rsidR="008B19AE" w:rsidRPr="00353E30" w:rsidRDefault="008B19AE" w:rsidP="00CA11E6">
            <w:pPr>
              <w:rPr>
                <w:rFonts w:cstheme="minorHAnsi"/>
                <w:sz w:val="20"/>
                <w:szCs w:val="20"/>
              </w:rPr>
            </w:pPr>
            <w:proofErr w:type="spellStart"/>
            <w:r w:rsidRPr="00353E30">
              <w:rPr>
                <w:rFonts w:cstheme="minorHAnsi"/>
                <w:sz w:val="20"/>
                <w:szCs w:val="20"/>
              </w:rPr>
              <w:t>maintained</w:t>
            </w:r>
            <w:proofErr w:type="spellEnd"/>
            <w:r w:rsidRPr="00353E30">
              <w:rPr>
                <w:rFonts w:cstheme="minorHAnsi"/>
                <w:sz w:val="20"/>
                <w:szCs w:val="20"/>
              </w:rPr>
              <w:t> </w:t>
            </w:r>
            <w:proofErr w:type="spellStart"/>
            <w:r w:rsidRPr="00353E30">
              <w:rPr>
                <w:rFonts w:cstheme="minorHAnsi"/>
                <w:sz w:val="20"/>
                <w:szCs w:val="20"/>
              </w:rPr>
              <w:t>by</w:t>
            </w:r>
            <w:proofErr w:type="spellEnd"/>
            <w:r w:rsidRPr="00353E30">
              <w:rPr>
                <w:rFonts w:cstheme="minorHAnsi"/>
                <w:sz w:val="20"/>
                <w:szCs w:val="20"/>
              </w:rPr>
              <w:t> </w:t>
            </w:r>
            <w:proofErr w:type="spellStart"/>
            <w:r w:rsidRPr="00353E30">
              <w:rPr>
                <w:rFonts w:cstheme="minorHAnsi"/>
                <w:sz w:val="20"/>
                <w:szCs w:val="20"/>
              </w:rPr>
              <w:t>Medicomp</w:t>
            </w:r>
            <w:proofErr w:type="spellEnd"/>
            <w:r w:rsidRPr="00353E30">
              <w:rPr>
                <w:rFonts w:cstheme="minorHAnsi"/>
                <w:sz w:val="20"/>
                <w:szCs w:val="20"/>
              </w:rPr>
              <w:t> Systems </w:t>
            </w:r>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EHR</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Medical terminology developed as interface terminology and intended for use in Electronic Health Record systems; includes terms for symptoms, history, physical examination, tests, diagnoses and therapies </w:t>
            </w:r>
          </w:p>
        </w:tc>
      </w:tr>
      <w:tr w:rsidR="008B19AE" w:rsidRPr="001111DB" w:rsidTr="00CA11E6">
        <w:trPr>
          <w:trHeight w:val="1450"/>
        </w:trPr>
        <w:tc>
          <w:tcPr>
            <w:tcW w:w="1271" w:type="dxa"/>
            <w:hideMark/>
          </w:tcPr>
          <w:p w:rsidR="008B19AE" w:rsidRPr="00353E30" w:rsidRDefault="008B19AE" w:rsidP="00CA11E6">
            <w:pPr>
              <w:rPr>
                <w:rFonts w:cstheme="minorHAnsi"/>
                <w:b/>
                <w:bCs/>
                <w:sz w:val="20"/>
                <w:szCs w:val="20"/>
              </w:rPr>
            </w:pPr>
            <w:proofErr w:type="spellStart"/>
            <w:r w:rsidRPr="00353E30">
              <w:rPr>
                <w:rFonts w:cstheme="minorHAnsi"/>
                <w:b/>
                <w:bCs/>
                <w:sz w:val="20"/>
                <w:szCs w:val="20"/>
              </w:rPr>
              <w:t>NCIt</w:t>
            </w:r>
            <w:proofErr w:type="spellEnd"/>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National Cancer Institute Thesaurus</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National Cancer Institute</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Oncology</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Reference terminology and ontology providing concepts for clinical care, translational and basic research, and public information and administrative activities for National Cancer Institutes and other systems.</w:t>
            </w:r>
          </w:p>
        </w:tc>
      </w:tr>
      <w:tr w:rsidR="008B19AE" w:rsidRPr="001111DB" w:rsidTr="00CA11E6">
        <w:trPr>
          <w:trHeight w:val="1740"/>
        </w:trPr>
        <w:tc>
          <w:tcPr>
            <w:tcW w:w="1271" w:type="dxa"/>
            <w:hideMark/>
          </w:tcPr>
          <w:p w:rsidR="008B19AE" w:rsidRPr="00353E30" w:rsidRDefault="008B19AE" w:rsidP="00CA11E6">
            <w:pPr>
              <w:rPr>
                <w:rFonts w:cstheme="minorHAnsi"/>
                <w:b/>
                <w:bCs/>
                <w:sz w:val="20"/>
                <w:szCs w:val="20"/>
              </w:rPr>
            </w:pPr>
            <w:proofErr w:type="spellStart"/>
            <w:r w:rsidRPr="00353E30">
              <w:rPr>
                <w:rFonts w:cstheme="minorHAnsi"/>
                <w:b/>
                <w:bCs/>
                <w:sz w:val="20"/>
                <w:szCs w:val="20"/>
              </w:rPr>
              <w:t>MedDRA</w:t>
            </w:r>
            <w:proofErr w:type="spellEnd"/>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Medical Dictionary of Regulatory Activities</w:t>
            </w:r>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 xml:space="preserve">International Council for </w:t>
            </w:r>
            <w:proofErr w:type="spellStart"/>
            <w:r w:rsidRPr="00353E30">
              <w:rPr>
                <w:rFonts w:cstheme="minorHAnsi"/>
                <w:sz w:val="20"/>
                <w:szCs w:val="20"/>
                <w:lang w:val="en-US"/>
              </w:rPr>
              <w:t>Harmonisation</w:t>
            </w:r>
            <w:proofErr w:type="spellEnd"/>
            <w:r w:rsidRPr="00353E30">
              <w:rPr>
                <w:rFonts w:cstheme="minorHAnsi"/>
                <w:sz w:val="20"/>
                <w:szCs w:val="20"/>
                <w:lang w:val="en-US"/>
              </w:rPr>
              <w:t xml:space="preserve"> of Technical Requirements for Pharmaceuticals for Human Use (ICH)</w:t>
            </w:r>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 xml:space="preserve">Medical </w:t>
            </w:r>
            <w:proofErr w:type="spellStart"/>
            <w:r w:rsidRPr="00353E30">
              <w:rPr>
                <w:rFonts w:cstheme="minorHAnsi"/>
                <w:sz w:val="20"/>
                <w:szCs w:val="20"/>
              </w:rPr>
              <w:t>products</w:t>
            </w:r>
            <w:proofErr w:type="spellEnd"/>
            <w:r w:rsidRPr="00353E30">
              <w:rPr>
                <w:rFonts w:cstheme="minorHAnsi"/>
                <w:sz w:val="20"/>
                <w:szCs w:val="20"/>
              </w:rPr>
              <w:t xml:space="preserve"> (</w:t>
            </w:r>
            <w:proofErr w:type="spellStart"/>
            <w:r w:rsidRPr="00353E30">
              <w:rPr>
                <w:rFonts w:cstheme="minorHAnsi"/>
                <w:sz w:val="20"/>
                <w:szCs w:val="20"/>
              </w:rPr>
              <w:t>regulation</w:t>
            </w:r>
            <w:proofErr w:type="spellEnd"/>
            <w:r w:rsidRPr="00353E30">
              <w:rPr>
                <w:rFonts w:cstheme="minorHAnsi"/>
                <w:sz w:val="20"/>
                <w:szCs w:val="20"/>
              </w:rPr>
              <w:t>)</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Medical terminology aiming to facilitate the international exchange of regulatory information related to medical products, including pharmaceuticals, biologics, vaccines and drug-device combination products.</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ICF</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International classification of functioning, disability and health</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World </w:t>
            </w:r>
            <w:proofErr w:type="spellStart"/>
            <w:r w:rsidRPr="00353E30">
              <w:rPr>
                <w:rFonts w:cstheme="minorHAnsi"/>
                <w:sz w:val="20"/>
                <w:szCs w:val="20"/>
              </w:rPr>
              <w:t>Health</w:t>
            </w:r>
            <w:proofErr w:type="spellEnd"/>
            <w:r w:rsidRPr="00353E30">
              <w:rPr>
                <w:rFonts w:cstheme="minorHAnsi"/>
                <w:sz w:val="20"/>
                <w:szCs w:val="20"/>
              </w:rPr>
              <w:t xml:space="preserve"> </w:t>
            </w:r>
            <w:proofErr w:type="spellStart"/>
            <w:r w:rsidRPr="00353E30">
              <w:rPr>
                <w:rFonts w:cstheme="minorHAnsi"/>
                <w:sz w:val="20"/>
                <w:szCs w:val="20"/>
              </w:rPr>
              <w:t>Organization</w:t>
            </w:r>
            <w:proofErr w:type="spellEnd"/>
            <w:r w:rsidRPr="00353E30">
              <w:rPr>
                <w:rFonts w:cstheme="minorHAnsi"/>
                <w:sz w:val="20"/>
                <w:szCs w:val="20"/>
              </w:rPr>
              <w:t xml:space="preserve"> (WHO) </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Classification of health and health-related domain including environmental factors and enabling to measure health and disability at population and individual levels.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OAE</w:t>
            </w:r>
          </w:p>
        </w:tc>
        <w:tc>
          <w:tcPr>
            <w:tcW w:w="2603"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r w:rsidRPr="00353E30">
              <w:rPr>
                <w:rFonts w:cstheme="minorHAnsi"/>
                <w:sz w:val="20"/>
                <w:szCs w:val="20"/>
              </w:rPr>
              <w:t xml:space="preserve"> of </w:t>
            </w:r>
            <w:proofErr w:type="spellStart"/>
            <w:r w:rsidRPr="00353E30">
              <w:rPr>
                <w:rFonts w:cstheme="minorHAnsi"/>
                <w:sz w:val="20"/>
                <w:szCs w:val="20"/>
              </w:rPr>
              <w:t>Adverse</w:t>
            </w:r>
            <w:proofErr w:type="spellEnd"/>
            <w:r w:rsidRPr="00353E30">
              <w:rPr>
                <w:rFonts w:cstheme="minorHAnsi"/>
                <w:sz w:val="20"/>
                <w:szCs w:val="20"/>
              </w:rPr>
              <w:t xml:space="preserve"> Events</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(Community-</w:t>
            </w:r>
            <w:proofErr w:type="spellStart"/>
            <w:r w:rsidRPr="00353E30">
              <w:rPr>
                <w:rFonts w:cstheme="minorHAnsi"/>
                <w:sz w:val="20"/>
                <w:szCs w:val="20"/>
              </w:rPr>
              <w:t>based</w:t>
            </w:r>
            <w:proofErr w:type="spellEnd"/>
            <w:r w:rsidRPr="00353E30">
              <w:rPr>
                <w:rFonts w:cstheme="minorHAnsi"/>
                <w:sz w:val="20"/>
                <w:szCs w:val="20"/>
              </w:rPr>
              <w:t>)</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Ontology aiming to standardize the annotation and integration of adverse events data and to facilitate computer-assisted reasoning</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HPO</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Human </w:t>
            </w:r>
            <w:proofErr w:type="spellStart"/>
            <w:r w:rsidRPr="00353E30">
              <w:rPr>
                <w:rFonts w:cstheme="minorHAnsi"/>
                <w:sz w:val="20"/>
                <w:szCs w:val="20"/>
              </w:rPr>
              <w:t>Phenotype</w:t>
            </w:r>
            <w:proofErr w:type="spellEnd"/>
            <w:r w:rsidRPr="00353E30">
              <w:rPr>
                <w:rFonts w:cstheme="minorHAnsi"/>
                <w:sz w:val="20"/>
                <w:szCs w:val="20"/>
              </w:rPr>
              <w:t xml:space="preserve"> </w:t>
            </w:r>
            <w:proofErr w:type="spellStart"/>
            <w:r w:rsidRPr="00353E30">
              <w:rPr>
                <w:rFonts w:cstheme="minorHAnsi"/>
                <w:sz w:val="20"/>
                <w:szCs w:val="20"/>
              </w:rPr>
              <w:t>Ontology</w:t>
            </w:r>
            <w:proofErr w:type="spellEnd"/>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Monarch Initiative (NIH-supported project)</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Genetics</w:t>
            </w:r>
            <w:proofErr w:type="spellEnd"/>
            <w:r w:rsidRPr="00353E30">
              <w:rPr>
                <w:rFonts w:cstheme="minorHAnsi"/>
                <w:sz w:val="20"/>
                <w:szCs w:val="20"/>
              </w:rPr>
              <w:t xml:space="preserve"> / </w:t>
            </w:r>
            <w:proofErr w:type="spellStart"/>
            <w:r w:rsidRPr="00353E30">
              <w:rPr>
                <w:rFonts w:cstheme="minorHAnsi"/>
                <w:sz w:val="20"/>
                <w:szCs w:val="20"/>
              </w:rPr>
              <w:t>Phenotypes</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Standardized vocabulary to describe phenotypic abnormalities in human diseases, developed based on medical literature, </w:t>
            </w:r>
            <w:proofErr w:type="spellStart"/>
            <w:r w:rsidRPr="00353E30">
              <w:rPr>
                <w:rFonts w:cstheme="minorHAnsi"/>
                <w:sz w:val="20"/>
                <w:szCs w:val="20"/>
                <w:lang w:val="en-US"/>
              </w:rPr>
              <w:t>Orphanet</w:t>
            </w:r>
            <w:proofErr w:type="spellEnd"/>
            <w:r w:rsidRPr="00353E30">
              <w:rPr>
                <w:rFonts w:cstheme="minorHAnsi"/>
                <w:sz w:val="20"/>
                <w:szCs w:val="20"/>
                <w:lang w:val="en-US"/>
              </w:rPr>
              <w:t>, DECIPHER and OMIM.</w:t>
            </w:r>
          </w:p>
        </w:tc>
      </w:tr>
      <w:tr w:rsidR="008B19AE" w:rsidRPr="00353E30" w:rsidTr="00CA11E6">
        <w:trPr>
          <w:trHeight w:val="203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DCM</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DICOM </w:t>
            </w:r>
            <w:proofErr w:type="spellStart"/>
            <w:r w:rsidRPr="00353E30">
              <w:rPr>
                <w:rFonts w:cstheme="minorHAnsi"/>
                <w:sz w:val="20"/>
                <w:szCs w:val="20"/>
              </w:rPr>
              <w:t>Controlled</w:t>
            </w:r>
            <w:proofErr w:type="spellEnd"/>
            <w:r w:rsidRPr="00353E30">
              <w:rPr>
                <w:rFonts w:cstheme="minorHAnsi"/>
                <w:sz w:val="20"/>
                <w:szCs w:val="20"/>
              </w:rPr>
              <w:t xml:space="preserve"> </w:t>
            </w:r>
            <w:proofErr w:type="spellStart"/>
            <w:r w:rsidRPr="00353E30">
              <w:rPr>
                <w:rFonts w:cstheme="minorHAnsi"/>
                <w:sz w:val="20"/>
                <w:szCs w:val="20"/>
              </w:rPr>
              <w:t>Terminology</w:t>
            </w:r>
            <w:proofErr w:type="spellEnd"/>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Medical Imaging Technology Association (MITA) - a division of the National Electrical Manufacturers Association</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Radiology</w:t>
            </w:r>
            <w:proofErr w:type="spellEnd"/>
            <w:r w:rsidRPr="00353E30">
              <w:rPr>
                <w:rFonts w:cstheme="minorHAnsi"/>
                <w:sz w:val="20"/>
                <w:szCs w:val="20"/>
              </w:rPr>
              <w:t xml:space="preserve"> </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Terminology</w:t>
            </w:r>
            <w:proofErr w:type="spellEnd"/>
          </w:p>
        </w:tc>
        <w:tc>
          <w:tcPr>
            <w:tcW w:w="6096" w:type="dxa"/>
            <w:hideMark/>
          </w:tcPr>
          <w:p w:rsidR="008B19AE" w:rsidRPr="00353E30" w:rsidRDefault="008B19AE" w:rsidP="00CA11E6">
            <w:pPr>
              <w:jc w:val="both"/>
              <w:rPr>
                <w:rFonts w:cstheme="minorHAnsi"/>
                <w:sz w:val="20"/>
                <w:szCs w:val="20"/>
              </w:rPr>
            </w:pPr>
            <w:proofErr w:type="spellStart"/>
            <w:r w:rsidRPr="00353E30">
              <w:rPr>
                <w:rFonts w:cstheme="minorHAnsi"/>
                <w:sz w:val="20"/>
                <w:szCs w:val="20"/>
              </w:rPr>
              <w:t>Controlled</w:t>
            </w:r>
            <w:proofErr w:type="spellEnd"/>
            <w:r w:rsidRPr="00353E30">
              <w:rPr>
                <w:rFonts w:cstheme="minorHAnsi"/>
                <w:sz w:val="20"/>
                <w:szCs w:val="20"/>
              </w:rPr>
              <w:t xml:space="preserve"> </w:t>
            </w:r>
            <w:proofErr w:type="spellStart"/>
            <w:r w:rsidRPr="00353E30">
              <w:rPr>
                <w:rFonts w:cstheme="minorHAnsi"/>
                <w:sz w:val="20"/>
                <w:szCs w:val="20"/>
              </w:rPr>
              <w:t>terms</w:t>
            </w:r>
            <w:proofErr w:type="spellEnd"/>
            <w:r w:rsidRPr="00353E30">
              <w:rPr>
                <w:rFonts w:cstheme="minorHAnsi"/>
                <w:sz w:val="20"/>
                <w:szCs w:val="20"/>
              </w:rPr>
              <w:t xml:space="preserve"> </w:t>
            </w:r>
            <w:proofErr w:type="spellStart"/>
            <w:r w:rsidRPr="00353E30">
              <w:rPr>
                <w:rFonts w:cstheme="minorHAnsi"/>
                <w:sz w:val="20"/>
                <w:szCs w:val="20"/>
              </w:rPr>
              <w:t>for</w:t>
            </w:r>
            <w:proofErr w:type="spellEnd"/>
            <w:r w:rsidRPr="00353E30">
              <w:rPr>
                <w:rFonts w:cstheme="minorHAnsi"/>
                <w:sz w:val="20"/>
                <w:szCs w:val="20"/>
              </w:rPr>
              <w:t xml:space="preserve"> DICOM </w:t>
            </w:r>
          </w:p>
        </w:tc>
      </w:tr>
      <w:tr w:rsidR="008B19AE" w:rsidRPr="001111DB" w:rsidTr="00CA11E6">
        <w:trPr>
          <w:trHeight w:val="145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MESH</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Medical </w:t>
            </w:r>
            <w:proofErr w:type="spellStart"/>
            <w:r w:rsidRPr="00353E30">
              <w:rPr>
                <w:rFonts w:cstheme="minorHAnsi"/>
                <w:sz w:val="20"/>
                <w:szCs w:val="20"/>
              </w:rPr>
              <w:t>Subject</w:t>
            </w:r>
            <w:proofErr w:type="spellEnd"/>
            <w:r w:rsidRPr="00353E30">
              <w:rPr>
                <w:rFonts w:cstheme="minorHAnsi"/>
                <w:sz w:val="20"/>
                <w:szCs w:val="20"/>
              </w:rPr>
              <w:t xml:space="preserve"> </w:t>
            </w:r>
            <w:proofErr w:type="spellStart"/>
            <w:r w:rsidRPr="00353E30">
              <w:rPr>
                <w:rFonts w:cstheme="minorHAnsi"/>
                <w:sz w:val="20"/>
                <w:szCs w:val="20"/>
              </w:rPr>
              <w:t>Headings</w:t>
            </w:r>
            <w:proofErr w:type="spellEnd"/>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National Library of </w:t>
            </w:r>
            <w:proofErr w:type="spellStart"/>
            <w:r w:rsidRPr="00353E30">
              <w:rPr>
                <w:rFonts w:cstheme="minorHAnsi"/>
                <w:sz w:val="20"/>
                <w:szCs w:val="20"/>
              </w:rPr>
              <w:t>Medicine</w:t>
            </w:r>
            <w:proofErr w:type="spellEnd"/>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 xml:space="preserve">Journal </w:t>
            </w:r>
            <w:proofErr w:type="spellStart"/>
            <w:r w:rsidRPr="00353E30">
              <w:rPr>
                <w:rFonts w:cstheme="minorHAnsi"/>
                <w:sz w:val="20"/>
                <w:szCs w:val="20"/>
              </w:rPr>
              <w:t>Articles</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Vocabulary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Controlled vocabulary for indexing journal articles and books in the life sciences serving as a </w:t>
            </w:r>
            <w:proofErr w:type="gramStart"/>
            <w:r w:rsidRPr="00353E30">
              <w:rPr>
                <w:rFonts w:cstheme="minorHAnsi"/>
                <w:sz w:val="20"/>
                <w:szCs w:val="20"/>
                <w:lang w:val="en-US"/>
              </w:rPr>
              <w:t>thesaurus facilitating</w:t>
            </w:r>
            <w:proofErr w:type="gramEnd"/>
            <w:r w:rsidRPr="00353E30">
              <w:rPr>
                <w:rFonts w:cstheme="minorHAnsi"/>
                <w:sz w:val="20"/>
                <w:szCs w:val="20"/>
                <w:lang w:val="en-US"/>
              </w:rPr>
              <w:t xml:space="preserve"> search.  Mesh includes the subject headings appearing in MEDLINE/</w:t>
            </w:r>
            <w:proofErr w:type="spellStart"/>
            <w:r w:rsidRPr="00353E30">
              <w:rPr>
                <w:rFonts w:cstheme="minorHAnsi"/>
                <w:sz w:val="20"/>
                <w:szCs w:val="20"/>
                <w:lang w:val="en-US"/>
              </w:rPr>
              <w:t>pubmed</w:t>
            </w:r>
            <w:proofErr w:type="spellEnd"/>
            <w:r w:rsidRPr="00353E30">
              <w:rPr>
                <w:rFonts w:cstheme="minorHAnsi"/>
                <w:sz w:val="20"/>
                <w:szCs w:val="20"/>
                <w:lang w:val="en-US"/>
              </w:rPr>
              <w:t>, the NLM Catalog, and other NLM databases</w:t>
            </w:r>
          </w:p>
        </w:tc>
      </w:tr>
      <w:tr w:rsidR="008B19AE" w:rsidRPr="001111DB" w:rsidTr="00CA11E6">
        <w:trPr>
          <w:trHeight w:val="145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UMLS</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Unified Medical Language System</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National Library of </w:t>
            </w:r>
            <w:proofErr w:type="spellStart"/>
            <w:r w:rsidRPr="00353E30">
              <w:rPr>
                <w:rFonts w:cstheme="minorHAnsi"/>
                <w:sz w:val="20"/>
                <w:szCs w:val="20"/>
              </w:rPr>
              <w:t>Medicine</w:t>
            </w:r>
            <w:proofErr w:type="spellEnd"/>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Biomedical Information Services</w:t>
            </w:r>
          </w:p>
        </w:tc>
        <w:tc>
          <w:tcPr>
            <w:tcW w:w="1842" w:type="dxa"/>
            <w:hideMark/>
          </w:tcPr>
          <w:p w:rsidR="008B19AE" w:rsidRPr="00353E30" w:rsidRDefault="008B19AE" w:rsidP="00CA11E6">
            <w:pPr>
              <w:rPr>
                <w:rFonts w:cstheme="minorHAnsi"/>
                <w:sz w:val="20"/>
                <w:szCs w:val="20"/>
              </w:rPr>
            </w:pPr>
            <w:r w:rsidRPr="00353E30">
              <w:rPr>
                <w:rFonts w:cstheme="minorHAnsi"/>
                <w:sz w:val="20"/>
                <w:szCs w:val="20"/>
              </w:rPr>
              <w:t>Metathesaurus</w:t>
            </w:r>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UMLS integrates and distributes key terminology, classification and coding standards, and associated resources to promote creation of more effective and interoperable biomedical information systems and services, including electronic health records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OBI</w:t>
            </w:r>
          </w:p>
        </w:tc>
        <w:tc>
          <w:tcPr>
            <w:tcW w:w="2603"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r w:rsidRPr="00353E30">
              <w:rPr>
                <w:rFonts w:cstheme="minorHAnsi"/>
                <w:sz w:val="20"/>
                <w:szCs w:val="20"/>
              </w:rPr>
              <w:t xml:space="preserve"> </w:t>
            </w:r>
            <w:proofErr w:type="spellStart"/>
            <w:r w:rsidRPr="00353E30">
              <w:rPr>
                <w:rFonts w:cstheme="minorHAnsi"/>
                <w:sz w:val="20"/>
                <w:szCs w:val="20"/>
              </w:rPr>
              <w:t>for</w:t>
            </w:r>
            <w:proofErr w:type="spellEnd"/>
            <w:r w:rsidRPr="00353E30">
              <w:rPr>
                <w:rFonts w:cstheme="minorHAnsi"/>
                <w:sz w:val="20"/>
                <w:szCs w:val="20"/>
              </w:rPr>
              <w:t xml:space="preserve"> Biomedical </w:t>
            </w:r>
            <w:proofErr w:type="spellStart"/>
            <w:r w:rsidRPr="00353E30">
              <w:rPr>
                <w:rFonts w:cstheme="minorHAnsi"/>
                <w:sz w:val="20"/>
                <w:szCs w:val="20"/>
              </w:rPr>
              <w:t>Investigations</w:t>
            </w:r>
            <w:proofErr w:type="spellEnd"/>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OBO </w:t>
            </w:r>
            <w:proofErr w:type="spellStart"/>
            <w:r w:rsidRPr="00353E30">
              <w:rPr>
                <w:rFonts w:cstheme="minorHAnsi"/>
                <w:sz w:val="20"/>
                <w:szCs w:val="20"/>
              </w:rPr>
              <w:t>Foundry</w:t>
            </w:r>
            <w:proofErr w:type="spellEnd"/>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 xml:space="preserve">Biomedical </w:t>
            </w:r>
            <w:proofErr w:type="spellStart"/>
            <w:r w:rsidRPr="00353E30">
              <w:rPr>
                <w:rFonts w:cstheme="minorHAnsi"/>
                <w:sz w:val="20"/>
                <w:szCs w:val="20"/>
              </w:rPr>
              <w:t>Investigations</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Ontology that provides terms with precisely defined meanings to describe all aspects of how investigations in the biological and medical domains are conducted</w:t>
            </w:r>
          </w:p>
        </w:tc>
      </w:tr>
      <w:tr w:rsidR="008B19AE" w:rsidRPr="001111DB" w:rsidTr="00CA11E6">
        <w:trPr>
          <w:trHeight w:val="203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PICO</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Patient, Population or Problem / Intervention / Comparison / Outcome Ontology</w:t>
            </w:r>
          </w:p>
        </w:tc>
        <w:tc>
          <w:tcPr>
            <w:tcW w:w="2075" w:type="dxa"/>
            <w:hideMark/>
          </w:tcPr>
          <w:p w:rsidR="008B19AE" w:rsidRPr="00353E30" w:rsidRDefault="008B19AE" w:rsidP="00CA11E6">
            <w:pPr>
              <w:rPr>
                <w:rFonts w:cstheme="minorHAnsi"/>
                <w:sz w:val="20"/>
                <w:szCs w:val="20"/>
              </w:rPr>
            </w:pPr>
            <w:proofErr w:type="spellStart"/>
            <w:r w:rsidRPr="00353E30">
              <w:rPr>
                <w:rFonts w:cstheme="minorHAnsi"/>
                <w:sz w:val="20"/>
                <w:szCs w:val="20"/>
              </w:rPr>
              <w:t>Cochrane</w:t>
            </w:r>
            <w:proofErr w:type="spellEnd"/>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Evidence-based</w:t>
            </w:r>
            <w:proofErr w:type="spellEnd"/>
            <w:r w:rsidRPr="00353E30">
              <w:rPr>
                <w:rFonts w:cstheme="minorHAnsi"/>
                <w:sz w:val="20"/>
                <w:szCs w:val="20"/>
              </w:rPr>
              <w:t xml:space="preserve"> </w:t>
            </w:r>
            <w:proofErr w:type="spellStart"/>
            <w:r w:rsidRPr="00353E30">
              <w:rPr>
                <w:rFonts w:cstheme="minorHAnsi"/>
                <w:sz w:val="20"/>
                <w:szCs w:val="20"/>
              </w:rPr>
              <w:t>health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Model established by Cochrane to draft research questions, search strategies, and to describe studies or meta-analyses by gathering information on “Patient, Population or Problem”, “Intervention”, “Comparison” and “outcome”. Different vocabularies and terminologies </w:t>
            </w:r>
            <w:proofErr w:type="gramStart"/>
            <w:r w:rsidRPr="00353E30">
              <w:rPr>
                <w:rFonts w:cstheme="minorHAnsi"/>
                <w:sz w:val="20"/>
                <w:szCs w:val="20"/>
                <w:lang w:val="en-US"/>
              </w:rPr>
              <w:t>have been specified</w:t>
            </w:r>
            <w:proofErr w:type="gramEnd"/>
            <w:r w:rsidRPr="00353E30">
              <w:rPr>
                <w:rFonts w:cstheme="minorHAnsi"/>
                <w:sz w:val="20"/>
                <w:szCs w:val="20"/>
                <w:lang w:val="en-US"/>
              </w:rPr>
              <w:t xml:space="preserve"> to annotate the content.</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GO</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Gene </w:t>
            </w:r>
            <w:proofErr w:type="spellStart"/>
            <w:r w:rsidRPr="00353E30">
              <w:rPr>
                <w:rFonts w:cstheme="minorHAnsi"/>
                <w:sz w:val="20"/>
                <w:szCs w:val="20"/>
              </w:rPr>
              <w:t>Ontology</w:t>
            </w:r>
            <w:proofErr w:type="spellEnd"/>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Gene </w:t>
            </w:r>
            <w:proofErr w:type="spellStart"/>
            <w:r w:rsidRPr="00353E30">
              <w:rPr>
                <w:rFonts w:cstheme="minorHAnsi"/>
                <w:sz w:val="20"/>
                <w:szCs w:val="20"/>
              </w:rPr>
              <w:t>Ontology</w:t>
            </w:r>
            <w:proofErr w:type="spellEnd"/>
            <w:r w:rsidRPr="00353E30">
              <w:rPr>
                <w:rFonts w:cstheme="minorHAnsi"/>
                <w:sz w:val="20"/>
                <w:szCs w:val="20"/>
              </w:rPr>
              <w:t xml:space="preserve"> </w:t>
            </w:r>
            <w:proofErr w:type="spellStart"/>
            <w:r w:rsidRPr="00353E30">
              <w:rPr>
                <w:rFonts w:cstheme="minorHAnsi"/>
                <w:sz w:val="20"/>
                <w:szCs w:val="20"/>
              </w:rPr>
              <w:t>Consortium</w:t>
            </w:r>
            <w:proofErr w:type="spellEnd"/>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Biomedical</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Ontology</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Representation of the current state of knowledge of the biological domain with respect to the aspects "molecular function", "cellular component" and "biological process".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ICHI</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International Classification of Health Interventions</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World </w:t>
            </w:r>
            <w:proofErr w:type="spellStart"/>
            <w:r w:rsidRPr="00353E30">
              <w:rPr>
                <w:rFonts w:cstheme="minorHAnsi"/>
                <w:sz w:val="20"/>
                <w:szCs w:val="20"/>
              </w:rPr>
              <w:t>Health</w:t>
            </w:r>
            <w:proofErr w:type="spellEnd"/>
            <w:r w:rsidRPr="00353E30">
              <w:rPr>
                <w:rFonts w:cstheme="minorHAnsi"/>
                <w:sz w:val="20"/>
                <w:szCs w:val="20"/>
              </w:rPr>
              <w:t xml:space="preserve"> </w:t>
            </w:r>
            <w:proofErr w:type="spellStart"/>
            <w:r w:rsidRPr="00353E30">
              <w:rPr>
                <w:rFonts w:cstheme="minorHAnsi"/>
                <w:sz w:val="20"/>
                <w:szCs w:val="20"/>
              </w:rPr>
              <w:t>Organization</w:t>
            </w:r>
            <w:proofErr w:type="spellEnd"/>
            <w:r w:rsidRPr="00353E30">
              <w:rPr>
                <w:rFonts w:cstheme="minorHAnsi"/>
                <w:sz w:val="20"/>
                <w:szCs w:val="20"/>
              </w:rPr>
              <w:t xml:space="preserve"> (WHO)</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System of classifying procedure codes, good coverage of public health interventions, </w:t>
            </w:r>
          </w:p>
        </w:tc>
      </w:tr>
      <w:tr w:rsidR="008B19AE" w:rsidRPr="001111DB" w:rsidTr="00CA11E6">
        <w:trPr>
          <w:trHeight w:val="58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EMDN   </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European Medical Device </w:t>
            </w:r>
            <w:proofErr w:type="spellStart"/>
            <w:r w:rsidRPr="00353E30">
              <w:rPr>
                <w:rFonts w:cstheme="minorHAnsi"/>
                <w:sz w:val="20"/>
                <w:szCs w:val="20"/>
              </w:rPr>
              <w:t>Nomenclature</w:t>
            </w:r>
            <w:proofErr w:type="spellEnd"/>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Medical Device </w:t>
            </w:r>
            <w:proofErr w:type="spellStart"/>
            <w:r w:rsidRPr="00353E30">
              <w:rPr>
                <w:rFonts w:cstheme="minorHAnsi"/>
                <w:sz w:val="20"/>
                <w:szCs w:val="20"/>
              </w:rPr>
              <w:t>Coordination</w:t>
            </w:r>
            <w:proofErr w:type="spellEnd"/>
            <w:r w:rsidRPr="00353E30">
              <w:rPr>
                <w:rFonts w:cstheme="minorHAnsi"/>
                <w:sz w:val="20"/>
                <w:szCs w:val="20"/>
              </w:rPr>
              <w:t xml:space="preserve"> Group</w:t>
            </w:r>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Medical Devices</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Nomenclature</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The primary purpose of the EMDN is to support MDR and IVDR requirements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UMDNS</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Universal Medical Device Nomenclature System</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ECRI Institute</w:t>
            </w:r>
          </w:p>
        </w:tc>
        <w:tc>
          <w:tcPr>
            <w:tcW w:w="1843" w:type="dxa"/>
            <w:hideMark/>
          </w:tcPr>
          <w:p w:rsidR="008B19AE" w:rsidRPr="00353E30" w:rsidRDefault="008B19AE" w:rsidP="00CA11E6">
            <w:pPr>
              <w:rPr>
                <w:rFonts w:cstheme="minorHAnsi"/>
                <w:sz w:val="20"/>
                <w:szCs w:val="20"/>
              </w:rPr>
            </w:pPr>
            <w:r w:rsidRPr="00353E30">
              <w:rPr>
                <w:rFonts w:cstheme="minorHAnsi"/>
                <w:sz w:val="20"/>
                <w:szCs w:val="20"/>
              </w:rPr>
              <w:t>Medical Devices</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Nomenclature</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Facilitates identifying, processing, filing, storing, retrieving, transferring, and communicating data about medical devices</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GS1 </w:t>
            </w:r>
            <w:proofErr w:type="spellStart"/>
            <w:r w:rsidRPr="00353E30">
              <w:rPr>
                <w:rFonts w:cstheme="minorHAnsi"/>
                <w:b/>
                <w:bCs/>
                <w:sz w:val="20"/>
                <w:szCs w:val="20"/>
              </w:rPr>
              <w:t>DataMatrix</w:t>
            </w:r>
            <w:proofErr w:type="spellEnd"/>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GS1</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Pharmacy</w:t>
            </w:r>
            <w:proofErr w:type="spellEnd"/>
            <w:r w:rsidRPr="00353E30">
              <w:rPr>
                <w:rFonts w:cstheme="minorHAnsi"/>
                <w:sz w:val="20"/>
                <w:szCs w:val="20"/>
              </w:rPr>
              <w:t xml:space="preserve"> and Medical Devices</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Coding</w:t>
            </w:r>
            <w:proofErr w:type="spellEnd"/>
            <w:r w:rsidRPr="00353E30">
              <w:rPr>
                <w:rFonts w:cstheme="minorHAnsi"/>
                <w:sz w:val="20"/>
                <w:szCs w:val="20"/>
              </w:rPr>
              <w:t xml:space="preserve"> System </w:t>
            </w:r>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Worldwide unique/unambiguous identification code/</w:t>
            </w:r>
            <w:proofErr w:type="gramStart"/>
            <w:r w:rsidRPr="00353E30">
              <w:rPr>
                <w:rFonts w:cstheme="minorHAnsi"/>
                <w:sz w:val="20"/>
                <w:szCs w:val="20"/>
                <w:lang w:val="en-US"/>
              </w:rPr>
              <w:t>number ;</w:t>
            </w:r>
            <w:proofErr w:type="gramEnd"/>
            <w:r w:rsidRPr="00353E30">
              <w:rPr>
                <w:rFonts w:cstheme="minorHAnsi"/>
                <w:sz w:val="20"/>
                <w:szCs w:val="20"/>
                <w:lang w:val="en-US"/>
              </w:rPr>
              <w:t xml:space="preserve"> GS1 </w:t>
            </w:r>
            <w:proofErr w:type="spellStart"/>
            <w:r w:rsidRPr="00353E30">
              <w:rPr>
                <w:rFonts w:cstheme="minorHAnsi"/>
                <w:sz w:val="20"/>
                <w:szCs w:val="20"/>
                <w:lang w:val="en-US"/>
              </w:rPr>
              <w:t>datamatrix</w:t>
            </w:r>
            <w:proofErr w:type="spellEnd"/>
            <w:r w:rsidRPr="00353E30">
              <w:rPr>
                <w:rFonts w:cstheme="minorHAnsi"/>
                <w:sz w:val="20"/>
                <w:szCs w:val="20"/>
                <w:lang w:val="en-US"/>
              </w:rPr>
              <w:t xml:space="preserve"> is mainly used in healthcare to identify medication, medicinal products or patients.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GIVD</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Global In Vitro Diagnostic Product Classification</w:t>
            </w:r>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European Diagnostic Manufacturers Association (EDMA)</w:t>
            </w:r>
          </w:p>
        </w:tc>
        <w:tc>
          <w:tcPr>
            <w:tcW w:w="184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(In vitro diagnostic) Medical devices</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Product classification to be used to code in vitro diagnostic medical devices.</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ICD-O</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International Classification of Diseases for Oncology</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xml:space="preserve">World </w:t>
            </w:r>
            <w:proofErr w:type="spellStart"/>
            <w:r w:rsidRPr="00353E30">
              <w:rPr>
                <w:rFonts w:cstheme="minorHAnsi"/>
                <w:sz w:val="20"/>
                <w:szCs w:val="20"/>
              </w:rPr>
              <w:t>Health</w:t>
            </w:r>
            <w:proofErr w:type="spellEnd"/>
            <w:r w:rsidRPr="00353E30">
              <w:rPr>
                <w:rFonts w:cstheme="minorHAnsi"/>
                <w:sz w:val="20"/>
                <w:szCs w:val="20"/>
              </w:rPr>
              <w:t xml:space="preserve"> </w:t>
            </w:r>
            <w:proofErr w:type="spellStart"/>
            <w:r w:rsidRPr="00353E30">
              <w:rPr>
                <w:rFonts w:cstheme="minorHAnsi"/>
                <w:sz w:val="20"/>
                <w:szCs w:val="20"/>
              </w:rPr>
              <w:t>Organization</w:t>
            </w:r>
            <w:proofErr w:type="spellEnd"/>
            <w:r w:rsidRPr="00353E30">
              <w:rPr>
                <w:rFonts w:cstheme="minorHAnsi"/>
                <w:sz w:val="20"/>
                <w:szCs w:val="20"/>
              </w:rPr>
              <w:t xml:space="preserve"> (WHO)</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Oncology</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Classification comprised of two axis (morphology and topography) and widely used by cancer registries. ICD-O is a domain-specific extension of ICD and its third revision is currently in use (ICD-O-3).</w:t>
            </w:r>
          </w:p>
        </w:tc>
      </w:tr>
      <w:tr w:rsidR="008B19AE" w:rsidRPr="001111DB" w:rsidTr="00CA11E6">
        <w:trPr>
          <w:trHeight w:val="174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UCUM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Unified Code for Units of Measure </w:t>
            </w:r>
          </w:p>
        </w:tc>
        <w:tc>
          <w:tcPr>
            <w:tcW w:w="2075" w:type="dxa"/>
            <w:hideMark/>
          </w:tcPr>
          <w:p w:rsidR="008B19AE" w:rsidRPr="00353E30" w:rsidRDefault="008B19AE" w:rsidP="00CA11E6">
            <w:pPr>
              <w:rPr>
                <w:rFonts w:cstheme="minorHAnsi"/>
                <w:sz w:val="20"/>
                <w:szCs w:val="20"/>
                <w:lang w:val="en-US"/>
              </w:rPr>
            </w:pPr>
            <w:proofErr w:type="spellStart"/>
            <w:r w:rsidRPr="00353E30">
              <w:rPr>
                <w:rFonts w:cstheme="minorHAnsi"/>
                <w:sz w:val="20"/>
                <w:szCs w:val="20"/>
                <w:lang w:val="en-US"/>
              </w:rPr>
              <w:t>Regenstrief</w:t>
            </w:r>
            <w:proofErr w:type="spellEnd"/>
            <w:r w:rsidRPr="00353E30">
              <w:rPr>
                <w:rFonts w:cstheme="minorHAnsi"/>
                <w:sz w:val="20"/>
                <w:szCs w:val="20"/>
                <w:lang w:val="en-US"/>
              </w:rPr>
              <w:t xml:space="preserve"> Institute and UCUM Organization</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Sciences</w:t>
            </w:r>
            <w:proofErr w:type="spellEnd"/>
            <w:r w:rsidRPr="00353E30">
              <w:rPr>
                <w:rFonts w:cstheme="minorHAnsi"/>
                <w:sz w:val="20"/>
                <w:szCs w:val="20"/>
              </w:rPr>
              <w:t>, Engineering and Business</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Coding</w:t>
            </w:r>
            <w:proofErr w:type="spellEnd"/>
            <w:r w:rsidRPr="00353E30">
              <w:rPr>
                <w:rFonts w:cstheme="minorHAnsi"/>
                <w:sz w:val="20"/>
                <w:szCs w:val="20"/>
              </w:rPr>
              <w:t xml:space="preserve"> System </w:t>
            </w:r>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Units of measures used in international science, engineering and business, to facilitate unambiguous electronic communication of quantities together with their units ; Adopted by many organizations and included in the ISO 11240:2012 standard</w:t>
            </w:r>
          </w:p>
        </w:tc>
      </w:tr>
      <w:tr w:rsidR="008B19AE" w:rsidRPr="001111DB" w:rsidTr="00CA11E6">
        <w:trPr>
          <w:trHeight w:val="580"/>
        </w:trPr>
        <w:tc>
          <w:tcPr>
            <w:tcW w:w="1271" w:type="dxa"/>
            <w:noWrap/>
            <w:hideMark/>
          </w:tcPr>
          <w:p w:rsidR="008B19AE" w:rsidRPr="00353E30" w:rsidRDefault="008B19AE" w:rsidP="00CA11E6">
            <w:pPr>
              <w:rPr>
                <w:rFonts w:cstheme="minorHAnsi"/>
                <w:b/>
                <w:bCs/>
                <w:sz w:val="20"/>
                <w:szCs w:val="20"/>
              </w:rPr>
            </w:pPr>
            <w:r w:rsidRPr="00353E30">
              <w:rPr>
                <w:rFonts w:cstheme="minorHAnsi"/>
                <w:b/>
                <w:bCs/>
                <w:sz w:val="20"/>
                <w:szCs w:val="20"/>
              </w:rPr>
              <w:t>HGVS</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Human Genome Variation Society</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Human Genome Organisation (HUGO)</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Genetics</w:t>
            </w:r>
            <w:proofErr w:type="spellEnd"/>
            <w:r w:rsidRPr="00353E30">
              <w:rPr>
                <w:rFonts w:cstheme="minorHAnsi"/>
                <w:sz w:val="20"/>
                <w:szCs w:val="20"/>
              </w:rPr>
              <w:t xml:space="preserve"> / </w:t>
            </w:r>
            <w:proofErr w:type="spellStart"/>
            <w:r w:rsidRPr="00353E30">
              <w:rPr>
                <w:rFonts w:cstheme="minorHAnsi"/>
                <w:sz w:val="20"/>
                <w:szCs w:val="20"/>
              </w:rPr>
              <w:t>Phenotypes</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Nomenclature</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Nomenclature standard to describe any sequence variant (Mutation, polymorphism and pathogenic)</w:t>
            </w:r>
          </w:p>
        </w:tc>
      </w:tr>
      <w:tr w:rsidR="008B19AE" w:rsidRPr="001111DB" w:rsidTr="00CA11E6">
        <w:trPr>
          <w:trHeight w:val="58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DRG </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Diagnosis </w:t>
            </w:r>
            <w:proofErr w:type="spellStart"/>
            <w:r w:rsidRPr="00353E30">
              <w:rPr>
                <w:rFonts w:cstheme="minorHAnsi"/>
                <w:sz w:val="20"/>
                <w:szCs w:val="20"/>
              </w:rPr>
              <w:t>Related</w:t>
            </w:r>
            <w:proofErr w:type="spellEnd"/>
            <w:r w:rsidRPr="00353E30">
              <w:rPr>
                <w:rFonts w:cstheme="minorHAnsi"/>
                <w:sz w:val="20"/>
                <w:szCs w:val="20"/>
              </w:rPr>
              <w:t xml:space="preserve"> Groups</w:t>
            </w:r>
          </w:p>
        </w:tc>
        <w:tc>
          <w:tcPr>
            <w:tcW w:w="2075" w:type="dxa"/>
            <w:hideMark/>
          </w:tcPr>
          <w:p w:rsidR="008B19AE" w:rsidRPr="00353E30" w:rsidRDefault="008B19AE" w:rsidP="00CA11E6">
            <w:pPr>
              <w:rPr>
                <w:rFonts w:cstheme="minorHAnsi"/>
                <w:sz w:val="20"/>
                <w:szCs w:val="20"/>
              </w:rPr>
            </w:pPr>
            <w:proofErr w:type="spellStart"/>
            <w:r w:rsidRPr="00353E30">
              <w:rPr>
                <w:rFonts w:cstheme="minorHAnsi"/>
                <w:sz w:val="20"/>
                <w:szCs w:val="20"/>
              </w:rPr>
              <w:t>Defined</w:t>
            </w:r>
            <w:proofErr w:type="spellEnd"/>
            <w:r w:rsidRPr="00353E30">
              <w:rPr>
                <w:rFonts w:cstheme="minorHAnsi"/>
                <w:sz w:val="20"/>
                <w:szCs w:val="20"/>
              </w:rPr>
              <w:t xml:space="preserve"> </w:t>
            </w:r>
            <w:proofErr w:type="spellStart"/>
            <w:r w:rsidRPr="00353E30">
              <w:rPr>
                <w:rFonts w:cstheme="minorHAnsi"/>
                <w:sz w:val="20"/>
                <w:szCs w:val="20"/>
              </w:rPr>
              <w:t>by</w:t>
            </w:r>
            <w:proofErr w:type="spellEnd"/>
            <w:r w:rsidRPr="00353E30">
              <w:rPr>
                <w:rFonts w:cstheme="minorHAnsi"/>
                <w:sz w:val="20"/>
                <w:szCs w:val="20"/>
              </w:rPr>
              <w:t xml:space="preserve"> </w:t>
            </w:r>
            <w:proofErr w:type="spellStart"/>
            <w:r w:rsidRPr="00353E30">
              <w:rPr>
                <w:rFonts w:cstheme="minorHAnsi"/>
                <w:sz w:val="20"/>
                <w:szCs w:val="20"/>
              </w:rPr>
              <w:t>each</w:t>
            </w:r>
            <w:proofErr w:type="spellEnd"/>
            <w:r w:rsidRPr="00353E30">
              <w:rPr>
                <w:rFonts w:cstheme="minorHAnsi"/>
                <w:sz w:val="20"/>
                <w:szCs w:val="20"/>
              </w:rPr>
              <w:t xml:space="preserve"> </w:t>
            </w:r>
            <w:proofErr w:type="spellStart"/>
            <w:r w:rsidRPr="00353E30">
              <w:rPr>
                <w:rFonts w:cstheme="minorHAnsi"/>
                <w:sz w:val="20"/>
                <w:szCs w:val="20"/>
              </w:rPr>
              <w:t>country</w:t>
            </w:r>
            <w:proofErr w:type="spellEnd"/>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medicare</w:t>
            </w:r>
            <w:proofErr w:type="spellEnd"/>
            <w:r w:rsidRPr="00353E30">
              <w:rPr>
                <w:rFonts w:cstheme="minorHAnsi"/>
                <w:sz w:val="20"/>
                <w:szCs w:val="20"/>
              </w:rPr>
              <w:t xml:space="preserve"> </w:t>
            </w:r>
            <w:proofErr w:type="spellStart"/>
            <w:r w:rsidRPr="00353E30">
              <w:rPr>
                <w:rFonts w:cstheme="minorHAnsi"/>
                <w:sz w:val="20"/>
                <w:szCs w:val="20"/>
              </w:rPr>
              <w:t>reimbursement</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System to classify hospital cases (patients) into groups based on medical </w:t>
            </w:r>
            <w:proofErr w:type="spellStart"/>
            <w:r w:rsidRPr="00353E30">
              <w:rPr>
                <w:rFonts w:cstheme="minorHAnsi"/>
                <w:sz w:val="20"/>
                <w:szCs w:val="20"/>
                <w:lang w:val="en-US"/>
              </w:rPr>
              <w:t>informations</w:t>
            </w:r>
            <w:proofErr w:type="spellEnd"/>
          </w:p>
        </w:tc>
      </w:tr>
      <w:tr w:rsidR="008B19AE" w:rsidRPr="001111DB" w:rsidTr="00CA11E6">
        <w:trPr>
          <w:trHeight w:val="290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DUO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GA4GH Data Use Ontology (DUO)</w:t>
            </w:r>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GA4GH</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Healthcare</w:t>
            </w:r>
            <w:proofErr w:type="spellEnd"/>
            <w:r w:rsidRPr="00353E30">
              <w:rPr>
                <w:rFonts w:cstheme="minorHAnsi"/>
                <w:sz w:val="20"/>
                <w:szCs w:val="20"/>
              </w:rPr>
              <w:t xml:space="preserve"> and </w:t>
            </w:r>
            <w:proofErr w:type="spellStart"/>
            <w:r w:rsidRPr="00353E30">
              <w:rPr>
                <w:rFonts w:cstheme="minorHAnsi"/>
                <w:sz w:val="20"/>
                <w:szCs w:val="20"/>
              </w:rPr>
              <w:t>research</w:t>
            </w:r>
            <w:proofErr w:type="spellEnd"/>
            <w:r w:rsidRPr="00353E30">
              <w:rPr>
                <w:rFonts w:cstheme="minorHAnsi"/>
                <w:sz w:val="20"/>
                <w:szCs w:val="20"/>
              </w:rPr>
              <w:t xml:space="preserve"> (OMICS)</w:t>
            </w:r>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Classification</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Classification that allows users to semantically tag genomic datasets with usage restrictions, allowing them to become automatically discoverable based on a health, </w:t>
            </w:r>
            <w:proofErr w:type="gramStart"/>
            <w:r w:rsidRPr="00353E30">
              <w:rPr>
                <w:rFonts w:cstheme="minorHAnsi"/>
                <w:sz w:val="20"/>
                <w:szCs w:val="20"/>
                <w:lang w:val="en-US"/>
              </w:rPr>
              <w:t>clinical,</w:t>
            </w:r>
            <w:proofErr w:type="gramEnd"/>
            <w:r w:rsidRPr="00353E30">
              <w:rPr>
                <w:rFonts w:cstheme="minorHAnsi"/>
                <w:sz w:val="20"/>
                <w:szCs w:val="20"/>
                <w:lang w:val="en-US"/>
              </w:rPr>
              <w:t xml:space="preserve"> or biomedical researcher’s authorization level or intended use. DUO </w:t>
            </w:r>
            <w:proofErr w:type="gramStart"/>
            <w:r w:rsidRPr="00353E30">
              <w:rPr>
                <w:rFonts w:cstheme="minorHAnsi"/>
                <w:sz w:val="20"/>
                <w:szCs w:val="20"/>
                <w:lang w:val="en-US"/>
              </w:rPr>
              <w:t>is based</w:t>
            </w:r>
            <w:proofErr w:type="gramEnd"/>
            <w:r w:rsidRPr="00353E30">
              <w:rPr>
                <w:rFonts w:cstheme="minorHAnsi"/>
                <w:sz w:val="20"/>
                <w:szCs w:val="20"/>
                <w:lang w:val="en-US"/>
              </w:rPr>
              <w:t xml:space="preserve"> on the OBO Foundry principles and developed using the W3C Web Ontology Language. </w:t>
            </w:r>
            <w:proofErr w:type="gramStart"/>
            <w:r w:rsidRPr="00353E30">
              <w:rPr>
                <w:rFonts w:cstheme="minorHAnsi"/>
                <w:sz w:val="20"/>
                <w:szCs w:val="20"/>
                <w:lang w:val="en-US"/>
              </w:rPr>
              <w:t>It is being used in production by the European Genome-phenome Archive (EGA) at EMBL-EBI/CRG as well as the Broad Institute</w:t>
            </w:r>
            <w:proofErr w:type="gramEnd"/>
            <w:r w:rsidRPr="00353E30">
              <w:rPr>
                <w:rFonts w:cstheme="minorHAnsi"/>
                <w:sz w:val="20"/>
                <w:szCs w:val="20"/>
                <w:lang w:val="en-US"/>
              </w:rPr>
              <w:t xml:space="preserve"> for the Data Use Oversight System (DUOS).</w:t>
            </w:r>
          </w:p>
        </w:tc>
      </w:tr>
      <w:tr w:rsidR="008B19AE" w:rsidRPr="001111DB" w:rsidTr="00CA11E6">
        <w:trPr>
          <w:trHeight w:val="116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CMO </w:t>
            </w:r>
          </w:p>
        </w:tc>
        <w:tc>
          <w:tcPr>
            <w:tcW w:w="2603" w:type="dxa"/>
            <w:hideMark/>
          </w:tcPr>
          <w:p w:rsidR="008B19AE" w:rsidRPr="00353E30" w:rsidRDefault="008B19AE" w:rsidP="00CA11E6">
            <w:pPr>
              <w:rPr>
                <w:rFonts w:cstheme="minorHAnsi"/>
                <w:sz w:val="20"/>
                <w:szCs w:val="20"/>
              </w:rPr>
            </w:pPr>
            <w:r w:rsidRPr="00353E30">
              <w:rPr>
                <w:rFonts w:cstheme="minorHAnsi"/>
                <w:sz w:val="20"/>
                <w:szCs w:val="20"/>
              </w:rPr>
              <w:t xml:space="preserve">Clinical Measurement </w:t>
            </w:r>
            <w:proofErr w:type="spellStart"/>
            <w:r w:rsidRPr="00353E30">
              <w:rPr>
                <w:rFonts w:cstheme="minorHAnsi"/>
                <w:sz w:val="20"/>
                <w:szCs w:val="20"/>
              </w:rPr>
              <w:t>Ontology</w:t>
            </w:r>
            <w:proofErr w:type="spellEnd"/>
          </w:p>
        </w:tc>
        <w:tc>
          <w:tcPr>
            <w:tcW w:w="2075" w:type="dxa"/>
            <w:hideMark/>
          </w:tcPr>
          <w:p w:rsidR="008B19AE" w:rsidRPr="00353E30" w:rsidRDefault="008B19AE" w:rsidP="00CA11E6">
            <w:pPr>
              <w:rPr>
                <w:rFonts w:cstheme="minorHAnsi"/>
                <w:sz w:val="20"/>
                <w:szCs w:val="20"/>
              </w:rPr>
            </w:pPr>
            <w:r w:rsidRPr="00353E30">
              <w:rPr>
                <w:rFonts w:cstheme="minorHAnsi"/>
                <w:sz w:val="20"/>
                <w:szCs w:val="20"/>
              </w:rPr>
              <w:t> </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Healthcare</w:t>
            </w:r>
            <w:proofErr w:type="spellEnd"/>
            <w:r w:rsidRPr="00353E30">
              <w:rPr>
                <w:rFonts w:cstheme="minorHAnsi"/>
                <w:sz w:val="20"/>
                <w:szCs w:val="20"/>
              </w:rPr>
              <w:t xml:space="preserve"> and </w:t>
            </w:r>
            <w:proofErr w:type="spellStart"/>
            <w:r w:rsidRPr="00353E30">
              <w:rPr>
                <w:rFonts w:cstheme="minorHAnsi"/>
                <w:sz w:val="20"/>
                <w:szCs w:val="20"/>
              </w:rPr>
              <w:t>research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Nomenclature</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CMO </w:t>
            </w:r>
            <w:proofErr w:type="gramStart"/>
            <w:r w:rsidRPr="00353E30">
              <w:rPr>
                <w:rFonts w:cstheme="minorHAnsi"/>
                <w:sz w:val="20"/>
                <w:szCs w:val="20"/>
                <w:lang w:val="en-US"/>
              </w:rPr>
              <w:t>is designed to be used</w:t>
            </w:r>
            <w:proofErr w:type="gramEnd"/>
            <w:r w:rsidRPr="00353E30">
              <w:rPr>
                <w:rFonts w:cstheme="minorHAnsi"/>
                <w:sz w:val="20"/>
                <w:szCs w:val="20"/>
                <w:lang w:val="en-US"/>
              </w:rPr>
              <w:t xml:space="preserve"> to standardize morphological and physiological measurement records generated from clinical and model organism research and health programs.</w:t>
            </w:r>
          </w:p>
        </w:tc>
      </w:tr>
      <w:tr w:rsidR="008B19AE" w:rsidRPr="001111DB" w:rsidTr="00CA11E6">
        <w:trPr>
          <w:trHeight w:val="87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DOID </w:t>
            </w:r>
          </w:p>
        </w:tc>
        <w:tc>
          <w:tcPr>
            <w:tcW w:w="2603" w:type="dxa"/>
            <w:hideMark/>
          </w:tcPr>
          <w:p w:rsidR="008B19AE" w:rsidRPr="00353E30" w:rsidRDefault="008B19AE" w:rsidP="00CA11E6">
            <w:pPr>
              <w:rPr>
                <w:rFonts w:cstheme="minorHAnsi"/>
                <w:sz w:val="20"/>
                <w:szCs w:val="20"/>
              </w:rPr>
            </w:pPr>
            <w:proofErr w:type="spellStart"/>
            <w:r w:rsidRPr="00353E30">
              <w:rPr>
                <w:rFonts w:cstheme="minorHAnsi"/>
                <w:sz w:val="20"/>
                <w:szCs w:val="20"/>
              </w:rPr>
              <w:t>Disease</w:t>
            </w:r>
            <w:proofErr w:type="spellEnd"/>
            <w:r w:rsidRPr="00353E30">
              <w:rPr>
                <w:rFonts w:cstheme="minorHAnsi"/>
                <w:sz w:val="20"/>
                <w:szCs w:val="20"/>
              </w:rPr>
              <w:t xml:space="preserve"> </w:t>
            </w:r>
            <w:proofErr w:type="spellStart"/>
            <w:r w:rsidRPr="00353E30">
              <w:rPr>
                <w:rFonts w:cstheme="minorHAnsi"/>
                <w:sz w:val="20"/>
                <w:szCs w:val="20"/>
              </w:rPr>
              <w:t>Ontology</w:t>
            </w:r>
            <w:proofErr w:type="spellEnd"/>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University of Maryland School of Medicine</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Healthcare</w:t>
            </w:r>
            <w:proofErr w:type="spellEnd"/>
            <w:r w:rsidRPr="00353E30">
              <w:rPr>
                <w:rFonts w:cstheme="minorHAnsi"/>
                <w:sz w:val="20"/>
                <w:szCs w:val="20"/>
              </w:rPr>
              <w:t xml:space="preserve"> and </w:t>
            </w:r>
            <w:proofErr w:type="spellStart"/>
            <w:r w:rsidRPr="00353E30">
              <w:rPr>
                <w:rFonts w:cstheme="minorHAnsi"/>
                <w:sz w:val="20"/>
                <w:szCs w:val="20"/>
              </w:rPr>
              <w:t>research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Nomenclature</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Description of the classification of human diseases organized by etiology</w:t>
            </w:r>
          </w:p>
        </w:tc>
      </w:tr>
      <w:tr w:rsidR="008B19AE" w:rsidRPr="001111DB" w:rsidTr="00CA11E6">
        <w:trPr>
          <w:trHeight w:val="1450"/>
        </w:trPr>
        <w:tc>
          <w:tcPr>
            <w:tcW w:w="1271" w:type="dxa"/>
            <w:hideMark/>
          </w:tcPr>
          <w:p w:rsidR="008B19AE" w:rsidRPr="00353E30" w:rsidRDefault="008B19AE" w:rsidP="00CA11E6">
            <w:pPr>
              <w:rPr>
                <w:rFonts w:cstheme="minorHAnsi"/>
                <w:b/>
                <w:bCs/>
                <w:sz w:val="20"/>
                <w:szCs w:val="20"/>
              </w:rPr>
            </w:pPr>
            <w:r w:rsidRPr="00353E30">
              <w:rPr>
                <w:rFonts w:cstheme="minorHAnsi"/>
                <w:b/>
                <w:bCs/>
                <w:sz w:val="20"/>
                <w:szCs w:val="20"/>
              </w:rPr>
              <w:t xml:space="preserve">OMRSE </w:t>
            </w:r>
          </w:p>
        </w:tc>
        <w:tc>
          <w:tcPr>
            <w:tcW w:w="2603"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Ontology of Medically Related Social Entities</w:t>
            </w:r>
          </w:p>
        </w:tc>
        <w:tc>
          <w:tcPr>
            <w:tcW w:w="2075" w:type="dxa"/>
            <w:hideMark/>
          </w:tcPr>
          <w:p w:rsidR="008B19AE" w:rsidRPr="00353E30" w:rsidRDefault="008B19AE" w:rsidP="00CA11E6">
            <w:pPr>
              <w:rPr>
                <w:rFonts w:cstheme="minorHAnsi"/>
                <w:sz w:val="20"/>
                <w:szCs w:val="20"/>
                <w:lang w:val="en-US"/>
              </w:rPr>
            </w:pPr>
            <w:r w:rsidRPr="00353E30">
              <w:rPr>
                <w:rFonts w:cstheme="minorHAnsi"/>
                <w:sz w:val="20"/>
                <w:szCs w:val="20"/>
                <w:lang w:val="en-US"/>
              </w:rPr>
              <w:t> </w:t>
            </w:r>
          </w:p>
        </w:tc>
        <w:tc>
          <w:tcPr>
            <w:tcW w:w="1843" w:type="dxa"/>
            <w:hideMark/>
          </w:tcPr>
          <w:p w:rsidR="008B19AE" w:rsidRPr="00353E30" w:rsidRDefault="008B19AE" w:rsidP="00CA11E6">
            <w:pPr>
              <w:rPr>
                <w:rFonts w:cstheme="minorHAnsi"/>
                <w:sz w:val="20"/>
                <w:szCs w:val="20"/>
              </w:rPr>
            </w:pPr>
            <w:proofErr w:type="spellStart"/>
            <w:r w:rsidRPr="00353E30">
              <w:rPr>
                <w:rFonts w:cstheme="minorHAnsi"/>
                <w:sz w:val="20"/>
                <w:szCs w:val="20"/>
              </w:rPr>
              <w:t>Healthcare</w:t>
            </w:r>
            <w:proofErr w:type="spellEnd"/>
            <w:r w:rsidRPr="00353E30">
              <w:rPr>
                <w:rFonts w:cstheme="minorHAnsi"/>
                <w:sz w:val="20"/>
                <w:szCs w:val="20"/>
              </w:rPr>
              <w:t xml:space="preserve"> and </w:t>
            </w:r>
            <w:proofErr w:type="spellStart"/>
            <w:r w:rsidRPr="00353E30">
              <w:rPr>
                <w:rFonts w:cstheme="minorHAnsi"/>
                <w:sz w:val="20"/>
                <w:szCs w:val="20"/>
              </w:rPr>
              <w:t>research</w:t>
            </w:r>
            <w:proofErr w:type="spellEnd"/>
          </w:p>
        </w:tc>
        <w:tc>
          <w:tcPr>
            <w:tcW w:w="1842" w:type="dxa"/>
            <w:hideMark/>
          </w:tcPr>
          <w:p w:rsidR="008B19AE" w:rsidRPr="00353E30" w:rsidRDefault="008B19AE" w:rsidP="00CA11E6">
            <w:pPr>
              <w:rPr>
                <w:rFonts w:cstheme="minorHAnsi"/>
                <w:sz w:val="20"/>
                <w:szCs w:val="20"/>
              </w:rPr>
            </w:pPr>
            <w:proofErr w:type="spellStart"/>
            <w:r w:rsidRPr="00353E30">
              <w:rPr>
                <w:rFonts w:cstheme="minorHAnsi"/>
                <w:sz w:val="20"/>
                <w:szCs w:val="20"/>
              </w:rPr>
              <w:t>Nomenclature</w:t>
            </w:r>
            <w:proofErr w:type="spellEnd"/>
          </w:p>
        </w:tc>
        <w:tc>
          <w:tcPr>
            <w:tcW w:w="6096" w:type="dxa"/>
            <w:hideMark/>
          </w:tcPr>
          <w:p w:rsidR="008B19AE" w:rsidRPr="00353E30" w:rsidRDefault="008B19AE" w:rsidP="00CA11E6">
            <w:pPr>
              <w:jc w:val="both"/>
              <w:rPr>
                <w:rFonts w:cstheme="minorHAnsi"/>
                <w:sz w:val="20"/>
                <w:szCs w:val="20"/>
                <w:lang w:val="en-US"/>
              </w:rPr>
            </w:pPr>
            <w:r w:rsidRPr="00353E30">
              <w:rPr>
                <w:rFonts w:cstheme="minorHAnsi"/>
                <w:sz w:val="20"/>
                <w:szCs w:val="20"/>
                <w:lang w:val="en-US"/>
              </w:rPr>
              <w:t xml:space="preserve">Covers the domain of social entities that are related to health care, such as demographic information (social entities for recording gender (but not sex) and marital status, for example) and the roles of various individuals and organizations (patient, </w:t>
            </w:r>
            <w:proofErr w:type="spellStart"/>
            <w:r w:rsidRPr="00353E30">
              <w:rPr>
                <w:rFonts w:cstheme="minorHAnsi"/>
                <w:sz w:val="20"/>
                <w:szCs w:val="20"/>
                <w:lang w:val="en-US"/>
              </w:rPr>
              <w:t>hospital</w:t>
            </w:r>
            <w:proofErr w:type="gramStart"/>
            <w:r w:rsidRPr="00353E30">
              <w:rPr>
                <w:rFonts w:cstheme="minorHAnsi"/>
                <w:sz w:val="20"/>
                <w:szCs w:val="20"/>
                <w:lang w:val="en-US"/>
              </w:rPr>
              <w:t>,etc</w:t>
            </w:r>
            <w:proofErr w:type="spellEnd"/>
            <w:proofErr w:type="gramEnd"/>
            <w:r w:rsidRPr="00353E30">
              <w:rPr>
                <w:rFonts w:cstheme="minorHAnsi"/>
                <w:sz w:val="20"/>
                <w:szCs w:val="20"/>
                <w:lang w:val="en-US"/>
              </w:rPr>
              <w:t xml:space="preserve">.) </w:t>
            </w:r>
          </w:p>
        </w:tc>
      </w:tr>
    </w:tbl>
    <w:p w:rsidR="008B19AE" w:rsidRPr="00B31CE4" w:rsidRDefault="008B19AE" w:rsidP="008B19AE">
      <w:pPr>
        <w:rPr>
          <w:lang w:val="en-US"/>
        </w:rPr>
      </w:pPr>
    </w:p>
    <w:p w:rsidR="00AE5B48" w:rsidRPr="008B19AE" w:rsidRDefault="00AE5B48">
      <w:pPr>
        <w:rPr>
          <w:lang w:val="en-US"/>
        </w:rPr>
      </w:pPr>
      <w:bookmarkStart w:id="1" w:name="_GoBack"/>
      <w:bookmarkEnd w:id="1"/>
    </w:p>
    <w:sectPr w:rsidR="00AE5B48" w:rsidRPr="008B19AE" w:rsidSect="008B19A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AE"/>
    <w:rsid w:val="008B19AE"/>
    <w:rsid w:val="00AE5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0A71F-DCD0-476D-AFF6-9ADC807E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B19AE"/>
    <w:pPr>
      <w:spacing w:after="0" w:line="240" w:lineRule="auto"/>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19A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Listenabsatz"/>
    <w:next w:val="Standard"/>
    <w:uiPriority w:val="35"/>
    <w:unhideWhenUsed/>
    <w:qFormat/>
    <w:rsid w:val="008B19AE"/>
    <w:pPr>
      <w:spacing w:line="360" w:lineRule="auto"/>
      <w:ind w:left="360"/>
      <w:jc w:val="both"/>
    </w:pPr>
    <w:rPr>
      <w:rFonts w:eastAsia="Times New Roman" w:cs="Times New Roman"/>
      <w:b/>
      <w:lang w:val="en-US"/>
    </w:rPr>
  </w:style>
  <w:style w:type="paragraph" w:styleId="Listenabsatz">
    <w:name w:val="List Paragraph"/>
    <w:basedOn w:val="Standard"/>
    <w:uiPriority w:val="34"/>
    <w:qFormat/>
    <w:rsid w:val="008B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6366B6115821498F44ABDA06810297" ma:contentTypeVersion="16" ma:contentTypeDescription="Ein neues Dokument erstellen." ma:contentTypeScope="" ma:versionID="1715c0d980bea416d476cbe62d1ddf6a">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e5b40e3d9e6a771deae56420ce44fb43"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xsi:nil="true"/>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976B22-10FC-41D7-84AE-A126737ABD3A}"/>
</file>

<file path=customXml/itemProps2.xml><?xml version="1.0" encoding="utf-8"?>
<ds:datastoreItem xmlns:ds="http://schemas.openxmlformats.org/officeDocument/2006/customXml" ds:itemID="{1377FA38-63C8-4935-8CC4-45D61EABAC3D}"/>
</file>

<file path=customXml/itemProps3.xml><?xml version="1.0" encoding="utf-8"?>
<ds:datastoreItem xmlns:ds="http://schemas.openxmlformats.org/officeDocument/2006/customXml" ds:itemID="{B73F2A1E-812B-49AC-941F-C6F8DF41CE3E}"/>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8110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Charité Universitaetsmedizin Berlin</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Vorisek, Carina Nina</dc:creator>
  <cp:keywords/>
  <dc:description/>
  <cp:lastModifiedBy>Vorisek, Carina Nina</cp:lastModifiedBy>
  <cp:revision>1</cp:revision>
  <dcterms:created xsi:type="dcterms:W3CDTF">2022-10-10T10:09:00Z</dcterms:created>
  <dcterms:modified xsi:type="dcterms:W3CDTF">2022-10-10T10:09:00Z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ies>
</file>