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923" w:rsidRPr="00180D43" w:rsidRDefault="009D5923" w:rsidP="009D5923">
      <w:pPr>
        <w:pStyle w:val="Beschriftung"/>
        <w:ind w:left="0"/>
      </w:pPr>
      <w:bookmarkStart w:id="0" w:name="_Toc88764555"/>
      <w:r w:rsidRPr="00180D43">
        <w:t xml:space="preserve">Table </w:t>
      </w:r>
      <w:r w:rsidRPr="00180D43">
        <w:fldChar w:fldCharType="begin"/>
      </w:r>
      <w:r w:rsidRPr="00180D43">
        <w:instrText xml:space="preserve"> SEQ Table \* ARABIC </w:instrText>
      </w:r>
      <w:r w:rsidRPr="00180D43">
        <w:fldChar w:fldCharType="separate"/>
      </w:r>
      <w:r>
        <w:rPr>
          <w:noProof/>
        </w:rPr>
        <w:t>8</w:t>
      </w:r>
      <w:r w:rsidRPr="00180D43">
        <w:fldChar w:fldCharType="end"/>
      </w:r>
      <w:r w:rsidRPr="00180D43">
        <w:t>. Potentially suitable standards for NFDI4Health’ use cases – current state</w:t>
      </w:r>
      <w:bookmarkEnd w:id="0"/>
    </w:p>
    <w:tbl>
      <w:tblPr>
        <w:tblStyle w:val="TabellemithellemGitternetz"/>
        <w:tblW w:w="0" w:type="auto"/>
        <w:tblLayout w:type="fixed"/>
        <w:tblLook w:val="06A0" w:firstRow="1" w:lastRow="0" w:firstColumn="1" w:lastColumn="0" w:noHBand="1" w:noVBand="1"/>
      </w:tblPr>
      <w:tblGrid>
        <w:gridCol w:w="1740"/>
        <w:gridCol w:w="1890"/>
        <w:gridCol w:w="5279"/>
        <w:gridCol w:w="1121"/>
      </w:tblGrid>
      <w:tr w:rsidR="009D5923" w:rsidRPr="00180D43" w:rsidTr="00CA11E6">
        <w:tc>
          <w:tcPr>
            <w:tcW w:w="1740" w:type="dxa"/>
          </w:tcPr>
          <w:p w:rsidR="009D5923" w:rsidRPr="00180D43" w:rsidRDefault="009D5923" w:rsidP="00CA11E6">
            <w:pPr>
              <w:rPr>
                <w:rFonts w:cstheme="minorHAnsi"/>
                <w:b/>
                <w:bCs/>
                <w:lang w:val="en-US"/>
              </w:rPr>
            </w:pPr>
            <w:r w:rsidRPr="00180D43">
              <w:rPr>
                <w:rFonts w:cstheme="minorHAnsi"/>
                <w:b/>
                <w:bCs/>
                <w:lang w:val="en-US"/>
              </w:rPr>
              <w:t>Name</w:t>
            </w:r>
          </w:p>
        </w:tc>
        <w:tc>
          <w:tcPr>
            <w:tcW w:w="1890" w:type="dxa"/>
          </w:tcPr>
          <w:p w:rsidR="009D5923" w:rsidRPr="00180D43" w:rsidRDefault="009D5923" w:rsidP="00CA11E6">
            <w:pPr>
              <w:rPr>
                <w:rFonts w:cstheme="minorHAnsi"/>
                <w:b/>
                <w:bCs/>
                <w:lang w:val="en-US"/>
              </w:rPr>
            </w:pPr>
            <w:r w:rsidRPr="00180D43">
              <w:rPr>
                <w:rFonts w:cstheme="minorHAnsi"/>
                <w:b/>
                <w:bCs/>
                <w:lang w:val="en-US"/>
              </w:rPr>
              <w:t>Interoperability Layer and/or Type of Standard</w:t>
            </w:r>
          </w:p>
        </w:tc>
        <w:tc>
          <w:tcPr>
            <w:tcW w:w="5279" w:type="dxa"/>
          </w:tcPr>
          <w:p w:rsidR="009D5923" w:rsidRPr="00180D43" w:rsidRDefault="009D5923" w:rsidP="00CA11E6">
            <w:pPr>
              <w:rPr>
                <w:rFonts w:cstheme="minorHAnsi"/>
                <w:b/>
                <w:bCs/>
                <w:lang w:val="en-US"/>
              </w:rPr>
            </w:pPr>
            <w:r w:rsidRPr="00180D43">
              <w:rPr>
                <w:rFonts w:cstheme="minorHAnsi"/>
                <w:b/>
                <w:bCs/>
                <w:lang w:val="en-US"/>
              </w:rPr>
              <w:t>Description</w:t>
            </w:r>
          </w:p>
        </w:tc>
        <w:tc>
          <w:tcPr>
            <w:tcW w:w="1121" w:type="dxa"/>
          </w:tcPr>
          <w:p w:rsidR="009D5923" w:rsidRPr="00180D43" w:rsidRDefault="009D5923" w:rsidP="00CA11E6">
            <w:pPr>
              <w:rPr>
                <w:rFonts w:cstheme="minorHAnsi"/>
                <w:b/>
                <w:bCs/>
                <w:lang w:val="en-US"/>
              </w:rPr>
            </w:pPr>
            <w:r w:rsidRPr="00180D43">
              <w:rPr>
                <w:rFonts w:cstheme="minorHAnsi"/>
                <w:b/>
                <w:bCs/>
                <w:lang w:val="en-US"/>
              </w:rPr>
              <w:t>Use Case</w:t>
            </w:r>
          </w:p>
        </w:tc>
      </w:tr>
      <w:tr w:rsidR="009D5923" w:rsidRPr="00180D43" w:rsidTr="00CA11E6">
        <w:tc>
          <w:tcPr>
            <w:tcW w:w="1740" w:type="dxa"/>
          </w:tcPr>
          <w:p w:rsidR="009D5923" w:rsidRPr="00180D43" w:rsidRDefault="009D5923" w:rsidP="00CA11E6">
            <w:pPr>
              <w:rPr>
                <w:rFonts w:cstheme="minorHAnsi"/>
                <w:lang w:val="en-US"/>
              </w:rPr>
            </w:pPr>
            <w:r w:rsidRPr="00180D43">
              <w:rPr>
                <w:rFonts w:cstheme="minorHAnsi"/>
                <w:lang w:val="en-US"/>
              </w:rPr>
              <w:t>Fast Healthcare Interoperability Resources (FHIR)</w:t>
            </w:r>
          </w:p>
        </w:tc>
        <w:tc>
          <w:tcPr>
            <w:tcW w:w="1890" w:type="dxa"/>
          </w:tcPr>
          <w:p w:rsidR="009D5923" w:rsidRPr="00180D43" w:rsidRDefault="009D5923" w:rsidP="00CA11E6">
            <w:pPr>
              <w:rPr>
                <w:rFonts w:cstheme="minorHAnsi"/>
                <w:lang w:val="en-US"/>
              </w:rPr>
            </w:pPr>
            <w:r w:rsidRPr="00180D43">
              <w:rPr>
                <w:rFonts w:cstheme="minorHAnsi"/>
                <w:lang w:val="en-US"/>
              </w:rPr>
              <w:t>Syntactic ; enables semantic interoperability</w:t>
            </w:r>
          </w:p>
        </w:tc>
        <w:tc>
          <w:tcPr>
            <w:tcW w:w="5279" w:type="dxa"/>
          </w:tcPr>
          <w:p w:rsidR="009D5923" w:rsidRPr="00180D43" w:rsidRDefault="009D5923" w:rsidP="00CA11E6">
            <w:pPr>
              <w:spacing w:line="259" w:lineRule="auto"/>
              <w:rPr>
                <w:rFonts w:cstheme="minorHAnsi"/>
                <w:lang w:val="en-US"/>
              </w:rPr>
            </w:pPr>
            <w:r w:rsidRPr="00180D43">
              <w:rPr>
                <w:rFonts w:cstheme="minorHAnsi"/>
                <w:lang w:val="en-US"/>
              </w:rPr>
              <w:t xml:space="preserve">Standard to exchange information generated in healthcare (processes) using standard resources and extensions. </w:t>
            </w:r>
          </w:p>
          <w:p w:rsidR="009D5923" w:rsidRPr="00180D43" w:rsidRDefault="009D5923" w:rsidP="00CA11E6">
            <w:pPr>
              <w:spacing w:line="259" w:lineRule="auto"/>
              <w:rPr>
                <w:rFonts w:cstheme="minorHAnsi"/>
                <w:lang w:val="en-US"/>
              </w:rPr>
            </w:pPr>
            <w:r w:rsidRPr="6C7F8CA4">
              <w:rPr>
                <w:lang w:val="en-US"/>
              </w:rPr>
              <w:t>Besides the resources ResearchStudy, DocumentReference and Questionnaire used to map NFDI TF 19’s MDS, FHIR can be used e.g. for imaging (ImagingStudy), to document consent (Consent</w:t>
            </w:r>
            <w:r w:rsidRPr="6C7F8CA4">
              <w:rPr>
                <w:rStyle w:val="Endnotenzeichen"/>
                <w:lang w:val="en-US"/>
              </w:rPr>
              <w:endnoteReference w:id="1"/>
            </w:r>
            <w:r w:rsidRPr="6C7F8CA4">
              <w:rPr>
                <w:lang w:val="en-US"/>
              </w:rPr>
              <w:t>) or provenance (Provenance</w:t>
            </w:r>
            <w:r w:rsidRPr="6C7F8CA4">
              <w:rPr>
                <w:rStyle w:val="Endnotenzeichen"/>
                <w:lang w:val="en-US"/>
              </w:rPr>
              <w:endnoteReference w:id="2"/>
            </w:r>
            <w:r w:rsidRPr="6C7F8CA4">
              <w:rPr>
                <w:lang w:val="en-US"/>
              </w:rPr>
              <w:t>), or to control the quality of measures (Measure</w:t>
            </w:r>
            <w:r w:rsidRPr="6C7F8CA4">
              <w:rPr>
                <w:rStyle w:val="Endnotenzeichen"/>
                <w:lang w:val="en-US"/>
              </w:rPr>
              <w:endnoteReference w:id="3"/>
            </w:r>
            <w:r w:rsidRPr="6C7F8CA4">
              <w:rPr>
                <w:lang w:val="en-US"/>
              </w:rPr>
              <w:t xml:space="preserve">).  </w:t>
            </w:r>
          </w:p>
        </w:tc>
        <w:tc>
          <w:tcPr>
            <w:tcW w:w="1121" w:type="dxa"/>
          </w:tcPr>
          <w:p w:rsidR="009D5923" w:rsidRPr="00180D43" w:rsidRDefault="009D5923" w:rsidP="00CA11E6">
            <w:pPr>
              <w:rPr>
                <w:rFonts w:cstheme="minorHAnsi"/>
                <w:lang w:val="en-US"/>
              </w:rPr>
            </w:pPr>
            <w:r w:rsidRPr="00180D43">
              <w:rPr>
                <w:rFonts w:cstheme="minorHAnsi"/>
                <w:lang w:val="en-US"/>
              </w:rPr>
              <w:t>All</w:t>
            </w:r>
          </w:p>
        </w:tc>
      </w:tr>
      <w:tr w:rsidR="009D5923" w:rsidRPr="00180D43" w:rsidTr="00CA11E6">
        <w:tc>
          <w:tcPr>
            <w:tcW w:w="1740" w:type="dxa"/>
          </w:tcPr>
          <w:p w:rsidR="009D5923" w:rsidRPr="00180D43" w:rsidRDefault="009D5923" w:rsidP="00CA11E6">
            <w:pPr>
              <w:rPr>
                <w:rFonts w:cstheme="minorHAnsi"/>
                <w:lang w:val="en-US"/>
              </w:rPr>
            </w:pPr>
            <w:r w:rsidRPr="00180D43">
              <w:rPr>
                <w:rFonts w:cstheme="minorHAnsi"/>
                <w:lang w:val="en-US"/>
              </w:rPr>
              <w:t>Systematized Nomenclature of Medicine - Clinical Terms (SNOMED CT)</w:t>
            </w:r>
          </w:p>
        </w:tc>
        <w:tc>
          <w:tcPr>
            <w:tcW w:w="1890" w:type="dxa"/>
          </w:tcPr>
          <w:p w:rsidR="009D5923" w:rsidRPr="00180D43" w:rsidRDefault="009D5923" w:rsidP="00CA11E6">
            <w:pPr>
              <w:rPr>
                <w:rFonts w:cstheme="minorHAnsi"/>
                <w:lang w:val="en-US"/>
              </w:rPr>
            </w:pPr>
            <w:r w:rsidRPr="00180D43">
              <w:rPr>
                <w:rFonts w:cstheme="minorHAnsi"/>
                <w:lang w:val="en-US"/>
              </w:rPr>
              <w:t>Semantic ; Terminology</w:t>
            </w:r>
          </w:p>
        </w:tc>
        <w:tc>
          <w:tcPr>
            <w:tcW w:w="5279" w:type="dxa"/>
          </w:tcPr>
          <w:p w:rsidR="009D5923" w:rsidRPr="00180D43" w:rsidRDefault="009D5923" w:rsidP="00CA11E6">
            <w:pPr>
              <w:spacing w:line="259" w:lineRule="auto"/>
              <w:rPr>
                <w:rFonts w:cstheme="minorHAnsi"/>
                <w:lang w:val="en-US"/>
              </w:rPr>
            </w:pPr>
            <w:r w:rsidRPr="6C7F8CA4">
              <w:rPr>
                <w:lang w:val="en-US"/>
              </w:rPr>
              <w:t xml:space="preserve">Extensive comprehensive </w:t>
            </w:r>
            <w:proofErr w:type="gramStart"/>
            <w:r w:rsidRPr="6C7F8CA4">
              <w:rPr>
                <w:lang w:val="en-US"/>
              </w:rPr>
              <w:t>health(</w:t>
            </w:r>
            <w:proofErr w:type="gramEnd"/>
            <w:r w:rsidRPr="6C7F8CA4">
              <w:rPr>
                <w:lang w:val="en-US"/>
              </w:rPr>
              <w:t>care) terminology available in several languages, used in more than eighty countries and with mappings to other international standards. SNOMED CT is included in several information models or other standards such as OMOP CDM or FHIR</w:t>
            </w:r>
            <w:r w:rsidRPr="6C7F8CA4">
              <w:rPr>
                <w:rStyle w:val="Endnotenzeichen"/>
                <w:lang w:val="en-US"/>
              </w:rPr>
              <w:endnoteReference w:id="4"/>
            </w:r>
            <w:r w:rsidRPr="6C7F8CA4">
              <w:rPr>
                <w:lang w:val="en-US"/>
              </w:rPr>
              <w:t>.</w:t>
            </w:r>
          </w:p>
          <w:p w:rsidR="009D5923" w:rsidRPr="00180D43" w:rsidRDefault="009D5923" w:rsidP="00CA11E6">
            <w:pPr>
              <w:rPr>
                <w:rFonts w:cstheme="minorHAnsi"/>
                <w:lang w:val="en-US"/>
              </w:rPr>
            </w:pPr>
          </w:p>
          <w:p w:rsidR="009D5923" w:rsidRPr="00180D43" w:rsidRDefault="009D5923" w:rsidP="00CA11E6">
            <w:pPr>
              <w:rPr>
                <w:rFonts w:cstheme="minorHAnsi"/>
                <w:lang w:val="en-US"/>
              </w:rPr>
            </w:pPr>
            <w:r w:rsidRPr="6C7F8CA4">
              <w:rPr>
                <w:lang w:val="en-US"/>
              </w:rPr>
              <w:t xml:space="preserve">For </w:t>
            </w:r>
            <w:proofErr w:type="gramStart"/>
            <w:r w:rsidRPr="6C7F8CA4">
              <w:rPr>
                <w:lang w:val="en-US"/>
              </w:rPr>
              <w:t>T5.1</w:t>
            </w:r>
            <w:proofErr w:type="gramEnd"/>
            <w:r w:rsidRPr="6C7F8CA4">
              <w:rPr>
                <w:lang w:val="en-US"/>
              </w:rPr>
              <w:t xml:space="preserve"> e.g. the collaboration between the Academy of Nutrition and Dietetics with the goal to include the Nutrition Care Process Terminology (NCPT) in SNOMED CT’s International Edition might be of interest</w:t>
            </w:r>
            <w:r w:rsidRPr="6C7F8CA4">
              <w:rPr>
                <w:rStyle w:val="Endnotenzeichen"/>
                <w:lang w:val="en-US"/>
              </w:rPr>
              <w:endnoteReference w:id="5"/>
            </w:r>
            <w:r w:rsidRPr="6C7F8CA4">
              <w:rPr>
                <w:lang w:val="en-US"/>
              </w:rPr>
              <w:t xml:space="preserve">.   </w:t>
            </w:r>
          </w:p>
        </w:tc>
        <w:tc>
          <w:tcPr>
            <w:tcW w:w="1121" w:type="dxa"/>
          </w:tcPr>
          <w:p w:rsidR="009D5923" w:rsidRPr="00180D43" w:rsidRDefault="009D5923" w:rsidP="00CA11E6">
            <w:pPr>
              <w:rPr>
                <w:rFonts w:cstheme="minorHAnsi"/>
                <w:lang w:val="en-US"/>
              </w:rPr>
            </w:pPr>
            <w:r w:rsidRPr="00180D43">
              <w:rPr>
                <w:rFonts w:cstheme="minorHAnsi"/>
                <w:lang w:val="en-US"/>
              </w:rPr>
              <w:t>All</w:t>
            </w:r>
          </w:p>
        </w:tc>
      </w:tr>
      <w:tr w:rsidR="009D5923" w:rsidRPr="00180D43" w:rsidTr="00CA11E6">
        <w:tc>
          <w:tcPr>
            <w:tcW w:w="1740" w:type="dxa"/>
          </w:tcPr>
          <w:p w:rsidR="009D5923" w:rsidRPr="00180D43" w:rsidRDefault="009D5923" w:rsidP="00CA11E6">
            <w:pPr>
              <w:rPr>
                <w:rFonts w:cstheme="minorHAnsi"/>
                <w:lang w:val="en-US"/>
              </w:rPr>
            </w:pPr>
            <w:r w:rsidRPr="00180D43">
              <w:rPr>
                <w:rFonts w:cstheme="minorHAnsi"/>
                <w:lang w:val="en-US"/>
              </w:rPr>
              <w:t>LOINC</w:t>
            </w:r>
          </w:p>
        </w:tc>
        <w:tc>
          <w:tcPr>
            <w:tcW w:w="1890" w:type="dxa"/>
          </w:tcPr>
          <w:p w:rsidR="009D5923" w:rsidRPr="00180D43" w:rsidRDefault="009D5923" w:rsidP="00CA11E6">
            <w:pPr>
              <w:rPr>
                <w:rFonts w:cstheme="minorHAnsi"/>
                <w:lang w:val="en-US"/>
              </w:rPr>
            </w:pPr>
            <w:r w:rsidRPr="00180D43">
              <w:rPr>
                <w:rFonts w:cstheme="minorHAnsi"/>
                <w:lang w:val="en-US"/>
              </w:rPr>
              <w:t>Semantic ; Nomenclature</w:t>
            </w:r>
          </w:p>
        </w:tc>
        <w:tc>
          <w:tcPr>
            <w:tcW w:w="5279" w:type="dxa"/>
          </w:tcPr>
          <w:p w:rsidR="009D5923" w:rsidRPr="00180D43" w:rsidRDefault="009D5923" w:rsidP="00CA11E6">
            <w:pPr>
              <w:rPr>
                <w:rFonts w:cstheme="minorHAnsi"/>
                <w:lang w:val="en-US"/>
              </w:rPr>
            </w:pPr>
            <w:r w:rsidRPr="00180D43">
              <w:rPr>
                <w:rFonts w:cstheme="minorHAnsi"/>
                <w:lang w:val="en-US"/>
              </w:rPr>
              <w:t>Identifies health measurements, observations, and documents.</w:t>
            </w:r>
          </w:p>
          <w:p w:rsidR="009D5923" w:rsidRPr="00180D43" w:rsidRDefault="009D5923" w:rsidP="00CA11E6">
            <w:pPr>
              <w:spacing w:line="259" w:lineRule="auto"/>
              <w:rPr>
                <w:rFonts w:cstheme="minorHAnsi"/>
                <w:lang w:val="en-US"/>
              </w:rPr>
            </w:pPr>
            <w:r w:rsidRPr="00180D43">
              <w:rPr>
                <w:rFonts w:cstheme="minorHAnsi"/>
                <w:lang w:val="en-US"/>
              </w:rPr>
              <w:t>LOINC is included in several information models or other standards such as OMOP CDM or FHIR.</w:t>
            </w:r>
          </w:p>
        </w:tc>
        <w:tc>
          <w:tcPr>
            <w:tcW w:w="1121" w:type="dxa"/>
          </w:tcPr>
          <w:p w:rsidR="009D5923" w:rsidRPr="00180D43" w:rsidRDefault="009D5923" w:rsidP="00CA11E6">
            <w:pPr>
              <w:rPr>
                <w:rFonts w:cstheme="minorHAnsi"/>
                <w:lang w:val="en-US"/>
              </w:rPr>
            </w:pPr>
            <w:r w:rsidRPr="00180D43">
              <w:rPr>
                <w:rFonts w:cstheme="minorHAnsi"/>
                <w:lang w:val="en-US"/>
              </w:rPr>
              <w:t>All but T5.3</w:t>
            </w:r>
          </w:p>
        </w:tc>
      </w:tr>
      <w:tr w:rsidR="009D5923" w:rsidRPr="00180D43" w:rsidTr="00CA11E6">
        <w:tc>
          <w:tcPr>
            <w:tcW w:w="1740" w:type="dxa"/>
          </w:tcPr>
          <w:p w:rsidR="009D5923" w:rsidRPr="00180D43" w:rsidRDefault="009D5923" w:rsidP="00CA11E6">
            <w:pPr>
              <w:rPr>
                <w:rFonts w:cstheme="minorHAnsi"/>
                <w:lang w:val="en-US"/>
              </w:rPr>
            </w:pPr>
            <w:r w:rsidRPr="00180D43">
              <w:rPr>
                <w:rFonts w:cstheme="minorHAnsi"/>
                <w:lang w:val="en-US"/>
              </w:rPr>
              <w:t>PICO Ontology</w:t>
            </w:r>
          </w:p>
          <w:p w:rsidR="009D5923" w:rsidRPr="00180D43" w:rsidRDefault="009D5923" w:rsidP="00CA11E6">
            <w:pPr>
              <w:rPr>
                <w:rFonts w:cstheme="minorHAnsi"/>
                <w:lang w:val="en-US"/>
              </w:rPr>
            </w:pPr>
          </w:p>
        </w:tc>
        <w:tc>
          <w:tcPr>
            <w:tcW w:w="1890" w:type="dxa"/>
          </w:tcPr>
          <w:p w:rsidR="009D5923" w:rsidRPr="00180D43" w:rsidRDefault="009D5923" w:rsidP="00CA11E6">
            <w:pPr>
              <w:rPr>
                <w:rFonts w:cstheme="minorHAnsi"/>
                <w:lang w:val="en-US"/>
              </w:rPr>
            </w:pPr>
            <w:r w:rsidRPr="00180D43">
              <w:rPr>
                <w:rFonts w:cstheme="minorHAnsi"/>
                <w:lang w:val="en-US"/>
              </w:rPr>
              <w:t>Semantic ; Ontology</w:t>
            </w:r>
          </w:p>
        </w:tc>
        <w:tc>
          <w:tcPr>
            <w:tcW w:w="5279" w:type="dxa"/>
          </w:tcPr>
          <w:p w:rsidR="009D5923" w:rsidRPr="00180D43" w:rsidRDefault="009D5923" w:rsidP="00CA11E6">
            <w:pPr>
              <w:rPr>
                <w:rFonts w:cstheme="minorHAnsi"/>
                <w:lang w:val="en-US"/>
              </w:rPr>
            </w:pPr>
            <w:r w:rsidRPr="6C7F8CA4">
              <w:rPr>
                <w:lang w:val="en-US"/>
              </w:rPr>
              <w:t>Model established by Cochrane to draft research questions, search strategies, and to describe studies or meta-analyses by gathering information on “Patient, Population or Problem”, “Intervention”, “Comparison” and “outcome”</w:t>
            </w:r>
            <w:r w:rsidRPr="6C7F8CA4">
              <w:rPr>
                <w:rStyle w:val="Endnotenzeichen"/>
                <w:lang w:val="en-US"/>
              </w:rPr>
              <w:endnoteReference w:id="6"/>
            </w:r>
            <w:r w:rsidRPr="6C7F8CA4">
              <w:rPr>
                <w:lang w:val="en-US"/>
              </w:rPr>
              <w:t xml:space="preserve">. Different vocabularies and terminologies </w:t>
            </w:r>
            <w:proofErr w:type="gramStart"/>
            <w:r w:rsidRPr="6C7F8CA4">
              <w:rPr>
                <w:lang w:val="en-US"/>
              </w:rPr>
              <w:t>have been specified</w:t>
            </w:r>
            <w:proofErr w:type="gramEnd"/>
            <w:r w:rsidRPr="6C7F8CA4">
              <w:rPr>
                <w:lang w:val="en-US"/>
              </w:rPr>
              <w:t xml:space="preserve"> to annotate the content</w:t>
            </w:r>
            <w:r w:rsidRPr="6C7F8CA4">
              <w:rPr>
                <w:rStyle w:val="Endnotenzeichen"/>
                <w:lang w:val="en-US"/>
              </w:rPr>
              <w:endnoteReference w:id="7"/>
            </w:r>
            <w:r w:rsidRPr="6C7F8CA4">
              <w:rPr>
                <w:lang w:val="en-US"/>
              </w:rPr>
              <w:t>.</w:t>
            </w:r>
          </w:p>
        </w:tc>
        <w:tc>
          <w:tcPr>
            <w:tcW w:w="1121" w:type="dxa"/>
          </w:tcPr>
          <w:p w:rsidR="009D5923" w:rsidRPr="00180D43" w:rsidRDefault="009D5923" w:rsidP="00CA11E6">
            <w:pPr>
              <w:rPr>
                <w:rFonts w:cstheme="minorHAnsi"/>
                <w:lang w:val="en-US"/>
              </w:rPr>
            </w:pPr>
            <w:r w:rsidRPr="00180D43">
              <w:rPr>
                <w:rFonts w:cstheme="minorHAnsi"/>
                <w:lang w:val="en-US"/>
              </w:rPr>
              <w:t>T5.1, T5.2</w:t>
            </w:r>
          </w:p>
        </w:tc>
      </w:tr>
      <w:tr w:rsidR="009D5923" w:rsidRPr="00180D43" w:rsidTr="00CA11E6">
        <w:tc>
          <w:tcPr>
            <w:tcW w:w="1740" w:type="dxa"/>
          </w:tcPr>
          <w:p w:rsidR="009D5923" w:rsidRPr="00180D43" w:rsidRDefault="009D5923" w:rsidP="00CA11E6">
            <w:pPr>
              <w:spacing w:line="259" w:lineRule="auto"/>
              <w:rPr>
                <w:rFonts w:cstheme="minorHAnsi"/>
                <w:lang w:val="en-US"/>
              </w:rPr>
            </w:pPr>
            <w:r w:rsidRPr="00180D43">
              <w:rPr>
                <w:rFonts w:cstheme="minorHAnsi"/>
                <w:lang w:val="en-US"/>
              </w:rPr>
              <w:t>ISO 8000</w:t>
            </w:r>
          </w:p>
        </w:tc>
        <w:tc>
          <w:tcPr>
            <w:tcW w:w="1890" w:type="dxa"/>
          </w:tcPr>
          <w:p w:rsidR="009D5923" w:rsidRPr="00180D43" w:rsidRDefault="009D5923" w:rsidP="00CA11E6">
            <w:pPr>
              <w:rPr>
                <w:rFonts w:cstheme="minorHAnsi"/>
                <w:lang w:val="en-US"/>
              </w:rPr>
            </w:pPr>
            <w:r w:rsidRPr="00180D43">
              <w:rPr>
                <w:rFonts w:cstheme="minorHAnsi"/>
                <w:lang w:val="en-US"/>
              </w:rPr>
              <w:t>Standard for Data Quality</w:t>
            </w:r>
          </w:p>
        </w:tc>
        <w:tc>
          <w:tcPr>
            <w:tcW w:w="5279" w:type="dxa"/>
          </w:tcPr>
          <w:p w:rsidR="009D5923" w:rsidRPr="00180D43" w:rsidRDefault="009D5923" w:rsidP="00CA11E6">
            <w:pPr>
              <w:rPr>
                <w:rFonts w:cstheme="minorHAnsi"/>
                <w:lang w:val="en-US"/>
              </w:rPr>
            </w:pPr>
            <w:r w:rsidRPr="00180D43">
              <w:rPr>
                <w:rFonts w:cstheme="minorHAnsi"/>
                <w:lang w:val="en-US"/>
              </w:rPr>
              <w:t xml:space="preserve">Is the global standard for “Data Quality and Enterprise Master Data” used to describe features and specify requirements to exchange in a standardized way master data among business </w:t>
            </w:r>
            <w:proofErr w:type="gramStart"/>
            <w:r w:rsidRPr="00180D43">
              <w:rPr>
                <w:rFonts w:cstheme="minorHAnsi"/>
                <w:lang w:val="en-US"/>
              </w:rPr>
              <w:t>partners.</w:t>
            </w:r>
            <w:proofErr w:type="gramEnd"/>
            <w:r w:rsidRPr="00180D43">
              <w:rPr>
                <w:rFonts w:cstheme="minorHAnsi"/>
                <w:lang w:val="en-US"/>
              </w:rPr>
              <w:t xml:space="preserve"> </w:t>
            </w:r>
            <w:proofErr w:type="gramStart"/>
            <w:r w:rsidRPr="00180D43">
              <w:rPr>
                <w:rFonts w:cstheme="minorHAnsi"/>
                <w:lang w:val="en-US"/>
              </w:rPr>
              <w:t>Can also be used</w:t>
            </w:r>
            <w:proofErr w:type="gramEnd"/>
            <w:r w:rsidRPr="00180D43">
              <w:rPr>
                <w:rFonts w:cstheme="minorHAnsi"/>
                <w:lang w:val="en-US"/>
              </w:rPr>
              <w:t xml:space="preserve"> in healthcare.</w:t>
            </w:r>
          </w:p>
        </w:tc>
        <w:tc>
          <w:tcPr>
            <w:tcW w:w="1121" w:type="dxa"/>
          </w:tcPr>
          <w:p w:rsidR="009D5923" w:rsidRPr="00180D43" w:rsidRDefault="009D5923" w:rsidP="00CA11E6">
            <w:pPr>
              <w:rPr>
                <w:rFonts w:cstheme="minorHAnsi"/>
                <w:lang w:val="en-US"/>
              </w:rPr>
            </w:pPr>
            <w:r w:rsidRPr="00180D43">
              <w:rPr>
                <w:rFonts w:cstheme="minorHAnsi"/>
                <w:lang w:val="en-US"/>
              </w:rPr>
              <w:t>All</w:t>
            </w:r>
          </w:p>
        </w:tc>
      </w:tr>
      <w:tr w:rsidR="009D5923" w:rsidRPr="00180D43" w:rsidTr="00CA11E6">
        <w:tc>
          <w:tcPr>
            <w:tcW w:w="1740" w:type="dxa"/>
          </w:tcPr>
          <w:p w:rsidR="009D5923" w:rsidRPr="00180D43" w:rsidRDefault="009D5923" w:rsidP="00CA11E6">
            <w:pPr>
              <w:spacing w:line="259" w:lineRule="auto"/>
              <w:rPr>
                <w:rFonts w:cstheme="minorHAnsi"/>
                <w:lang w:val="en-US"/>
              </w:rPr>
            </w:pPr>
            <w:r w:rsidRPr="00180D43">
              <w:rPr>
                <w:rFonts w:cstheme="minorHAnsi"/>
                <w:lang w:val="en-US"/>
              </w:rPr>
              <w:t>ISO/IEC 11179</w:t>
            </w:r>
          </w:p>
        </w:tc>
        <w:tc>
          <w:tcPr>
            <w:tcW w:w="1890" w:type="dxa"/>
          </w:tcPr>
          <w:p w:rsidR="009D5923" w:rsidRPr="00180D43" w:rsidRDefault="009D5923" w:rsidP="00CA11E6">
            <w:pPr>
              <w:rPr>
                <w:rFonts w:cstheme="minorHAnsi"/>
                <w:lang w:val="en-US"/>
              </w:rPr>
            </w:pPr>
            <w:r w:rsidRPr="00180D43">
              <w:rPr>
                <w:rFonts w:cstheme="minorHAnsi"/>
                <w:lang w:val="en-US"/>
              </w:rPr>
              <w:t>Standard for Metadata Registries</w:t>
            </w:r>
          </w:p>
        </w:tc>
        <w:tc>
          <w:tcPr>
            <w:tcW w:w="5279" w:type="dxa"/>
          </w:tcPr>
          <w:p w:rsidR="009D5923" w:rsidRPr="00180D43" w:rsidRDefault="009D5923" w:rsidP="00CA11E6">
            <w:pPr>
              <w:rPr>
                <w:rFonts w:cstheme="minorHAnsi"/>
                <w:lang w:val="en-US"/>
              </w:rPr>
            </w:pPr>
            <w:r w:rsidRPr="00180D43">
              <w:rPr>
                <w:rFonts w:cstheme="minorHAnsi"/>
                <w:lang w:val="en-US"/>
              </w:rPr>
              <w:t>Is the global standard for “Metadata Registry (MDR)” and specifies the standardization, representation and registration of metadata in order to enable the exchange of (meta-</w:t>
            </w:r>
            <w:proofErr w:type="gramStart"/>
            <w:r w:rsidRPr="00180D43">
              <w:rPr>
                <w:rFonts w:cstheme="minorHAnsi"/>
                <w:lang w:val="en-US"/>
              </w:rPr>
              <w:t>)data</w:t>
            </w:r>
            <w:proofErr w:type="gramEnd"/>
            <w:r w:rsidRPr="00180D43">
              <w:rPr>
                <w:rFonts w:cstheme="minorHAnsi"/>
                <w:lang w:val="en-US"/>
              </w:rPr>
              <w:t>.</w:t>
            </w:r>
          </w:p>
        </w:tc>
        <w:tc>
          <w:tcPr>
            <w:tcW w:w="1121" w:type="dxa"/>
          </w:tcPr>
          <w:p w:rsidR="009D5923" w:rsidRPr="00180D43" w:rsidRDefault="009D5923" w:rsidP="00CA11E6">
            <w:pPr>
              <w:rPr>
                <w:rFonts w:cstheme="minorHAnsi"/>
                <w:lang w:val="en-US"/>
              </w:rPr>
            </w:pPr>
            <w:r w:rsidRPr="00180D43">
              <w:rPr>
                <w:rFonts w:cstheme="minorHAnsi"/>
                <w:lang w:val="en-US"/>
              </w:rPr>
              <w:t>All</w:t>
            </w:r>
          </w:p>
        </w:tc>
      </w:tr>
      <w:tr w:rsidR="009D5923" w:rsidRPr="00180D43" w:rsidTr="00CA11E6">
        <w:tc>
          <w:tcPr>
            <w:tcW w:w="1740" w:type="dxa"/>
          </w:tcPr>
          <w:p w:rsidR="009D5923" w:rsidRPr="00180D43" w:rsidRDefault="009D5923" w:rsidP="00CA11E6">
            <w:pPr>
              <w:spacing w:line="259" w:lineRule="auto"/>
              <w:rPr>
                <w:rFonts w:eastAsia="Calibri" w:cstheme="minorHAnsi"/>
                <w:lang w:val="en-US"/>
              </w:rPr>
            </w:pPr>
            <w:r w:rsidRPr="00180D43">
              <w:rPr>
                <w:rFonts w:eastAsia="Calibri" w:cstheme="minorHAnsi"/>
                <w:lang w:val="en-US"/>
              </w:rPr>
              <w:lastRenderedPageBreak/>
              <w:t>ISO 13119:2012</w:t>
            </w:r>
          </w:p>
        </w:tc>
        <w:tc>
          <w:tcPr>
            <w:tcW w:w="1890" w:type="dxa"/>
          </w:tcPr>
          <w:p w:rsidR="009D5923" w:rsidRPr="00180D43" w:rsidRDefault="009D5923" w:rsidP="00CA11E6">
            <w:pPr>
              <w:rPr>
                <w:rFonts w:cstheme="minorHAnsi"/>
                <w:lang w:val="en-US"/>
              </w:rPr>
            </w:pPr>
            <w:r w:rsidRPr="00180D43">
              <w:rPr>
                <w:rFonts w:cstheme="minorHAnsi"/>
                <w:lang w:val="en-US"/>
              </w:rPr>
              <w:t>Standard for Metadata</w:t>
            </w:r>
          </w:p>
        </w:tc>
        <w:tc>
          <w:tcPr>
            <w:tcW w:w="5279" w:type="dxa"/>
          </w:tcPr>
          <w:p w:rsidR="009D5923" w:rsidRPr="00180D43" w:rsidRDefault="009D5923" w:rsidP="00CA11E6">
            <w:pPr>
              <w:rPr>
                <w:rFonts w:cstheme="minorHAnsi"/>
                <w:lang w:val="en-US"/>
              </w:rPr>
            </w:pPr>
            <w:r w:rsidRPr="00180D43">
              <w:rPr>
                <w:rFonts w:eastAsia="Calibri" w:cstheme="minorHAnsi"/>
                <w:lang w:val="en-US"/>
              </w:rPr>
              <w:t>Is the standard “Health informatics — Clinical knowledge resources — Metadata” and defines some</w:t>
            </w:r>
            <w:r w:rsidRPr="00180D43">
              <w:rPr>
                <w:rFonts w:cstheme="minorHAnsi"/>
                <w:lang w:val="en-US"/>
              </w:rPr>
              <w:t xml:space="preserve"> metadata elements needed to describe resources including medical knowledge, either digital or paper documents.</w:t>
            </w:r>
          </w:p>
        </w:tc>
        <w:tc>
          <w:tcPr>
            <w:tcW w:w="1121" w:type="dxa"/>
          </w:tcPr>
          <w:p w:rsidR="009D5923" w:rsidRPr="00180D43" w:rsidRDefault="009D5923" w:rsidP="00CA11E6">
            <w:pPr>
              <w:rPr>
                <w:rFonts w:cstheme="minorHAnsi"/>
                <w:lang w:val="en-US"/>
              </w:rPr>
            </w:pPr>
            <w:r w:rsidRPr="00180D43">
              <w:rPr>
                <w:rFonts w:cstheme="minorHAnsi"/>
                <w:lang w:val="en-US"/>
              </w:rPr>
              <w:t>All</w:t>
            </w:r>
          </w:p>
        </w:tc>
      </w:tr>
      <w:tr w:rsidR="009D5923" w:rsidRPr="00180D43" w:rsidTr="00CA11E6">
        <w:tc>
          <w:tcPr>
            <w:tcW w:w="1740" w:type="dxa"/>
          </w:tcPr>
          <w:p w:rsidR="009D5923" w:rsidRPr="00180D43" w:rsidRDefault="009D5923" w:rsidP="00CA11E6">
            <w:pPr>
              <w:spacing w:line="259" w:lineRule="auto"/>
              <w:rPr>
                <w:rFonts w:cstheme="minorHAnsi"/>
                <w:lang w:val="en-US"/>
              </w:rPr>
            </w:pPr>
            <w:r w:rsidRPr="00180D43">
              <w:rPr>
                <w:rFonts w:cstheme="minorHAnsi"/>
                <w:lang w:val="en-US"/>
              </w:rPr>
              <w:t>ISO 21526:2019</w:t>
            </w:r>
          </w:p>
        </w:tc>
        <w:tc>
          <w:tcPr>
            <w:tcW w:w="1890" w:type="dxa"/>
          </w:tcPr>
          <w:p w:rsidR="009D5923" w:rsidRPr="00180D43" w:rsidRDefault="009D5923" w:rsidP="00CA11E6">
            <w:pPr>
              <w:rPr>
                <w:rFonts w:cstheme="minorHAnsi"/>
                <w:lang w:val="en-US"/>
              </w:rPr>
            </w:pPr>
            <w:r w:rsidRPr="00180D43">
              <w:rPr>
                <w:rFonts w:cstheme="minorHAnsi"/>
                <w:lang w:val="en-US"/>
              </w:rPr>
              <w:t>Standard for Requirements of Metadata Repositories in Healthcare</w:t>
            </w:r>
          </w:p>
        </w:tc>
        <w:tc>
          <w:tcPr>
            <w:tcW w:w="5279" w:type="dxa"/>
          </w:tcPr>
          <w:p w:rsidR="009D5923" w:rsidRPr="00180D43" w:rsidRDefault="009D5923" w:rsidP="00CA11E6">
            <w:pPr>
              <w:rPr>
                <w:rFonts w:cstheme="minorHAnsi"/>
                <w:lang w:val="en-US"/>
              </w:rPr>
            </w:pPr>
            <w:r w:rsidRPr="00180D43">
              <w:rPr>
                <w:rFonts w:cstheme="minorHAnsi"/>
                <w:lang w:val="en-US"/>
              </w:rPr>
              <w:t xml:space="preserve">Is the standard defining the requirements to collect metadata (of data elements, models and datasets) in </w:t>
            </w:r>
            <w:proofErr w:type="gramStart"/>
            <w:r w:rsidRPr="00180D43">
              <w:rPr>
                <w:rFonts w:cstheme="minorHAnsi"/>
                <w:lang w:val="en-US"/>
              </w:rPr>
              <w:t>healthcare.</w:t>
            </w:r>
            <w:proofErr w:type="gramEnd"/>
          </w:p>
          <w:p w:rsidR="009D5923" w:rsidRPr="00180D43" w:rsidRDefault="009D5923" w:rsidP="00CA11E6">
            <w:pPr>
              <w:rPr>
                <w:rFonts w:cstheme="minorHAnsi"/>
                <w:lang w:val="en-US"/>
              </w:rPr>
            </w:pPr>
            <w:r w:rsidRPr="6C7F8CA4">
              <w:rPr>
                <w:lang w:val="en-US"/>
              </w:rPr>
              <w:t>The standard is an extension and/or clarification of the ISO/IEC 11179 series</w:t>
            </w:r>
            <w:r w:rsidRPr="6C7F8CA4">
              <w:rPr>
                <w:rStyle w:val="Endnotenzeichen"/>
                <w:lang w:val="en-US"/>
              </w:rPr>
              <w:endnoteReference w:id="8"/>
            </w:r>
            <w:r w:rsidRPr="6C7F8CA4">
              <w:rPr>
                <w:lang w:val="en-US"/>
              </w:rPr>
              <w:t>.</w:t>
            </w:r>
          </w:p>
        </w:tc>
        <w:tc>
          <w:tcPr>
            <w:tcW w:w="1121" w:type="dxa"/>
          </w:tcPr>
          <w:p w:rsidR="009D5923" w:rsidRPr="00180D43" w:rsidRDefault="009D5923" w:rsidP="00CA11E6">
            <w:pPr>
              <w:rPr>
                <w:rFonts w:cstheme="minorHAnsi"/>
                <w:lang w:val="en-US"/>
              </w:rPr>
            </w:pPr>
            <w:r w:rsidRPr="00180D43">
              <w:rPr>
                <w:rFonts w:cstheme="minorHAnsi"/>
                <w:lang w:val="en-US"/>
              </w:rPr>
              <w:t>All</w:t>
            </w:r>
          </w:p>
        </w:tc>
      </w:tr>
      <w:tr w:rsidR="009D5923" w:rsidRPr="00180D43" w:rsidTr="00CA11E6">
        <w:tc>
          <w:tcPr>
            <w:tcW w:w="1740" w:type="dxa"/>
          </w:tcPr>
          <w:p w:rsidR="009D5923" w:rsidRPr="00180D43" w:rsidRDefault="009D5923" w:rsidP="00CA11E6">
            <w:pPr>
              <w:spacing w:line="259" w:lineRule="auto"/>
              <w:rPr>
                <w:rFonts w:cstheme="minorHAnsi"/>
                <w:lang w:val="en-US"/>
              </w:rPr>
            </w:pPr>
            <w:r w:rsidRPr="00180D43">
              <w:rPr>
                <w:rFonts w:cstheme="minorHAnsi"/>
                <w:lang w:val="en-US"/>
              </w:rPr>
              <w:t>ISO/TS 14265:2011</w:t>
            </w:r>
          </w:p>
        </w:tc>
        <w:tc>
          <w:tcPr>
            <w:tcW w:w="1890" w:type="dxa"/>
          </w:tcPr>
          <w:p w:rsidR="009D5923" w:rsidRPr="00180D43" w:rsidRDefault="009D5923" w:rsidP="00CA11E6">
            <w:pPr>
              <w:rPr>
                <w:rFonts w:cstheme="minorHAnsi"/>
                <w:lang w:val="en-US"/>
              </w:rPr>
            </w:pPr>
            <w:r w:rsidRPr="00180D43">
              <w:rPr>
                <w:rFonts w:cstheme="minorHAnsi"/>
                <w:lang w:val="en-US"/>
              </w:rPr>
              <w:t>Standard for the Definition of Purposes to Process Personal Health Information</w:t>
            </w:r>
          </w:p>
        </w:tc>
        <w:tc>
          <w:tcPr>
            <w:tcW w:w="5279" w:type="dxa"/>
          </w:tcPr>
          <w:p w:rsidR="009D5923" w:rsidRPr="00180D43" w:rsidRDefault="009D5923" w:rsidP="00CA11E6">
            <w:pPr>
              <w:rPr>
                <w:rFonts w:cstheme="minorHAnsi"/>
                <w:lang w:val="en-US"/>
              </w:rPr>
            </w:pPr>
            <w:r w:rsidRPr="6C7F8CA4">
              <w:rPr>
                <w:lang w:val="en-US"/>
              </w:rPr>
              <w:t>Is the standard “Classification of purposes for processing personal health information” and relates mainly to data that is not de-identified</w:t>
            </w:r>
            <w:r w:rsidRPr="6C7F8CA4">
              <w:rPr>
                <w:rStyle w:val="Endnotenzeichen"/>
                <w:lang w:val="en-US"/>
              </w:rPr>
              <w:endnoteReference w:id="9"/>
            </w:r>
            <w:r w:rsidRPr="6C7F8CA4">
              <w:rPr>
                <w:lang w:val="en-US"/>
              </w:rPr>
              <w:t>.</w:t>
            </w:r>
          </w:p>
        </w:tc>
        <w:tc>
          <w:tcPr>
            <w:tcW w:w="1121" w:type="dxa"/>
          </w:tcPr>
          <w:p w:rsidR="009D5923" w:rsidRPr="00180D43" w:rsidRDefault="009D5923" w:rsidP="00CA11E6">
            <w:pPr>
              <w:rPr>
                <w:rFonts w:cstheme="minorHAnsi"/>
                <w:lang w:val="en-US"/>
              </w:rPr>
            </w:pPr>
            <w:r w:rsidRPr="00180D43">
              <w:rPr>
                <w:rFonts w:cstheme="minorHAnsi"/>
                <w:lang w:val="en-US"/>
              </w:rPr>
              <w:t>All</w:t>
            </w:r>
          </w:p>
        </w:tc>
      </w:tr>
      <w:tr w:rsidR="009D5923" w:rsidRPr="00180D43" w:rsidTr="00CA11E6">
        <w:tc>
          <w:tcPr>
            <w:tcW w:w="1740" w:type="dxa"/>
          </w:tcPr>
          <w:p w:rsidR="009D5923" w:rsidRPr="00180D43" w:rsidRDefault="009D5923" w:rsidP="00CA11E6">
            <w:pPr>
              <w:spacing w:line="259" w:lineRule="auto"/>
              <w:rPr>
                <w:rFonts w:cstheme="minorHAnsi"/>
                <w:lang w:val="en-US"/>
              </w:rPr>
            </w:pPr>
            <w:r w:rsidRPr="00180D43">
              <w:rPr>
                <w:rFonts w:cstheme="minorHAnsi"/>
                <w:lang w:val="en-US"/>
              </w:rPr>
              <w:t>ISO/TS 25237</w:t>
            </w:r>
          </w:p>
        </w:tc>
        <w:tc>
          <w:tcPr>
            <w:tcW w:w="1890" w:type="dxa"/>
          </w:tcPr>
          <w:p w:rsidR="009D5923" w:rsidRPr="00180D43" w:rsidRDefault="009D5923" w:rsidP="00CA11E6">
            <w:pPr>
              <w:rPr>
                <w:rFonts w:cstheme="minorHAnsi"/>
                <w:lang w:val="en-US"/>
              </w:rPr>
            </w:pPr>
            <w:r w:rsidRPr="00180D43">
              <w:rPr>
                <w:rFonts w:cstheme="minorHAnsi"/>
                <w:lang w:val="en-US"/>
              </w:rPr>
              <w:t xml:space="preserve">Standard for </w:t>
            </w:r>
            <w:proofErr w:type="spellStart"/>
            <w:r w:rsidRPr="00180D43">
              <w:rPr>
                <w:rFonts w:cstheme="minorHAnsi"/>
                <w:lang w:val="en-US"/>
              </w:rPr>
              <w:t>Pseudonymization</w:t>
            </w:r>
            <w:proofErr w:type="spellEnd"/>
            <w:r w:rsidRPr="00180D43">
              <w:rPr>
                <w:rFonts w:cstheme="minorHAnsi"/>
                <w:lang w:val="en-US"/>
              </w:rPr>
              <w:t xml:space="preserve"> in Health Informatics</w:t>
            </w:r>
          </w:p>
        </w:tc>
        <w:tc>
          <w:tcPr>
            <w:tcW w:w="5279" w:type="dxa"/>
          </w:tcPr>
          <w:p w:rsidR="009D5923" w:rsidRPr="00180D43" w:rsidRDefault="009D5923" w:rsidP="00CA11E6">
            <w:pPr>
              <w:rPr>
                <w:rFonts w:cstheme="minorHAnsi"/>
                <w:lang w:val="en-US"/>
              </w:rPr>
            </w:pPr>
            <w:r w:rsidRPr="6C7F8CA4">
              <w:rPr>
                <w:lang w:val="en-US"/>
              </w:rPr>
              <w:t xml:space="preserve">Is the standard “Health informatics – </w:t>
            </w:r>
            <w:proofErr w:type="spellStart"/>
            <w:r w:rsidRPr="6C7F8CA4">
              <w:rPr>
                <w:lang w:val="en-US"/>
              </w:rPr>
              <w:t>Pseudonymization</w:t>
            </w:r>
            <w:proofErr w:type="spellEnd"/>
            <w:r w:rsidRPr="6C7F8CA4">
              <w:rPr>
                <w:lang w:val="en-US"/>
              </w:rPr>
              <w:t xml:space="preserve">" and defines concepts and requirements for </w:t>
            </w:r>
            <w:proofErr w:type="spellStart"/>
            <w:r w:rsidRPr="6C7F8CA4">
              <w:rPr>
                <w:lang w:val="en-US"/>
              </w:rPr>
              <w:t>pseudonymization</w:t>
            </w:r>
            <w:proofErr w:type="spellEnd"/>
            <w:r w:rsidRPr="6C7F8CA4">
              <w:rPr>
                <w:lang w:val="en-US"/>
              </w:rPr>
              <w:t xml:space="preserve"> services with the aim of personal health information’ protection</w:t>
            </w:r>
            <w:r w:rsidRPr="6C7F8CA4">
              <w:rPr>
                <w:rStyle w:val="Endnotenzeichen"/>
                <w:lang w:val="en-US"/>
              </w:rPr>
              <w:endnoteReference w:id="10"/>
            </w:r>
            <w:r w:rsidRPr="6C7F8CA4">
              <w:rPr>
                <w:lang w:val="en-US"/>
              </w:rPr>
              <w:t>.</w:t>
            </w:r>
          </w:p>
        </w:tc>
        <w:tc>
          <w:tcPr>
            <w:tcW w:w="1121" w:type="dxa"/>
          </w:tcPr>
          <w:p w:rsidR="009D5923" w:rsidRPr="00180D43" w:rsidRDefault="009D5923" w:rsidP="00CA11E6">
            <w:pPr>
              <w:rPr>
                <w:rFonts w:cstheme="minorHAnsi"/>
                <w:lang w:val="en-US"/>
              </w:rPr>
            </w:pPr>
            <w:r w:rsidRPr="00180D43">
              <w:rPr>
                <w:rFonts w:cstheme="minorHAnsi"/>
                <w:lang w:val="en-US"/>
              </w:rPr>
              <w:t>Mainly T5.3, (all)</w:t>
            </w:r>
          </w:p>
          <w:p w:rsidR="009D5923" w:rsidRPr="00180D43" w:rsidRDefault="009D5923" w:rsidP="00CA11E6">
            <w:pPr>
              <w:rPr>
                <w:rFonts w:cstheme="minorHAnsi"/>
                <w:lang w:val="en-US"/>
              </w:rPr>
            </w:pPr>
          </w:p>
        </w:tc>
      </w:tr>
      <w:tr w:rsidR="009D5923" w:rsidRPr="00180D43" w:rsidTr="00CA11E6">
        <w:tc>
          <w:tcPr>
            <w:tcW w:w="1740" w:type="dxa"/>
          </w:tcPr>
          <w:p w:rsidR="009D5923" w:rsidRPr="00180D43" w:rsidRDefault="009D5923" w:rsidP="00CA11E6">
            <w:pPr>
              <w:spacing w:line="259" w:lineRule="auto"/>
              <w:rPr>
                <w:rFonts w:cstheme="minorHAnsi"/>
                <w:lang w:val="en-US"/>
              </w:rPr>
            </w:pPr>
            <w:r w:rsidRPr="00180D43">
              <w:rPr>
                <w:rFonts w:cstheme="minorHAnsi"/>
                <w:lang w:val="en-US"/>
              </w:rPr>
              <w:t>ISO/TS 22220:2011</w:t>
            </w:r>
          </w:p>
        </w:tc>
        <w:tc>
          <w:tcPr>
            <w:tcW w:w="1890" w:type="dxa"/>
          </w:tcPr>
          <w:p w:rsidR="009D5923" w:rsidRPr="00180D43" w:rsidRDefault="009D5923" w:rsidP="00CA11E6">
            <w:pPr>
              <w:rPr>
                <w:rFonts w:cstheme="minorHAnsi"/>
                <w:lang w:val="en-US"/>
              </w:rPr>
            </w:pPr>
            <w:r w:rsidRPr="00180D43">
              <w:rPr>
                <w:rFonts w:cstheme="minorHAnsi"/>
                <w:lang w:val="en-US"/>
              </w:rPr>
              <w:t>Standard for the Identification of subjects of care in Health Informatics</w:t>
            </w:r>
          </w:p>
        </w:tc>
        <w:tc>
          <w:tcPr>
            <w:tcW w:w="5279" w:type="dxa"/>
          </w:tcPr>
          <w:p w:rsidR="009D5923" w:rsidRPr="00180D43" w:rsidRDefault="009D5923" w:rsidP="00CA11E6">
            <w:pPr>
              <w:rPr>
                <w:rFonts w:cstheme="minorHAnsi"/>
                <w:lang w:val="en-US"/>
              </w:rPr>
            </w:pPr>
            <w:proofErr w:type="gramStart"/>
            <w:r w:rsidRPr="6C7F8CA4">
              <w:rPr>
                <w:lang w:val="en-US"/>
              </w:rPr>
              <w:t>Is the standard “Health informatics – Identification of subjects of care” and defines suitable data elements and structure for sensitive identification of persons in health care – either in a face-to-face setting or through interaction between IT systems</w:t>
            </w:r>
            <w:r w:rsidRPr="6C7F8CA4">
              <w:rPr>
                <w:rStyle w:val="Endnotenzeichen"/>
                <w:lang w:val="en-US"/>
              </w:rPr>
              <w:endnoteReference w:id="11"/>
            </w:r>
            <w:r w:rsidRPr="6C7F8CA4">
              <w:rPr>
                <w:lang w:val="en-US"/>
              </w:rPr>
              <w:t>.</w:t>
            </w:r>
            <w:proofErr w:type="gramEnd"/>
          </w:p>
        </w:tc>
        <w:tc>
          <w:tcPr>
            <w:tcW w:w="1121" w:type="dxa"/>
          </w:tcPr>
          <w:p w:rsidR="009D5923" w:rsidRPr="00180D43" w:rsidRDefault="009D5923" w:rsidP="00CA11E6">
            <w:pPr>
              <w:rPr>
                <w:rFonts w:cstheme="minorHAnsi"/>
                <w:lang w:val="en-US"/>
              </w:rPr>
            </w:pPr>
            <w:r w:rsidRPr="00180D43">
              <w:rPr>
                <w:rFonts w:cstheme="minorHAnsi"/>
                <w:lang w:val="en-US"/>
              </w:rPr>
              <w:t>Mainly T5.3, (all)</w:t>
            </w:r>
          </w:p>
        </w:tc>
      </w:tr>
      <w:tr w:rsidR="009D5923" w:rsidRPr="00180D43" w:rsidTr="00CA11E6">
        <w:tc>
          <w:tcPr>
            <w:tcW w:w="1740" w:type="dxa"/>
          </w:tcPr>
          <w:p w:rsidR="009D5923" w:rsidRPr="00180D43" w:rsidRDefault="009D5923" w:rsidP="00CA11E6">
            <w:pPr>
              <w:spacing w:line="259" w:lineRule="auto"/>
              <w:rPr>
                <w:rFonts w:cstheme="minorHAnsi"/>
                <w:lang w:val="en-US"/>
              </w:rPr>
            </w:pPr>
            <w:r w:rsidRPr="00180D43">
              <w:rPr>
                <w:rFonts w:cstheme="minorHAnsi"/>
                <w:lang w:val="en-US"/>
              </w:rPr>
              <w:t>PROV</w:t>
            </w:r>
          </w:p>
        </w:tc>
        <w:tc>
          <w:tcPr>
            <w:tcW w:w="1890" w:type="dxa"/>
          </w:tcPr>
          <w:p w:rsidR="009D5923" w:rsidRPr="00180D43" w:rsidRDefault="009D5923" w:rsidP="00CA11E6">
            <w:pPr>
              <w:rPr>
                <w:rFonts w:cstheme="minorHAnsi"/>
                <w:lang w:val="en-US"/>
              </w:rPr>
            </w:pPr>
            <w:r w:rsidRPr="00180D43">
              <w:rPr>
                <w:rFonts w:cstheme="minorHAnsi"/>
                <w:lang w:val="en-US"/>
              </w:rPr>
              <w:t>Standards for Data provenance</w:t>
            </w:r>
          </w:p>
        </w:tc>
        <w:tc>
          <w:tcPr>
            <w:tcW w:w="5279" w:type="dxa"/>
          </w:tcPr>
          <w:p w:rsidR="009D5923" w:rsidRPr="00180D43" w:rsidRDefault="009D5923" w:rsidP="00CA11E6">
            <w:pPr>
              <w:rPr>
                <w:rFonts w:eastAsia="Calibri" w:cstheme="minorHAnsi"/>
                <w:lang w:val="en-US"/>
              </w:rPr>
            </w:pPr>
            <w:r w:rsidRPr="6C7F8CA4">
              <w:rPr>
                <w:rFonts w:eastAsia="Calibri"/>
                <w:lang w:val="en-US"/>
              </w:rPr>
              <w:t>The PROV Family of Documents comprises a. o. of an ontology and data model, supporting definitions and corresponding serializations to allow the interoperable sharing of provenance information</w:t>
            </w:r>
            <w:r w:rsidRPr="6C7F8CA4">
              <w:rPr>
                <w:rStyle w:val="Endnotenzeichen"/>
                <w:rFonts w:eastAsia="Calibri"/>
                <w:lang w:val="en-US"/>
              </w:rPr>
              <w:endnoteReference w:id="12"/>
            </w:r>
            <w:r w:rsidRPr="6C7F8CA4">
              <w:rPr>
                <w:rFonts w:eastAsia="Calibri"/>
                <w:lang w:val="en-US"/>
              </w:rPr>
              <w:t xml:space="preserve">. </w:t>
            </w:r>
          </w:p>
          <w:p w:rsidR="009D5923" w:rsidRPr="00180D43" w:rsidRDefault="009D5923" w:rsidP="00CA11E6">
            <w:pPr>
              <w:rPr>
                <w:rFonts w:cstheme="minorHAnsi"/>
                <w:lang w:val="en-US"/>
              </w:rPr>
            </w:pPr>
            <w:r w:rsidRPr="6C7F8CA4">
              <w:rPr>
                <w:lang w:val="en-US"/>
              </w:rPr>
              <w:t>A mapping from Dublin Core to PROV exists</w:t>
            </w:r>
            <w:r w:rsidRPr="6C7F8CA4">
              <w:rPr>
                <w:rStyle w:val="Endnotenzeichen"/>
                <w:lang w:val="en-US"/>
              </w:rPr>
              <w:endnoteReference w:id="13"/>
            </w:r>
            <w:r w:rsidRPr="6C7F8CA4">
              <w:rPr>
                <w:lang w:val="en-US"/>
              </w:rPr>
              <w:t>.</w:t>
            </w:r>
          </w:p>
        </w:tc>
        <w:tc>
          <w:tcPr>
            <w:tcW w:w="1121" w:type="dxa"/>
          </w:tcPr>
          <w:p w:rsidR="009D5923" w:rsidRPr="00180D43" w:rsidRDefault="009D5923" w:rsidP="00CA11E6">
            <w:pPr>
              <w:rPr>
                <w:rFonts w:cstheme="minorHAnsi"/>
                <w:lang w:val="en-US"/>
              </w:rPr>
            </w:pPr>
            <w:r w:rsidRPr="00180D43">
              <w:rPr>
                <w:rFonts w:cstheme="minorHAnsi"/>
                <w:lang w:val="en-US"/>
              </w:rPr>
              <w:t>All</w:t>
            </w:r>
          </w:p>
        </w:tc>
      </w:tr>
      <w:tr w:rsidR="009D5923" w:rsidRPr="00180D43" w:rsidTr="00CA11E6">
        <w:tc>
          <w:tcPr>
            <w:tcW w:w="1740" w:type="dxa"/>
          </w:tcPr>
          <w:p w:rsidR="009D5923" w:rsidRPr="00180D43" w:rsidRDefault="009D5923" w:rsidP="00CA11E6">
            <w:pPr>
              <w:spacing w:line="259" w:lineRule="auto"/>
              <w:rPr>
                <w:rFonts w:cstheme="minorHAnsi"/>
                <w:lang w:val="en-US"/>
              </w:rPr>
            </w:pPr>
            <w:r w:rsidRPr="00180D43">
              <w:rPr>
                <w:rFonts w:cstheme="minorHAnsi"/>
                <w:lang w:val="en-US"/>
              </w:rPr>
              <w:t xml:space="preserve">Dublin </w:t>
            </w:r>
            <w:proofErr w:type="spellStart"/>
            <w:r w:rsidRPr="00180D43">
              <w:rPr>
                <w:rFonts w:cstheme="minorHAnsi"/>
                <w:lang w:val="en-US"/>
              </w:rPr>
              <w:t>Core</w:t>
            </w:r>
            <w:r w:rsidRPr="00180D43">
              <w:rPr>
                <w:rFonts w:cstheme="minorHAnsi"/>
                <w:vertAlign w:val="superscript"/>
                <w:lang w:val="en-US"/>
              </w:rPr>
              <w:t>TM</w:t>
            </w:r>
            <w:proofErr w:type="spellEnd"/>
            <w:r w:rsidRPr="00180D43">
              <w:rPr>
                <w:rFonts w:cstheme="minorHAnsi"/>
                <w:lang w:val="en-US"/>
              </w:rPr>
              <w:t xml:space="preserve"> Metadata Initiative (DCMI)</w:t>
            </w:r>
          </w:p>
        </w:tc>
        <w:tc>
          <w:tcPr>
            <w:tcW w:w="1890" w:type="dxa"/>
          </w:tcPr>
          <w:p w:rsidR="009D5923" w:rsidRPr="00180D43" w:rsidRDefault="009D5923" w:rsidP="00CA11E6">
            <w:pPr>
              <w:rPr>
                <w:rFonts w:cstheme="minorHAnsi"/>
                <w:lang w:val="en-US"/>
              </w:rPr>
            </w:pPr>
            <w:r w:rsidRPr="00180D43">
              <w:rPr>
                <w:rFonts w:cstheme="minorHAnsi"/>
                <w:lang w:val="en-US"/>
              </w:rPr>
              <w:t>Standard for Data provenance</w:t>
            </w:r>
          </w:p>
        </w:tc>
        <w:tc>
          <w:tcPr>
            <w:tcW w:w="5279" w:type="dxa"/>
          </w:tcPr>
          <w:p w:rsidR="009D5923" w:rsidRPr="00180D43" w:rsidRDefault="009D5923" w:rsidP="00CA11E6">
            <w:pPr>
              <w:rPr>
                <w:rFonts w:cstheme="minorHAnsi"/>
                <w:lang w:val="en-US"/>
              </w:rPr>
            </w:pPr>
            <w:r w:rsidRPr="6C7F8CA4">
              <w:rPr>
                <w:lang w:val="en-US"/>
              </w:rPr>
              <w:t>Supports innovation in meta design and foster best practices. DCMI provides core specifications and schemas. Information about the provenance of a resource is partially included in Dublin Core vocabulary</w:t>
            </w:r>
            <w:r w:rsidRPr="6C7F8CA4">
              <w:rPr>
                <w:rStyle w:val="Endnotenzeichen"/>
                <w:lang w:val="en-US"/>
              </w:rPr>
              <w:endnoteReference w:id="14"/>
            </w:r>
            <w:r w:rsidRPr="6C7F8CA4">
              <w:rPr>
                <w:lang w:val="en-US"/>
              </w:rPr>
              <w:t>.</w:t>
            </w:r>
          </w:p>
          <w:p w:rsidR="009D5923" w:rsidRPr="00180D43" w:rsidRDefault="009D5923" w:rsidP="00CA11E6">
            <w:pPr>
              <w:rPr>
                <w:rFonts w:cstheme="minorHAnsi"/>
                <w:lang w:val="en-US"/>
              </w:rPr>
            </w:pPr>
            <w:r w:rsidRPr="00180D43">
              <w:rPr>
                <w:rFonts w:cstheme="minorHAnsi"/>
                <w:lang w:val="en-US"/>
              </w:rPr>
              <w:t>A mapping from Dublin Core to PROV exists.</w:t>
            </w:r>
          </w:p>
        </w:tc>
        <w:tc>
          <w:tcPr>
            <w:tcW w:w="1121" w:type="dxa"/>
          </w:tcPr>
          <w:p w:rsidR="009D5923" w:rsidRPr="00180D43" w:rsidRDefault="009D5923" w:rsidP="00CA11E6">
            <w:pPr>
              <w:rPr>
                <w:rFonts w:cstheme="minorHAnsi"/>
                <w:lang w:val="en-US"/>
              </w:rPr>
            </w:pPr>
            <w:r w:rsidRPr="00180D43">
              <w:rPr>
                <w:rFonts w:cstheme="minorHAnsi"/>
                <w:lang w:val="en-US"/>
              </w:rPr>
              <w:t>All</w:t>
            </w:r>
          </w:p>
        </w:tc>
      </w:tr>
      <w:tr w:rsidR="009D5923" w:rsidRPr="00180D43" w:rsidTr="00CA11E6">
        <w:tc>
          <w:tcPr>
            <w:tcW w:w="1740" w:type="dxa"/>
          </w:tcPr>
          <w:p w:rsidR="009D5923" w:rsidRPr="00180D43" w:rsidRDefault="009D5923" w:rsidP="00CA11E6">
            <w:pPr>
              <w:spacing w:line="259" w:lineRule="auto"/>
              <w:rPr>
                <w:rFonts w:cstheme="minorHAnsi"/>
                <w:lang w:val="en-US"/>
              </w:rPr>
            </w:pPr>
            <w:r w:rsidRPr="00180D43">
              <w:rPr>
                <w:rFonts w:cstheme="minorHAnsi"/>
                <w:lang w:val="en-US"/>
              </w:rPr>
              <w:t>Data Documentation Initiative (DDI)</w:t>
            </w:r>
          </w:p>
        </w:tc>
        <w:tc>
          <w:tcPr>
            <w:tcW w:w="1890" w:type="dxa"/>
          </w:tcPr>
          <w:p w:rsidR="009D5923" w:rsidRPr="00180D43" w:rsidRDefault="009D5923" w:rsidP="00CA11E6">
            <w:pPr>
              <w:rPr>
                <w:rFonts w:cstheme="minorHAnsi"/>
                <w:lang w:val="en-US"/>
              </w:rPr>
            </w:pPr>
            <w:r w:rsidRPr="00180D43">
              <w:rPr>
                <w:rFonts w:cstheme="minorHAnsi"/>
                <w:lang w:val="en-US"/>
              </w:rPr>
              <w:t>Semantic ; (meta-)data standard</w:t>
            </w:r>
          </w:p>
        </w:tc>
        <w:tc>
          <w:tcPr>
            <w:tcW w:w="5279" w:type="dxa"/>
          </w:tcPr>
          <w:p w:rsidR="009D5923" w:rsidRPr="00180D43" w:rsidRDefault="009D5923" w:rsidP="00CA11E6">
            <w:pPr>
              <w:rPr>
                <w:rFonts w:cstheme="minorHAnsi"/>
                <w:lang w:val="en-US"/>
              </w:rPr>
            </w:pPr>
            <w:r w:rsidRPr="6C7F8CA4">
              <w:rPr>
                <w:lang w:val="en-US"/>
              </w:rPr>
              <w:t>Fosters the description of data arising from surveys and observational methods in various domains. Offers controlled vocabularies and a Lifecycle to improve the documentation and data management across the entire processes</w:t>
            </w:r>
            <w:r w:rsidRPr="6C7F8CA4">
              <w:rPr>
                <w:rStyle w:val="Endnotenzeichen"/>
                <w:lang w:val="en-US"/>
              </w:rPr>
              <w:endnoteReference w:id="15"/>
            </w:r>
            <w:r w:rsidRPr="6C7F8CA4">
              <w:rPr>
                <w:lang w:val="en-US"/>
              </w:rPr>
              <w:t>.</w:t>
            </w:r>
          </w:p>
        </w:tc>
        <w:tc>
          <w:tcPr>
            <w:tcW w:w="1121" w:type="dxa"/>
          </w:tcPr>
          <w:p w:rsidR="009D5923" w:rsidRPr="00180D43" w:rsidRDefault="009D5923" w:rsidP="00CA11E6">
            <w:pPr>
              <w:rPr>
                <w:rFonts w:cstheme="minorHAnsi"/>
                <w:lang w:val="en-US"/>
              </w:rPr>
            </w:pPr>
            <w:r w:rsidRPr="00180D43">
              <w:rPr>
                <w:rFonts w:cstheme="minorHAnsi"/>
                <w:lang w:val="en-US"/>
              </w:rPr>
              <w:t>All</w:t>
            </w:r>
          </w:p>
        </w:tc>
      </w:tr>
      <w:tr w:rsidR="009D5923" w:rsidRPr="00180D43" w:rsidTr="00CA11E6">
        <w:tc>
          <w:tcPr>
            <w:tcW w:w="1740" w:type="dxa"/>
          </w:tcPr>
          <w:p w:rsidR="009D5923" w:rsidRPr="00180D43" w:rsidRDefault="009D5923" w:rsidP="00CA11E6">
            <w:pPr>
              <w:spacing w:line="259" w:lineRule="auto"/>
              <w:rPr>
                <w:rFonts w:cstheme="minorHAnsi"/>
                <w:lang w:val="en-US"/>
              </w:rPr>
            </w:pPr>
            <w:r w:rsidRPr="00180D43">
              <w:rPr>
                <w:rFonts w:cstheme="minorHAnsi"/>
                <w:lang w:val="en-US"/>
              </w:rPr>
              <w:t>Study Cohort Ontology (SCO)</w:t>
            </w:r>
          </w:p>
        </w:tc>
        <w:tc>
          <w:tcPr>
            <w:tcW w:w="1890" w:type="dxa"/>
          </w:tcPr>
          <w:p w:rsidR="009D5923" w:rsidRPr="00180D43" w:rsidRDefault="009D5923" w:rsidP="00CA11E6">
            <w:pPr>
              <w:rPr>
                <w:rFonts w:cstheme="minorHAnsi"/>
                <w:lang w:val="en-US"/>
              </w:rPr>
            </w:pPr>
            <w:r w:rsidRPr="00180D43">
              <w:rPr>
                <w:rFonts w:cstheme="minorHAnsi"/>
                <w:lang w:val="en-US"/>
              </w:rPr>
              <w:t>Semantic ; Ontology</w:t>
            </w:r>
          </w:p>
        </w:tc>
        <w:tc>
          <w:tcPr>
            <w:tcW w:w="5279" w:type="dxa"/>
          </w:tcPr>
          <w:p w:rsidR="009D5923" w:rsidRPr="00180D43" w:rsidRDefault="009D5923" w:rsidP="00CA11E6">
            <w:pPr>
              <w:rPr>
                <w:rFonts w:cstheme="minorHAnsi"/>
                <w:lang w:val="en-US"/>
              </w:rPr>
            </w:pPr>
            <w:r w:rsidRPr="6C7F8CA4">
              <w:rPr>
                <w:lang w:val="en-US"/>
              </w:rPr>
              <w:t>Characterizes the structure and patterns of cohorts' variables and groups in clinical trials and observational case studies; offers a. o. a Diabetes related terminology</w:t>
            </w:r>
            <w:r w:rsidRPr="6C7F8CA4">
              <w:rPr>
                <w:rStyle w:val="Endnotenzeichen"/>
                <w:lang w:val="en-US"/>
              </w:rPr>
              <w:endnoteReference w:id="16"/>
            </w:r>
            <w:r w:rsidRPr="6C7F8CA4">
              <w:rPr>
                <w:lang w:val="en-US"/>
              </w:rPr>
              <w:t>.</w:t>
            </w:r>
          </w:p>
        </w:tc>
        <w:tc>
          <w:tcPr>
            <w:tcW w:w="1121" w:type="dxa"/>
          </w:tcPr>
          <w:p w:rsidR="009D5923" w:rsidRPr="00180D43" w:rsidRDefault="009D5923" w:rsidP="00CA11E6">
            <w:pPr>
              <w:rPr>
                <w:rFonts w:cstheme="minorHAnsi"/>
                <w:lang w:val="en-US"/>
              </w:rPr>
            </w:pPr>
            <w:r w:rsidRPr="00180D43">
              <w:rPr>
                <w:rFonts w:cstheme="minorHAnsi"/>
                <w:lang w:val="en-US"/>
              </w:rPr>
              <w:t>T5.1, T5.2</w:t>
            </w:r>
          </w:p>
          <w:p w:rsidR="009D5923" w:rsidRPr="00180D43" w:rsidRDefault="009D5923" w:rsidP="00CA11E6">
            <w:pPr>
              <w:rPr>
                <w:rFonts w:cstheme="minorHAnsi"/>
                <w:lang w:val="en-US"/>
              </w:rPr>
            </w:pPr>
          </w:p>
        </w:tc>
      </w:tr>
      <w:tr w:rsidR="009D5923" w:rsidRPr="00180D43" w:rsidTr="00CA11E6">
        <w:tc>
          <w:tcPr>
            <w:tcW w:w="1740" w:type="dxa"/>
          </w:tcPr>
          <w:p w:rsidR="009D5923" w:rsidRPr="00180D43" w:rsidRDefault="009D5923" w:rsidP="00CA11E6">
            <w:pPr>
              <w:rPr>
                <w:rFonts w:cstheme="minorHAnsi"/>
                <w:lang w:val="en-US"/>
              </w:rPr>
            </w:pPr>
            <w:r w:rsidRPr="00180D43">
              <w:rPr>
                <w:rFonts w:cstheme="minorHAnsi"/>
                <w:lang w:val="en-US"/>
              </w:rPr>
              <w:t>Clinical Trial Ontology or Core Ontology of Clinical Trials (CTO)</w:t>
            </w:r>
          </w:p>
        </w:tc>
        <w:tc>
          <w:tcPr>
            <w:tcW w:w="1890" w:type="dxa"/>
          </w:tcPr>
          <w:p w:rsidR="009D5923" w:rsidRPr="00180D43" w:rsidRDefault="009D5923" w:rsidP="00CA11E6">
            <w:pPr>
              <w:rPr>
                <w:rFonts w:cstheme="minorHAnsi"/>
                <w:lang w:val="en-US"/>
              </w:rPr>
            </w:pPr>
            <w:r w:rsidRPr="00180D43">
              <w:rPr>
                <w:rFonts w:cstheme="minorHAnsi"/>
                <w:lang w:val="en-US"/>
              </w:rPr>
              <w:t>Semantic ; Ontology</w:t>
            </w:r>
          </w:p>
        </w:tc>
        <w:tc>
          <w:tcPr>
            <w:tcW w:w="5279" w:type="dxa"/>
          </w:tcPr>
          <w:p w:rsidR="009D5923" w:rsidRPr="00180D43" w:rsidRDefault="009D5923" w:rsidP="00CA11E6">
            <w:pPr>
              <w:rPr>
                <w:rFonts w:cstheme="minorHAnsi"/>
                <w:lang w:val="en-US"/>
              </w:rPr>
            </w:pPr>
            <w:r w:rsidRPr="6C7F8CA4">
              <w:rPr>
                <w:lang w:val="en-US"/>
              </w:rPr>
              <w:t>Ontology created collaboratively by serval institutions to support the representation and inclusion of all concepts and terms utilized to describe and register clinical trials. Extensions of CTO can be used to annotate variables in study documents</w:t>
            </w:r>
            <w:r w:rsidRPr="6C7F8CA4">
              <w:rPr>
                <w:rStyle w:val="Endnotenzeichen"/>
                <w:lang w:val="en-US"/>
              </w:rPr>
              <w:endnoteReference w:id="17"/>
            </w:r>
            <w:proofErr w:type="gramStart"/>
            <w:r w:rsidRPr="6C7F8CA4">
              <w:rPr>
                <w:vertAlign w:val="superscript"/>
                <w:lang w:val="en-US"/>
              </w:rPr>
              <w:t>,</w:t>
            </w:r>
            <w:r w:rsidRPr="6C7F8CA4">
              <w:rPr>
                <w:rStyle w:val="Endnotenzeichen"/>
                <w:lang w:val="en-US"/>
              </w:rPr>
              <w:endnoteReference w:id="18"/>
            </w:r>
            <w:r w:rsidRPr="6C7F8CA4">
              <w:rPr>
                <w:lang w:val="en-US"/>
              </w:rPr>
              <w:t>.</w:t>
            </w:r>
            <w:proofErr w:type="gramEnd"/>
            <w:r w:rsidRPr="6C7F8CA4">
              <w:rPr>
                <w:lang w:val="en-US"/>
              </w:rPr>
              <w:t xml:space="preserve">     </w:t>
            </w:r>
          </w:p>
        </w:tc>
        <w:tc>
          <w:tcPr>
            <w:tcW w:w="1121" w:type="dxa"/>
          </w:tcPr>
          <w:p w:rsidR="009D5923" w:rsidRPr="00180D43" w:rsidRDefault="009D5923" w:rsidP="00CA11E6">
            <w:pPr>
              <w:rPr>
                <w:rFonts w:cstheme="minorHAnsi"/>
                <w:lang w:val="en-US"/>
              </w:rPr>
            </w:pPr>
            <w:r w:rsidRPr="00180D43">
              <w:rPr>
                <w:rFonts w:cstheme="minorHAnsi"/>
                <w:lang w:val="en-US"/>
              </w:rPr>
              <w:t>T5.4 ; maybe T5.1 + T5.2 + T5.6</w:t>
            </w:r>
          </w:p>
        </w:tc>
      </w:tr>
      <w:tr w:rsidR="009D5923" w:rsidRPr="00180D43" w:rsidTr="00CA11E6">
        <w:tc>
          <w:tcPr>
            <w:tcW w:w="1740" w:type="dxa"/>
          </w:tcPr>
          <w:p w:rsidR="009D5923" w:rsidRPr="00180D43" w:rsidRDefault="009D5923" w:rsidP="00CA11E6">
            <w:pPr>
              <w:rPr>
                <w:rFonts w:cstheme="minorHAnsi"/>
                <w:lang w:val="en-US"/>
              </w:rPr>
            </w:pPr>
            <w:r w:rsidRPr="00180D43">
              <w:rPr>
                <w:rFonts w:cstheme="minorHAnsi"/>
                <w:lang w:val="en-US"/>
              </w:rPr>
              <w:t>Ontology of Clinical Research (OCRE)</w:t>
            </w:r>
          </w:p>
        </w:tc>
        <w:tc>
          <w:tcPr>
            <w:tcW w:w="1890" w:type="dxa"/>
          </w:tcPr>
          <w:p w:rsidR="009D5923" w:rsidRPr="00180D43" w:rsidRDefault="009D5923" w:rsidP="00CA11E6">
            <w:pPr>
              <w:rPr>
                <w:rFonts w:cstheme="minorHAnsi"/>
                <w:lang w:val="en-US"/>
              </w:rPr>
            </w:pPr>
            <w:r w:rsidRPr="00180D43">
              <w:rPr>
                <w:rFonts w:cstheme="minorHAnsi"/>
                <w:lang w:val="en-US"/>
              </w:rPr>
              <w:t>Semantic ; Ontology</w:t>
            </w:r>
          </w:p>
        </w:tc>
        <w:tc>
          <w:tcPr>
            <w:tcW w:w="5279" w:type="dxa"/>
          </w:tcPr>
          <w:p w:rsidR="009D5923" w:rsidRPr="00180D43" w:rsidRDefault="009D5923" w:rsidP="00CA11E6">
            <w:pPr>
              <w:rPr>
                <w:rFonts w:cstheme="minorHAnsi"/>
                <w:lang w:val="en-US"/>
              </w:rPr>
            </w:pPr>
            <w:r w:rsidRPr="6C7F8CA4">
              <w:rPr>
                <w:lang w:val="en-US"/>
              </w:rPr>
              <w:t>Enables study elements and studies to be systematically describes and supports interoperable queries</w:t>
            </w:r>
            <w:r w:rsidRPr="6C7F8CA4">
              <w:rPr>
                <w:rStyle w:val="Endnotenzeichen"/>
                <w:lang w:val="en-US"/>
              </w:rPr>
              <w:endnoteReference w:id="19"/>
            </w:r>
            <w:r w:rsidRPr="6C7F8CA4">
              <w:rPr>
                <w:lang w:val="en-US"/>
              </w:rPr>
              <w:t>.</w:t>
            </w:r>
          </w:p>
        </w:tc>
        <w:tc>
          <w:tcPr>
            <w:tcW w:w="1121" w:type="dxa"/>
          </w:tcPr>
          <w:p w:rsidR="009D5923" w:rsidRPr="00180D43" w:rsidRDefault="009D5923" w:rsidP="00CA11E6">
            <w:pPr>
              <w:rPr>
                <w:rFonts w:cstheme="minorHAnsi"/>
                <w:lang w:val="en-US"/>
              </w:rPr>
            </w:pPr>
            <w:r w:rsidRPr="00180D43">
              <w:rPr>
                <w:rFonts w:cstheme="minorHAnsi"/>
                <w:lang w:val="en-US"/>
              </w:rPr>
              <w:t>T5.4 ; maybe T5.1 + T5.2 + T5.6</w:t>
            </w:r>
          </w:p>
        </w:tc>
      </w:tr>
      <w:tr w:rsidR="009D5923" w:rsidRPr="00180D43" w:rsidTr="00CA11E6">
        <w:tc>
          <w:tcPr>
            <w:tcW w:w="1740" w:type="dxa"/>
          </w:tcPr>
          <w:p w:rsidR="009D5923" w:rsidRPr="00180D43" w:rsidRDefault="009D5923" w:rsidP="00CA11E6">
            <w:pPr>
              <w:rPr>
                <w:rFonts w:cstheme="minorHAnsi"/>
                <w:lang w:val="en-US"/>
              </w:rPr>
            </w:pPr>
            <w:r w:rsidRPr="00180D43">
              <w:rPr>
                <w:rFonts w:cstheme="minorHAnsi"/>
                <w:lang w:val="en-US"/>
              </w:rPr>
              <w:t>Ontology for Biomedical Investigations (OBI)</w:t>
            </w:r>
          </w:p>
        </w:tc>
        <w:tc>
          <w:tcPr>
            <w:tcW w:w="1890" w:type="dxa"/>
          </w:tcPr>
          <w:p w:rsidR="009D5923" w:rsidRPr="00180D43" w:rsidRDefault="009D5923" w:rsidP="00CA11E6">
            <w:pPr>
              <w:rPr>
                <w:rFonts w:cstheme="minorHAnsi"/>
                <w:lang w:val="en-US"/>
              </w:rPr>
            </w:pPr>
            <w:r w:rsidRPr="00180D43">
              <w:rPr>
                <w:rFonts w:cstheme="minorHAnsi"/>
                <w:lang w:val="en-US"/>
              </w:rPr>
              <w:t>Semantic ; Ontology</w:t>
            </w:r>
          </w:p>
        </w:tc>
        <w:tc>
          <w:tcPr>
            <w:tcW w:w="5279" w:type="dxa"/>
          </w:tcPr>
          <w:p w:rsidR="009D5923" w:rsidRPr="00180D43" w:rsidRDefault="009D5923" w:rsidP="00CA11E6">
            <w:pPr>
              <w:rPr>
                <w:rFonts w:cstheme="minorHAnsi"/>
                <w:lang w:val="en-US"/>
              </w:rPr>
            </w:pPr>
            <w:r w:rsidRPr="6C7F8CA4">
              <w:rPr>
                <w:lang w:val="en-US"/>
              </w:rPr>
              <w:t xml:space="preserve">Supports the unambiguous communication about scientific investigations with a list of more than 2500 terms to describe e.g. devices, assays, objectives as well as protocols, </w:t>
            </w:r>
            <w:proofErr w:type="spellStart"/>
            <w:r w:rsidRPr="6C7F8CA4">
              <w:rPr>
                <w:lang w:val="en-US"/>
              </w:rPr>
              <w:t>intrumentation</w:t>
            </w:r>
            <w:proofErr w:type="spellEnd"/>
            <w:r w:rsidRPr="6C7F8CA4">
              <w:rPr>
                <w:lang w:val="en-US"/>
              </w:rPr>
              <w:t xml:space="preserve"> and materials used, etc.</w:t>
            </w:r>
            <w:r w:rsidRPr="6C7F8CA4">
              <w:rPr>
                <w:rStyle w:val="Endnotenzeichen"/>
                <w:lang w:val="en-US"/>
              </w:rPr>
              <w:endnoteReference w:id="20"/>
            </w:r>
            <w:r w:rsidRPr="6C7F8CA4">
              <w:rPr>
                <w:lang w:val="en-US"/>
              </w:rPr>
              <w:t>.</w:t>
            </w:r>
          </w:p>
        </w:tc>
        <w:tc>
          <w:tcPr>
            <w:tcW w:w="1121" w:type="dxa"/>
          </w:tcPr>
          <w:p w:rsidR="009D5923" w:rsidRPr="00180D43" w:rsidRDefault="009D5923" w:rsidP="00CA11E6">
            <w:pPr>
              <w:rPr>
                <w:rFonts w:cstheme="minorHAnsi"/>
                <w:lang w:val="en-US"/>
              </w:rPr>
            </w:pPr>
            <w:r w:rsidRPr="00180D43">
              <w:rPr>
                <w:rFonts w:cstheme="minorHAnsi"/>
                <w:lang w:val="en-US"/>
              </w:rPr>
              <w:t>All but T5.3</w:t>
            </w:r>
          </w:p>
          <w:p w:rsidR="009D5923" w:rsidRPr="00180D43" w:rsidRDefault="009D5923" w:rsidP="00CA11E6">
            <w:pPr>
              <w:rPr>
                <w:rFonts w:cstheme="minorHAnsi"/>
                <w:lang w:val="en-US"/>
              </w:rPr>
            </w:pPr>
          </w:p>
        </w:tc>
      </w:tr>
      <w:tr w:rsidR="009D5923" w:rsidRPr="00180D43" w:rsidTr="00CA11E6">
        <w:tc>
          <w:tcPr>
            <w:tcW w:w="1740" w:type="dxa"/>
          </w:tcPr>
          <w:p w:rsidR="009D5923" w:rsidRPr="00180D43" w:rsidRDefault="009D5923" w:rsidP="00CA11E6">
            <w:pPr>
              <w:spacing w:line="259" w:lineRule="auto"/>
              <w:rPr>
                <w:rFonts w:cstheme="minorHAnsi"/>
                <w:lang w:val="en-US"/>
              </w:rPr>
            </w:pPr>
            <w:r w:rsidRPr="00180D43">
              <w:rPr>
                <w:rFonts w:cstheme="minorHAnsi"/>
                <w:lang w:val="en-US"/>
              </w:rPr>
              <w:t>CARRE Risk Factor ontology</w:t>
            </w:r>
          </w:p>
        </w:tc>
        <w:tc>
          <w:tcPr>
            <w:tcW w:w="1890" w:type="dxa"/>
          </w:tcPr>
          <w:p w:rsidR="009D5923" w:rsidRPr="00180D43" w:rsidRDefault="009D5923" w:rsidP="00CA11E6">
            <w:pPr>
              <w:spacing w:line="259" w:lineRule="auto"/>
              <w:rPr>
                <w:rFonts w:cstheme="minorHAnsi"/>
                <w:lang w:val="en-US"/>
              </w:rPr>
            </w:pPr>
            <w:r w:rsidRPr="00180D43">
              <w:rPr>
                <w:rFonts w:cstheme="minorHAnsi"/>
                <w:lang w:val="en-US"/>
              </w:rPr>
              <w:t>Semantic ; Ontology</w:t>
            </w:r>
          </w:p>
        </w:tc>
        <w:tc>
          <w:tcPr>
            <w:tcW w:w="5279" w:type="dxa"/>
          </w:tcPr>
          <w:p w:rsidR="009D5923" w:rsidRPr="00180D43" w:rsidRDefault="009D5923" w:rsidP="00CA11E6">
            <w:pPr>
              <w:rPr>
                <w:rFonts w:cstheme="minorHAnsi"/>
                <w:lang w:val="en-US"/>
              </w:rPr>
            </w:pPr>
            <w:r w:rsidRPr="6C7F8CA4">
              <w:rPr>
                <w:lang w:val="en-US"/>
              </w:rPr>
              <w:t xml:space="preserve">Represents risk factors, evidence and observables with links to widely recognized standards such as ICD, SNOMED CT, LOINC, ICD10PCS, UMLS, </w:t>
            </w:r>
            <w:proofErr w:type="gramStart"/>
            <w:r w:rsidRPr="6C7F8CA4">
              <w:rPr>
                <w:lang w:val="en-US"/>
              </w:rPr>
              <w:t>W3C</w:t>
            </w:r>
            <w:proofErr w:type="gramEnd"/>
            <w:r w:rsidRPr="6C7F8CA4">
              <w:rPr>
                <w:rStyle w:val="Endnotenzeichen"/>
                <w:lang w:val="en-US"/>
              </w:rPr>
              <w:endnoteReference w:id="21"/>
            </w:r>
            <w:r w:rsidRPr="6C7F8CA4">
              <w:rPr>
                <w:lang w:val="en-US"/>
              </w:rPr>
              <w:t>.</w:t>
            </w:r>
          </w:p>
        </w:tc>
        <w:tc>
          <w:tcPr>
            <w:tcW w:w="1121" w:type="dxa"/>
          </w:tcPr>
          <w:p w:rsidR="009D5923" w:rsidRPr="00180D43" w:rsidRDefault="009D5923" w:rsidP="00CA11E6">
            <w:pPr>
              <w:rPr>
                <w:rFonts w:cstheme="minorHAnsi"/>
                <w:lang w:val="en-US"/>
              </w:rPr>
            </w:pPr>
            <w:r w:rsidRPr="00180D43">
              <w:rPr>
                <w:rFonts w:cstheme="minorHAnsi"/>
                <w:lang w:val="en-US"/>
              </w:rPr>
              <w:t>All but T5.3</w:t>
            </w:r>
          </w:p>
        </w:tc>
      </w:tr>
      <w:tr w:rsidR="009D5923" w:rsidRPr="00180D43" w:rsidTr="00CA11E6">
        <w:tc>
          <w:tcPr>
            <w:tcW w:w="1740" w:type="dxa"/>
          </w:tcPr>
          <w:p w:rsidR="009D5923" w:rsidRPr="00180D43" w:rsidRDefault="009D5923" w:rsidP="00CA11E6">
            <w:pPr>
              <w:spacing w:line="259" w:lineRule="auto"/>
              <w:rPr>
                <w:rFonts w:cstheme="minorHAnsi"/>
                <w:lang w:val="en-US"/>
              </w:rPr>
            </w:pPr>
            <w:r w:rsidRPr="00180D43">
              <w:rPr>
                <w:rFonts w:cstheme="minorHAnsi"/>
                <w:lang w:val="en-US"/>
              </w:rPr>
              <w:t>Standards from ISO/TC 34 Food Products</w:t>
            </w:r>
          </w:p>
        </w:tc>
        <w:tc>
          <w:tcPr>
            <w:tcW w:w="1890" w:type="dxa"/>
          </w:tcPr>
          <w:p w:rsidR="009D5923" w:rsidRPr="00180D43" w:rsidRDefault="009D5923" w:rsidP="00CA11E6">
            <w:pPr>
              <w:spacing w:line="259" w:lineRule="auto"/>
              <w:rPr>
                <w:rFonts w:cstheme="minorHAnsi"/>
                <w:lang w:val="en-US"/>
              </w:rPr>
            </w:pPr>
            <w:r w:rsidRPr="00180D43">
              <w:rPr>
                <w:rFonts w:cstheme="minorHAnsi"/>
                <w:lang w:val="en-US"/>
              </w:rPr>
              <w:t>Different types of standards</w:t>
            </w:r>
          </w:p>
        </w:tc>
        <w:tc>
          <w:tcPr>
            <w:tcW w:w="5279" w:type="dxa"/>
          </w:tcPr>
          <w:p w:rsidR="009D5923" w:rsidRPr="00180D43" w:rsidRDefault="009D5923" w:rsidP="00CA11E6">
            <w:pPr>
              <w:rPr>
                <w:rFonts w:eastAsia="Calibri" w:cstheme="minorHAnsi"/>
                <w:lang w:val="en-US"/>
              </w:rPr>
            </w:pPr>
            <w:r w:rsidRPr="6C7F8CA4">
              <w:rPr>
                <w:lang w:val="en-US"/>
              </w:rPr>
              <w:t>Develops of standards related to food and the food chain including a. o. “</w:t>
            </w:r>
            <w:r w:rsidRPr="6C7F8CA4">
              <w:rPr>
                <w:rFonts w:eastAsia="Calibri"/>
                <w:lang w:val="en-US"/>
              </w:rPr>
              <w:t>terminology, sampling, methods of test and analysis, product specifications, food and feed safety and quality management and requirements for packaging, storage and transportation”</w:t>
            </w:r>
            <w:r w:rsidRPr="6C7F8CA4">
              <w:rPr>
                <w:rStyle w:val="Endnotenzeichen"/>
                <w:rFonts w:eastAsia="Calibri"/>
                <w:lang w:val="en-US"/>
              </w:rPr>
              <w:endnoteReference w:id="22"/>
            </w:r>
            <w:r w:rsidRPr="6C7F8CA4">
              <w:rPr>
                <w:rFonts w:eastAsia="Calibri"/>
                <w:lang w:val="en-US"/>
              </w:rPr>
              <w:t>.</w:t>
            </w:r>
          </w:p>
        </w:tc>
        <w:tc>
          <w:tcPr>
            <w:tcW w:w="1121" w:type="dxa"/>
          </w:tcPr>
          <w:p w:rsidR="009D5923" w:rsidRPr="00180D43" w:rsidRDefault="009D5923" w:rsidP="00CA11E6">
            <w:pPr>
              <w:rPr>
                <w:rFonts w:cstheme="minorHAnsi"/>
                <w:lang w:val="en-US"/>
              </w:rPr>
            </w:pPr>
            <w:r w:rsidRPr="00180D43">
              <w:rPr>
                <w:rFonts w:cstheme="minorHAnsi"/>
                <w:lang w:val="en-US"/>
              </w:rPr>
              <w:t>T5.1 (T5.2)</w:t>
            </w:r>
          </w:p>
        </w:tc>
      </w:tr>
      <w:tr w:rsidR="009D5923" w:rsidRPr="00180D43" w:rsidTr="00CA11E6">
        <w:tc>
          <w:tcPr>
            <w:tcW w:w="1740" w:type="dxa"/>
          </w:tcPr>
          <w:p w:rsidR="009D5923" w:rsidRPr="00180D43" w:rsidRDefault="009D5923" w:rsidP="00CA11E6">
            <w:pPr>
              <w:rPr>
                <w:rFonts w:cstheme="minorHAnsi"/>
                <w:lang w:val="en-US"/>
              </w:rPr>
            </w:pPr>
            <w:r w:rsidRPr="00180D43">
              <w:rPr>
                <w:rFonts w:cstheme="minorHAnsi"/>
                <w:lang w:val="en-US"/>
              </w:rPr>
              <w:t>FoodEx2</w:t>
            </w:r>
          </w:p>
        </w:tc>
        <w:tc>
          <w:tcPr>
            <w:tcW w:w="1890" w:type="dxa"/>
          </w:tcPr>
          <w:p w:rsidR="009D5923" w:rsidRPr="00180D43" w:rsidRDefault="009D5923" w:rsidP="00CA11E6">
            <w:pPr>
              <w:rPr>
                <w:rFonts w:cstheme="minorHAnsi"/>
                <w:lang w:val="en-US"/>
              </w:rPr>
            </w:pPr>
            <w:r w:rsidRPr="00180D43">
              <w:rPr>
                <w:rFonts w:cstheme="minorHAnsi"/>
                <w:lang w:val="en-US"/>
              </w:rPr>
              <w:t>Semantic ; Classification / Description system</w:t>
            </w:r>
          </w:p>
        </w:tc>
        <w:tc>
          <w:tcPr>
            <w:tcW w:w="5279" w:type="dxa"/>
          </w:tcPr>
          <w:p w:rsidR="009D5923" w:rsidRPr="00180D43" w:rsidRDefault="009D5923" w:rsidP="00CA11E6">
            <w:pPr>
              <w:rPr>
                <w:rFonts w:cstheme="minorHAnsi"/>
                <w:lang w:val="en-US"/>
              </w:rPr>
            </w:pPr>
            <w:r w:rsidRPr="6C7F8CA4">
              <w:rPr>
                <w:lang w:val="en-US"/>
              </w:rPr>
              <w:t>Supports the description of food in data collections</w:t>
            </w:r>
            <w:r w:rsidRPr="6C7F8CA4">
              <w:rPr>
                <w:rStyle w:val="Endnotenzeichen"/>
                <w:lang w:val="en-US"/>
              </w:rPr>
              <w:endnoteReference w:id="23"/>
            </w:r>
            <w:r w:rsidRPr="6C7F8CA4">
              <w:rPr>
                <w:lang w:val="en-US"/>
              </w:rPr>
              <w:t>.</w:t>
            </w:r>
          </w:p>
          <w:p w:rsidR="009D5923" w:rsidRPr="00180D43" w:rsidRDefault="009D5923" w:rsidP="00CA11E6">
            <w:pPr>
              <w:rPr>
                <w:rFonts w:cstheme="minorHAnsi"/>
                <w:lang w:val="en-US"/>
              </w:rPr>
            </w:pPr>
          </w:p>
          <w:p w:rsidR="009D5923" w:rsidRPr="00180D43" w:rsidRDefault="009D5923" w:rsidP="00CA11E6">
            <w:pPr>
              <w:rPr>
                <w:rFonts w:cstheme="minorHAnsi"/>
                <w:i/>
                <w:iCs/>
                <w:lang w:val="en-US"/>
              </w:rPr>
            </w:pPr>
            <w:r w:rsidRPr="00180D43">
              <w:rPr>
                <w:rFonts w:cstheme="minorHAnsi"/>
                <w:i/>
                <w:iCs/>
                <w:lang w:val="en-US"/>
              </w:rPr>
              <w:t>Evaluated as well fitting by T5.1.</w:t>
            </w:r>
          </w:p>
        </w:tc>
        <w:tc>
          <w:tcPr>
            <w:tcW w:w="1121" w:type="dxa"/>
          </w:tcPr>
          <w:p w:rsidR="009D5923" w:rsidRPr="00180D43" w:rsidRDefault="009D5923" w:rsidP="00CA11E6">
            <w:pPr>
              <w:rPr>
                <w:rFonts w:cstheme="minorHAnsi"/>
                <w:lang w:val="en-US"/>
              </w:rPr>
            </w:pPr>
            <w:r w:rsidRPr="00180D43">
              <w:rPr>
                <w:rFonts w:cstheme="minorHAnsi"/>
                <w:lang w:val="en-US"/>
              </w:rPr>
              <w:t>T5.1 (T5.2)</w:t>
            </w:r>
          </w:p>
        </w:tc>
      </w:tr>
      <w:tr w:rsidR="009D5923" w:rsidRPr="00180D43" w:rsidTr="00CA11E6">
        <w:tc>
          <w:tcPr>
            <w:tcW w:w="1740" w:type="dxa"/>
          </w:tcPr>
          <w:p w:rsidR="009D5923" w:rsidRPr="00180D43" w:rsidRDefault="009D5923" w:rsidP="00CA11E6">
            <w:pPr>
              <w:rPr>
                <w:rFonts w:cstheme="minorHAnsi"/>
                <w:lang w:val="en-US"/>
              </w:rPr>
            </w:pPr>
            <w:r>
              <w:rPr>
                <w:rFonts w:cstheme="minorHAnsi"/>
                <w:lang w:val="en-US"/>
              </w:rPr>
              <w:t>Ontology for Nutrit</w:t>
            </w:r>
            <w:r w:rsidRPr="00180D43">
              <w:rPr>
                <w:rFonts w:cstheme="minorHAnsi"/>
                <w:lang w:val="en-US"/>
              </w:rPr>
              <w:t>ional Epidemiology (ONE)</w:t>
            </w:r>
          </w:p>
        </w:tc>
        <w:tc>
          <w:tcPr>
            <w:tcW w:w="1890" w:type="dxa"/>
          </w:tcPr>
          <w:p w:rsidR="009D5923" w:rsidRPr="00180D43" w:rsidRDefault="009D5923" w:rsidP="00CA11E6">
            <w:pPr>
              <w:rPr>
                <w:rFonts w:cstheme="minorHAnsi"/>
                <w:lang w:val="en-US"/>
              </w:rPr>
            </w:pPr>
            <w:r w:rsidRPr="00180D43">
              <w:rPr>
                <w:rFonts w:cstheme="minorHAnsi"/>
                <w:lang w:val="en-US"/>
              </w:rPr>
              <w:t>Semantic</w:t>
            </w:r>
          </w:p>
        </w:tc>
        <w:tc>
          <w:tcPr>
            <w:tcW w:w="5279" w:type="dxa"/>
          </w:tcPr>
          <w:p w:rsidR="009D5923" w:rsidRPr="00180D43" w:rsidRDefault="009D5923" w:rsidP="00CA11E6">
            <w:pPr>
              <w:rPr>
                <w:rFonts w:cstheme="minorHAnsi"/>
                <w:lang w:val="en-US"/>
              </w:rPr>
            </w:pPr>
            <w:r w:rsidRPr="6C7F8CA4">
              <w:rPr>
                <w:lang w:val="en-US"/>
              </w:rPr>
              <w:t xml:space="preserve">Combines different ontologies such as </w:t>
            </w:r>
            <w:proofErr w:type="spellStart"/>
            <w:r w:rsidRPr="6C7F8CA4">
              <w:rPr>
                <w:lang w:val="en-US"/>
              </w:rPr>
              <w:t>FoodOn</w:t>
            </w:r>
            <w:proofErr w:type="spellEnd"/>
            <w:r w:rsidRPr="6C7F8CA4">
              <w:rPr>
                <w:lang w:val="en-US"/>
              </w:rPr>
              <w:t xml:space="preserve"> and </w:t>
            </w:r>
            <w:proofErr w:type="spellStart"/>
            <w:r w:rsidRPr="6C7F8CA4">
              <w:rPr>
                <w:lang w:val="en-US"/>
              </w:rPr>
              <w:t>FoodEx</w:t>
            </w:r>
            <w:proofErr w:type="spellEnd"/>
            <w:r w:rsidRPr="6C7F8CA4">
              <w:rPr>
                <w:lang w:val="en-US"/>
              </w:rPr>
              <w:t>, standards for publication such as STROBE or standards for data analysis and fits well for epidemiological studies</w:t>
            </w:r>
            <w:r w:rsidRPr="6C7F8CA4">
              <w:rPr>
                <w:rStyle w:val="Endnotenzeichen"/>
                <w:lang w:val="en-US"/>
              </w:rPr>
              <w:endnoteReference w:id="24"/>
            </w:r>
            <w:r w:rsidRPr="6C7F8CA4">
              <w:rPr>
                <w:lang w:val="en-US"/>
              </w:rPr>
              <w:t xml:space="preserve">. ONE allows </w:t>
            </w:r>
            <w:proofErr w:type="gramStart"/>
            <w:r w:rsidRPr="6C7F8CA4">
              <w:rPr>
                <w:lang w:val="en-US"/>
              </w:rPr>
              <w:t>to describe</w:t>
            </w:r>
            <w:proofErr w:type="gramEnd"/>
            <w:r w:rsidRPr="6C7F8CA4">
              <w:rPr>
                <w:lang w:val="en-US"/>
              </w:rPr>
              <w:t xml:space="preserve"> the nutritional epidemiological output.</w:t>
            </w:r>
          </w:p>
        </w:tc>
        <w:tc>
          <w:tcPr>
            <w:tcW w:w="1121" w:type="dxa"/>
          </w:tcPr>
          <w:p w:rsidR="009D5923" w:rsidRPr="00180D43" w:rsidRDefault="009D5923" w:rsidP="00CA11E6">
            <w:pPr>
              <w:rPr>
                <w:rFonts w:cstheme="minorHAnsi"/>
                <w:lang w:val="en-US"/>
              </w:rPr>
            </w:pPr>
            <w:r w:rsidRPr="00180D43">
              <w:rPr>
                <w:rFonts w:cstheme="minorHAnsi"/>
                <w:lang w:val="en-US"/>
              </w:rPr>
              <w:t>T5.1 (T5.2)</w:t>
            </w:r>
          </w:p>
        </w:tc>
      </w:tr>
      <w:tr w:rsidR="009D5923" w:rsidRPr="00180D43" w:rsidTr="00CA11E6">
        <w:tc>
          <w:tcPr>
            <w:tcW w:w="1740" w:type="dxa"/>
          </w:tcPr>
          <w:p w:rsidR="009D5923" w:rsidRPr="00180D43" w:rsidRDefault="009D5923" w:rsidP="00CA11E6">
            <w:pPr>
              <w:rPr>
                <w:rFonts w:cstheme="minorHAnsi"/>
                <w:lang w:val="en-US"/>
              </w:rPr>
            </w:pPr>
            <w:r w:rsidRPr="00180D43">
              <w:rPr>
                <w:rFonts w:cstheme="minorHAnsi"/>
                <w:lang w:val="en-US"/>
              </w:rPr>
              <w:t>Ontology for Nutritional Studies (ONS)</w:t>
            </w:r>
          </w:p>
        </w:tc>
        <w:tc>
          <w:tcPr>
            <w:tcW w:w="1890" w:type="dxa"/>
          </w:tcPr>
          <w:p w:rsidR="009D5923" w:rsidRPr="00180D43" w:rsidRDefault="009D5923" w:rsidP="00CA11E6">
            <w:pPr>
              <w:rPr>
                <w:rFonts w:cstheme="minorHAnsi"/>
                <w:lang w:val="en-US"/>
              </w:rPr>
            </w:pPr>
            <w:r w:rsidRPr="00180D43">
              <w:rPr>
                <w:rFonts w:cstheme="minorHAnsi"/>
                <w:lang w:val="en-US"/>
              </w:rPr>
              <w:t>Semantic</w:t>
            </w:r>
          </w:p>
        </w:tc>
        <w:tc>
          <w:tcPr>
            <w:tcW w:w="5279" w:type="dxa"/>
          </w:tcPr>
          <w:p w:rsidR="009D5923" w:rsidRPr="00180D43" w:rsidRDefault="009D5923" w:rsidP="00CA11E6">
            <w:pPr>
              <w:rPr>
                <w:rFonts w:cstheme="minorHAnsi"/>
                <w:lang w:val="en-US"/>
              </w:rPr>
            </w:pPr>
            <w:r w:rsidRPr="6C7F8CA4">
              <w:rPr>
                <w:lang w:val="en-US"/>
              </w:rPr>
              <w:t>Focuses rather on interventional and observational studies than on epidemiological studies and includes also other food ontologies (but no standards for results publication)</w:t>
            </w:r>
            <w:r w:rsidRPr="6C7F8CA4">
              <w:rPr>
                <w:rStyle w:val="Endnotenzeichen"/>
                <w:lang w:val="en-US"/>
              </w:rPr>
              <w:endnoteReference w:id="25"/>
            </w:r>
          </w:p>
        </w:tc>
        <w:tc>
          <w:tcPr>
            <w:tcW w:w="1121" w:type="dxa"/>
          </w:tcPr>
          <w:p w:rsidR="009D5923" w:rsidRPr="00180D43" w:rsidRDefault="009D5923" w:rsidP="00CA11E6">
            <w:pPr>
              <w:rPr>
                <w:rFonts w:cstheme="minorHAnsi"/>
                <w:lang w:val="en-US"/>
              </w:rPr>
            </w:pPr>
            <w:r w:rsidRPr="00180D43">
              <w:rPr>
                <w:rFonts w:cstheme="minorHAnsi"/>
                <w:lang w:val="en-US"/>
              </w:rPr>
              <w:t>T5.1 (T5.2)</w:t>
            </w:r>
          </w:p>
          <w:p w:rsidR="009D5923" w:rsidRPr="00180D43" w:rsidRDefault="009D5923" w:rsidP="00CA11E6">
            <w:pPr>
              <w:rPr>
                <w:rFonts w:cstheme="minorHAnsi"/>
                <w:lang w:val="en-US"/>
              </w:rPr>
            </w:pPr>
          </w:p>
        </w:tc>
      </w:tr>
      <w:tr w:rsidR="009D5923" w:rsidRPr="00180D43" w:rsidTr="00CA11E6">
        <w:tc>
          <w:tcPr>
            <w:tcW w:w="1740" w:type="dxa"/>
          </w:tcPr>
          <w:p w:rsidR="009D5923" w:rsidRPr="00180D43" w:rsidRDefault="009D5923" w:rsidP="00CA11E6">
            <w:pPr>
              <w:rPr>
                <w:rFonts w:cstheme="minorHAnsi"/>
                <w:lang w:val="en-US"/>
              </w:rPr>
            </w:pPr>
            <w:proofErr w:type="spellStart"/>
            <w:r w:rsidRPr="00180D43">
              <w:rPr>
                <w:rFonts w:cstheme="minorHAnsi"/>
                <w:lang w:val="en-US"/>
              </w:rPr>
              <w:t>FoodON</w:t>
            </w:r>
            <w:proofErr w:type="spellEnd"/>
          </w:p>
          <w:p w:rsidR="009D5923" w:rsidRPr="00180D43" w:rsidRDefault="009D5923" w:rsidP="00CA11E6">
            <w:pPr>
              <w:rPr>
                <w:rFonts w:cstheme="minorHAnsi"/>
                <w:lang w:val="en-US"/>
              </w:rPr>
            </w:pPr>
          </w:p>
        </w:tc>
        <w:tc>
          <w:tcPr>
            <w:tcW w:w="1890" w:type="dxa"/>
          </w:tcPr>
          <w:p w:rsidR="009D5923" w:rsidRPr="00180D43" w:rsidRDefault="009D5923" w:rsidP="00CA11E6">
            <w:pPr>
              <w:rPr>
                <w:rFonts w:cstheme="minorHAnsi"/>
                <w:lang w:val="en-US"/>
              </w:rPr>
            </w:pPr>
            <w:r w:rsidRPr="00180D43">
              <w:rPr>
                <w:rFonts w:cstheme="minorHAnsi"/>
                <w:lang w:val="en-US"/>
              </w:rPr>
              <w:t>Semantic</w:t>
            </w:r>
          </w:p>
        </w:tc>
        <w:tc>
          <w:tcPr>
            <w:tcW w:w="5279" w:type="dxa"/>
          </w:tcPr>
          <w:p w:rsidR="009D5923" w:rsidRPr="00180D43" w:rsidRDefault="009D5923" w:rsidP="00CA11E6">
            <w:pPr>
              <w:rPr>
                <w:rFonts w:cstheme="minorHAnsi"/>
                <w:lang w:val="en-US"/>
              </w:rPr>
            </w:pPr>
            <w:r w:rsidRPr="6C7F8CA4">
              <w:rPr>
                <w:lang w:val="en-US"/>
              </w:rPr>
              <w:t>Fosters data annotation while observing FAIR principles and is included e.g. in ONE and ONS</w:t>
            </w:r>
            <w:r w:rsidRPr="6C7F8CA4">
              <w:rPr>
                <w:rStyle w:val="Endnotenzeichen"/>
                <w:lang w:val="en-US"/>
              </w:rPr>
              <w:endnoteReference w:id="26"/>
            </w:r>
            <w:r w:rsidRPr="6C7F8CA4">
              <w:rPr>
                <w:lang w:val="en-US"/>
              </w:rPr>
              <w:t>.</w:t>
            </w:r>
          </w:p>
        </w:tc>
        <w:tc>
          <w:tcPr>
            <w:tcW w:w="1121" w:type="dxa"/>
          </w:tcPr>
          <w:p w:rsidR="009D5923" w:rsidRPr="00180D43" w:rsidRDefault="009D5923" w:rsidP="00CA11E6">
            <w:pPr>
              <w:rPr>
                <w:rFonts w:cstheme="minorHAnsi"/>
                <w:lang w:val="en-US"/>
              </w:rPr>
            </w:pPr>
            <w:r w:rsidRPr="00180D43">
              <w:rPr>
                <w:rFonts w:cstheme="minorHAnsi"/>
                <w:lang w:val="en-US"/>
              </w:rPr>
              <w:t>T5.1 (T5.2)</w:t>
            </w:r>
          </w:p>
          <w:p w:rsidR="009D5923" w:rsidRPr="00180D43" w:rsidRDefault="009D5923" w:rsidP="00CA11E6">
            <w:pPr>
              <w:rPr>
                <w:rFonts w:cstheme="minorHAnsi"/>
                <w:lang w:val="en-US"/>
              </w:rPr>
            </w:pPr>
          </w:p>
        </w:tc>
      </w:tr>
      <w:tr w:rsidR="009D5923" w:rsidRPr="00180D43" w:rsidTr="00CA11E6">
        <w:tc>
          <w:tcPr>
            <w:tcW w:w="1740" w:type="dxa"/>
          </w:tcPr>
          <w:p w:rsidR="009D5923" w:rsidRPr="00180D43" w:rsidRDefault="009D5923" w:rsidP="00CA11E6">
            <w:pPr>
              <w:rPr>
                <w:rFonts w:cstheme="minorHAnsi"/>
                <w:lang w:val="en-US"/>
              </w:rPr>
            </w:pPr>
            <w:proofErr w:type="spellStart"/>
            <w:r w:rsidRPr="00180D43">
              <w:rPr>
                <w:rFonts w:cstheme="minorHAnsi"/>
                <w:lang w:val="en-US"/>
              </w:rPr>
              <w:t>Bionutrition</w:t>
            </w:r>
            <w:proofErr w:type="spellEnd"/>
            <w:r w:rsidRPr="00180D43">
              <w:rPr>
                <w:rFonts w:cstheme="minorHAnsi"/>
                <w:lang w:val="en-US"/>
              </w:rPr>
              <w:t xml:space="preserve"> Ontology (BNO)</w:t>
            </w:r>
          </w:p>
        </w:tc>
        <w:tc>
          <w:tcPr>
            <w:tcW w:w="1890" w:type="dxa"/>
          </w:tcPr>
          <w:p w:rsidR="009D5923" w:rsidRPr="00180D43" w:rsidRDefault="009D5923" w:rsidP="00CA11E6">
            <w:pPr>
              <w:rPr>
                <w:rFonts w:cstheme="minorHAnsi"/>
                <w:lang w:val="en-US"/>
              </w:rPr>
            </w:pPr>
            <w:r w:rsidRPr="00180D43">
              <w:rPr>
                <w:rFonts w:cstheme="minorHAnsi"/>
                <w:lang w:val="en-US"/>
              </w:rPr>
              <w:t>Semantic</w:t>
            </w:r>
          </w:p>
        </w:tc>
        <w:tc>
          <w:tcPr>
            <w:tcW w:w="5279" w:type="dxa"/>
          </w:tcPr>
          <w:p w:rsidR="009D5923" w:rsidRPr="00180D43" w:rsidRDefault="009D5923" w:rsidP="00CA11E6">
            <w:pPr>
              <w:rPr>
                <w:rFonts w:cstheme="minorHAnsi"/>
                <w:lang w:val="en-US"/>
              </w:rPr>
            </w:pPr>
            <w:r w:rsidRPr="6C7F8CA4">
              <w:rPr>
                <w:lang w:val="en-US"/>
              </w:rPr>
              <w:t>Enables to describe nutritional concepts</w:t>
            </w:r>
            <w:r w:rsidRPr="6C7F8CA4">
              <w:rPr>
                <w:rStyle w:val="Endnotenzeichen"/>
                <w:lang w:val="en-US"/>
              </w:rPr>
              <w:endnoteReference w:id="27"/>
            </w:r>
            <w:r w:rsidRPr="6C7F8CA4">
              <w:rPr>
                <w:lang w:val="en-US"/>
              </w:rPr>
              <w:t>.</w:t>
            </w:r>
          </w:p>
        </w:tc>
        <w:tc>
          <w:tcPr>
            <w:tcW w:w="1121" w:type="dxa"/>
          </w:tcPr>
          <w:p w:rsidR="009D5923" w:rsidRPr="00180D43" w:rsidRDefault="009D5923" w:rsidP="00CA11E6">
            <w:pPr>
              <w:rPr>
                <w:rFonts w:cstheme="minorHAnsi"/>
                <w:lang w:val="en-US"/>
              </w:rPr>
            </w:pPr>
            <w:r w:rsidRPr="00180D43">
              <w:rPr>
                <w:rFonts w:cstheme="minorHAnsi"/>
                <w:lang w:val="en-US"/>
              </w:rPr>
              <w:t>T5.1 (T5.2)</w:t>
            </w:r>
          </w:p>
          <w:p w:rsidR="009D5923" w:rsidRPr="00180D43" w:rsidRDefault="009D5923" w:rsidP="00CA11E6">
            <w:pPr>
              <w:rPr>
                <w:rFonts w:cstheme="minorHAnsi"/>
                <w:lang w:val="en-US"/>
              </w:rPr>
            </w:pPr>
          </w:p>
        </w:tc>
      </w:tr>
      <w:tr w:rsidR="009D5923" w:rsidRPr="00180D43" w:rsidTr="00CA11E6">
        <w:tc>
          <w:tcPr>
            <w:tcW w:w="1740" w:type="dxa"/>
          </w:tcPr>
          <w:p w:rsidR="009D5923" w:rsidRPr="00180D43" w:rsidRDefault="009D5923" w:rsidP="00CA11E6">
            <w:pPr>
              <w:rPr>
                <w:rFonts w:cstheme="minorHAnsi"/>
                <w:lang w:val="en-US"/>
              </w:rPr>
            </w:pPr>
            <w:proofErr w:type="spellStart"/>
            <w:r w:rsidRPr="00180D43">
              <w:rPr>
                <w:rFonts w:cstheme="minorHAnsi"/>
                <w:lang w:val="en-US"/>
              </w:rPr>
              <w:t>Langua</w:t>
            </w:r>
            <w:proofErr w:type="spellEnd"/>
            <w:r w:rsidRPr="00180D43">
              <w:rPr>
                <w:rFonts w:cstheme="minorHAnsi"/>
                <w:lang w:val="en-US"/>
              </w:rPr>
              <w:t xml:space="preserve"> </w:t>
            </w:r>
            <w:proofErr w:type="spellStart"/>
            <w:r w:rsidRPr="00180D43">
              <w:rPr>
                <w:rFonts w:cstheme="minorHAnsi"/>
                <w:lang w:val="en-US"/>
              </w:rPr>
              <w:t>alimentaria</w:t>
            </w:r>
            <w:proofErr w:type="spellEnd"/>
            <w:r w:rsidRPr="00180D43">
              <w:rPr>
                <w:rFonts w:cstheme="minorHAnsi"/>
                <w:lang w:val="en-US"/>
              </w:rPr>
              <w:t xml:space="preserve"> (</w:t>
            </w:r>
            <w:proofErr w:type="spellStart"/>
            <w:r w:rsidRPr="00180D43">
              <w:rPr>
                <w:rFonts w:cstheme="minorHAnsi"/>
                <w:lang w:val="en-US"/>
              </w:rPr>
              <w:t>LanguaL</w:t>
            </w:r>
            <w:proofErr w:type="spellEnd"/>
            <w:r w:rsidRPr="00180D43">
              <w:rPr>
                <w:rFonts w:cstheme="minorHAnsi"/>
                <w:lang w:val="en-US"/>
              </w:rPr>
              <w:t>)</w:t>
            </w:r>
          </w:p>
        </w:tc>
        <w:tc>
          <w:tcPr>
            <w:tcW w:w="1890" w:type="dxa"/>
          </w:tcPr>
          <w:p w:rsidR="009D5923" w:rsidRPr="00180D43" w:rsidRDefault="009D5923" w:rsidP="00CA11E6">
            <w:pPr>
              <w:rPr>
                <w:rFonts w:cstheme="minorHAnsi"/>
                <w:lang w:val="en-US"/>
              </w:rPr>
            </w:pPr>
            <w:r w:rsidRPr="00180D43">
              <w:rPr>
                <w:rFonts w:cstheme="minorHAnsi"/>
                <w:lang w:val="en-US"/>
              </w:rPr>
              <w:t>Semantic ; Thesaurus</w:t>
            </w:r>
          </w:p>
        </w:tc>
        <w:tc>
          <w:tcPr>
            <w:tcW w:w="5279" w:type="dxa"/>
          </w:tcPr>
          <w:p w:rsidR="009D5923" w:rsidRPr="00180D43" w:rsidRDefault="009D5923" w:rsidP="00CA11E6">
            <w:pPr>
              <w:rPr>
                <w:rFonts w:cstheme="minorHAnsi"/>
                <w:lang w:val="en-US"/>
              </w:rPr>
            </w:pPr>
            <w:r w:rsidRPr="6C7F8CA4">
              <w:rPr>
                <w:lang w:val="en-US"/>
              </w:rPr>
              <w:t>Enables both the description and the capture/retrieval of food data</w:t>
            </w:r>
            <w:r w:rsidRPr="6C7F8CA4">
              <w:rPr>
                <w:rStyle w:val="Endnotenzeichen"/>
                <w:lang w:val="en-US"/>
              </w:rPr>
              <w:endnoteReference w:id="28"/>
            </w:r>
            <w:r w:rsidRPr="6C7F8CA4">
              <w:rPr>
                <w:lang w:val="en-US"/>
              </w:rPr>
              <w:t>.</w:t>
            </w:r>
          </w:p>
        </w:tc>
        <w:tc>
          <w:tcPr>
            <w:tcW w:w="1121" w:type="dxa"/>
          </w:tcPr>
          <w:p w:rsidR="009D5923" w:rsidRPr="00180D43" w:rsidRDefault="009D5923" w:rsidP="00CA11E6">
            <w:pPr>
              <w:rPr>
                <w:rFonts w:cstheme="minorHAnsi"/>
                <w:lang w:val="en-US"/>
              </w:rPr>
            </w:pPr>
            <w:r w:rsidRPr="00180D43">
              <w:rPr>
                <w:rFonts w:cstheme="minorHAnsi"/>
                <w:lang w:val="en-US"/>
              </w:rPr>
              <w:t>T5.1 (T5.2)</w:t>
            </w:r>
          </w:p>
          <w:p w:rsidR="009D5923" w:rsidRPr="00180D43" w:rsidRDefault="009D5923" w:rsidP="00CA11E6">
            <w:pPr>
              <w:rPr>
                <w:rFonts w:cstheme="minorHAnsi"/>
                <w:lang w:val="en-US"/>
              </w:rPr>
            </w:pPr>
          </w:p>
        </w:tc>
      </w:tr>
      <w:tr w:rsidR="009D5923" w:rsidRPr="00180D43" w:rsidTr="00CA11E6">
        <w:tc>
          <w:tcPr>
            <w:tcW w:w="1740" w:type="dxa"/>
          </w:tcPr>
          <w:p w:rsidR="009D5923" w:rsidRPr="00180D43" w:rsidRDefault="009D5923" w:rsidP="00CA11E6">
            <w:pPr>
              <w:rPr>
                <w:rFonts w:cstheme="minorHAnsi"/>
                <w:lang w:val="en-US"/>
              </w:rPr>
            </w:pPr>
            <w:r w:rsidRPr="00180D43">
              <w:rPr>
                <w:rFonts w:cstheme="minorHAnsi"/>
                <w:lang w:val="en-US"/>
              </w:rPr>
              <w:t>Strengthening the Reporting of observational studies in epidemiology (STROBE)</w:t>
            </w:r>
          </w:p>
        </w:tc>
        <w:tc>
          <w:tcPr>
            <w:tcW w:w="1890" w:type="dxa"/>
          </w:tcPr>
          <w:p w:rsidR="009D5923" w:rsidRPr="00180D43" w:rsidRDefault="009D5923" w:rsidP="00CA11E6">
            <w:pPr>
              <w:rPr>
                <w:rFonts w:cstheme="minorHAnsi"/>
                <w:lang w:val="en-US"/>
              </w:rPr>
            </w:pPr>
            <w:r w:rsidRPr="00180D43">
              <w:rPr>
                <w:rFonts w:cstheme="minorHAnsi"/>
                <w:lang w:val="en-US"/>
              </w:rPr>
              <w:t>Publication guidelines</w:t>
            </w:r>
          </w:p>
        </w:tc>
        <w:tc>
          <w:tcPr>
            <w:tcW w:w="5279" w:type="dxa"/>
          </w:tcPr>
          <w:p w:rsidR="009D5923" w:rsidRPr="00180D43" w:rsidRDefault="009D5923" w:rsidP="00CA11E6">
            <w:pPr>
              <w:rPr>
                <w:rFonts w:cstheme="minorHAnsi"/>
                <w:lang w:val="en-US"/>
              </w:rPr>
            </w:pPr>
            <w:r w:rsidRPr="6C7F8CA4">
              <w:rPr>
                <w:lang w:val="en-US"/>
              </w:rPr>
              <w:t>Fosters the adequate reporting and dissemination of epidemiological findings</w:t>
            </w:r>
            <w:r w:rsidRPr="6C7F8CA4">
              <w:rPr>
                <w:rStyle w:val="Endnotenzeichen"/>
                <w:lang w:val="en-US"/>
              </w:rPr>
              <w:endnoteReference w:id="29"/>
            </w:r>
            <w:r w:rsidRPr="6C7F8CA4">
              <w:rPr>
                <w:lang w:val="en-US"/>
              </w:rPr>
              <w:t xml:space="preserve">. </w:t>
            </w:r>
          </w:p>
          <w:p w:rsidR="009D5923" w:rsidRPr="00180D43" w:rsidRDefault="009D5923" w:rsidP="00CA11E6">
            <w:pPr>
              <w:rPr>
                <w:rFonts w:cstheme="minorHAnsi"/>
                <w:lang w:val="en-US"/>
              </w:rPr>
            </w:pPr>
            <w:r w:rsidRPr="6C7F8CA4">
              <w:rPr>
                <w:lang w:val="en-US"/>
              </w:rPr>
              <w:t>Further guidelines for specific use cases, such as STROBE-nut for nutrition</w:t>
            </w:r>
            <w:r w:rsidRPr="6C7F8CA4">
              <w:rPr>
                <w:rStyle w:val="Endnotenzeichen"/>
                <w:lang w:val="en-US"/>
              </w:rPr>
              <w:endnoteReference w:id="30"/>
            </w:r>
            <w:r w:rsidRPr="6C7F8CA4">
              <w:rPr>
                <w:lang w:val="en-US"/>
              </w:rPr>
              <w:t>.</w:t>
            </w:r>
          </w:p>
        </w:tc>
        <w:tc>
          <w:tcPr>
            <w:tcW w:w="1121" w:type="dxa"/>
          </w:tcPr>
          <w:p w:rsidR="009D5923" w:rsidRPr="00180D43" w:rsidRDefault="009D5923" w:rsidP="00CA11E6">
            <w:pPr>
              <w:rPr>
                <w:rFonts w:cstheme="minorHAnsi"/>
                <w:lang w:val="en-US"/>
              </w:rPr>
            </w:pPr>
            <w:r w:rsidRPr="00180D43">
              <w:rPr>
                <w:rFonts w:cstheme="minorHAnsi"/>
                <w:lang w:val="en-US"/>
              </w:rPr>
              <w:t>T5.1, T5.2, maybe T5.3</w:t>
            </w:r>
          </w:p>
        </w:tc>
      </w:tr>
      <w:tr w:rsidR="009D5923" w:rsidRPr="00180D43" w:rsidTr="00CA11E6">
        <w:tc>
          <w:tcPr>
            <w:tcW w:w="1740" w:type="dxa"/>
          </w:tcPr>
          <w:p w:rsidR="009D5923" w:rsidRPr="00180D43" w:rsidRDefault="009D5923" w:rsidP="00CA11E6">
            <w:pPr>
              <w:rPr>
                <w:rFonts w:cstheme="minorHAnsi"/>
                <w:lang w:val="en-US"/>
              </w:rPr>
            </w:pPr>
            <w:r w:rsidRPr="00180D43">
              <w:rPr>
                <w:rFonts w:cstheme="minorHAnsi"/>
                <w:lang w:val="en-US"/>
              </w:rPr>
              <w:t>European Nutritional Phenotype Assessment and Data Sharing Initiative (ENPADASI)</w:t>
            </w:r>
          </w:p>
        </w:tc>
        <w:tc>
          <w:tcPr>
            <w:tcW w:w="1890" w:type="dxa"/>
          </w:tcPr>
          <w:p w:rsidR="009D5923" w:rsidRPr="00180D43" w:rsidRDefault="009D5923" w:rsidP="00CA11E6">
            <w:pPr>
              <w:rPr>
                <w:rFonts w:cstheme="minorHAnsi"/>
                <w:lang w:val="en-US"/>
              </w:rPr>
            </w:pPr>
            <w:r w:rsidRPr="00180D43">
              <w:rPr>
                <w:rFonts w:cstheme="minorHAnsi"/>
                <w:lang w:val="en-US"/>
              </w:rPr>
              <w:t>“Minimal information guidelines” and semantic</w:t>
            </w:r>
          </w:p>
        </w:tc>
        <w:tc>
          <w:tcPr>
            <w:tcW w:w="5279" w:type="dxa"/>
          </w:tcPr>
          <w:p w:rsidR="009D5923" w:rsidRPr="00180D43" w:rsidRDefault="009D5923" w:rsidP="00CA11E6">
            <w:pPr>
              <w:rPr>
                <w:rFonts w:cstheme="minorHAnsi"/>
                <w:lang w:val="en-US"/>
              </w:rPr>
            </w:pPr>
            <w:r w:rsidRPr="6C7F8CA4">
              <w:rPr>
                <w:lang w:val="en-US"/>
              </w:rPr>
              <w:t>Collects and standardizes study metadata and phenotypic from nutritional interventional, mechanistic and epidemiological studies. Develops templates for data collection as well as minimal requirements to share nutritional data and study information</w:t>
            </w:r>
            <w:r w:rsidRPr="6C7F8CA4">
              <w:rPr>
                <w:rStyle w:val="Endnotenzeichen"/>
                <w:lang w:val="en-US"/>
              </w:rPr>
              <w:endnoteReference w:id="31"/>
            </w:r>
            <w:r w:rsidRPr="6C7F8CA4">
              <w:rPr>
                <w:lang w:val="en-US"/>
              </w:rPr>
              <w:t>.</w:t>
            </w:r>
          </w:p>
        </w:tc>
        <w:tc>
          <w:tcPr>
            <w:tcW w:w="1121" w:type="dxa"/>
          </w:tcPr>
          <w:p w:rsidR="009D5923" w:rsidRPr="00180D43" w:rsidRDefault="009D5923" w:rsidP="00CA11E6">
            <w:pPr>
              <w:rPr>
                <w:rFonts w:cstheme="minorHAnsi"/>
                <w:lang w:val="en-US"/>
              </w:rPr>
            </w:pPr>
            <w:r w:rsidRPr="00180D43">
              <w:rPr>
                <w:rFonts w:cstheme="minorHAnsi"/>
                <w:lang w:val="en-US"/>
              </w:rPr>
              <w:t>T5.1 (T5.2)</w:t>
            </w:r>
          </w:p>
          <w:p w:rsidR="009D5923" w:rsidRPr="00180D43" w:rsidRDefault="009D5923" w:rsidP="00CA11E6">
            <w:pPr>
              <w:rPr>
                <w:rFonts w:cstheme="minorHAnsi"/>
                <w:lang w:val="en-US"/>
              </w:rPr>
            </w:pPr>
          </w:p>
        </w:tc>
      </w:tr>
      <w:tr w:rsidR="009D5923" w:rsidRPr="00180D43" w:rsidTr="00CA11E6">
        <w:tc>
          <w:tcPr>
            <w:tcW w:w="1740" w:type="dxa"/>
          </w:tcPr>
          <w:p w:rsidR="009D5923" w:rsidRPr="00180D43" w:rsidRDefault="009D5923" w:rsidP="00CA11E6">
            <w:pPr>
              <w:rPr>
                <w:rFonts w:eastAsia="Calibri" w:cstheme="minorHAnsi"/>
                <w:lang w:val="en-US"/>
              </w:rPr>
            </w:pPr>
            <w:r w:rsidRPr="00180D43">
              <w:rPr>
                <w:rFonts w:cstheme="minorHAnsi"/>
                <w:lang w:val="en-US"/>
              </w:rPr>
              <w:t xml:space="preserve">Core Outcome Set (COS) of the </w:t>
            </w:r>
            <w:r w:rsidRPr="00180D43">
              <w:rPr>
                <w:rFonts w:eastAsia="Calibri" w:cstheme="minorHAnsi"/>
                <w:lang w:val="en-US"/>
              </w:rPr>
              <w:t>Core Outcome Measures in Effectiveness Trials Initiative (COMET)</w:t>
            </w:r>
          </w:p>
        </w:tc>
        <w:tc>
          <w:tcPr>
            <w:tcW w:w="1890" w:type="dxa"/>
          </w:tcPr>
          <w:p w:rsidR="009D5923" w:rsidRPr="00180D43" w:rsidRDefault="009D5923" w:rsidP="00CA11E6">
            <w:pPr>
              <w:rPr>
                <w:rFonts w:cstheme="minorHAnsi"/>
                <w:lang w:val="en-US"/>
              </w:rPr>
            </w:pPr>
            <w:r w:rsidRPr="00180D43">
              <w:rPr>
                <w:rFonts w:cstheme="minorHAnsi"/>
                <w:lang w:val="en-US"/>
              </w:rPr>
              <w:t>Core set of outcomes for effectiveness trials</w:t>
            </w:r>
          </w:p>
        </w:tc>
        <w:tc>
          <w:tcPr>
            <w:tcW w:w="5279" w:type="dxa"/>
          </w:tcPr>
          <w:p w:rsidR="009D5923" w:rsidRPr="00180D43" w:rsidRDefault="009D5923" w:rsidP="00CA11E6">
            <w:pPr>
              <w:rPr>
                <w:rFonts w:cstheme="minorHAnsi"/>
                <w:lang w:val="en-US"/>
              </w:rPr>
            </w:pPr>
            <w:r w:rsidRPr="6C7F8CA4">
              <w:rPr>
                <w:lang w:val="en-US"/>
              </w:rPr>
              <w:t>The COMET initiative provides a. o. a handbook and guidelines how to develop a core outcome set (for effectiveness trials)</w:t>
            </w:r>
            <w:r w:rsidRPr="6C7F8CA4">
              <w:rPr>
                <w:rStyle w:val="Endnotenzeichen"/>
                <w:lang w:val="en-US"/>
              </w:rPr>
              <w:endnoteReference w:id="32"/>
            </w:r>
            <w:r w:rsidRPr="6C7F8CA4">
              <w:rPr>
                <w:lang w:val="en-US"/>
              </w:rPr>
              <w:t xml:space="preserve">. </w:t>
            </w:r>
          </w:p>
          <w:p w:rsidR="009D5923" w:rsidRPr="00180D43" w:rsidRDefault="009D5923" w:rsidP="00CA11E6">
            <w:pPr>
              <w:rPr>
                <w:rFonts w:cstheme="minorHAnsi"/>
                <w:lang w:val="en-US"/>
              </w:rPr>
            </w:pPr>
          </w:p>
          <w:p w:rsidR="009D5923" w:rsidRPr="00180D43" w:rsidRDefault="009D5923" w:rsidP="00CA11E6">
            <w:pPr>
              <w:rPr>
                <w:rFonts w:cstheme="minorHAnsi"/>
                <w:lang w:val="en-US"/>
              </w:rPr>
            </w:pPr>
            <w:r w:rsidRPr="00180D43">
              <w:rPr>
                <w:rFonts w:cstheme="minorHAnsi"/>
                <w:i/>
                <w:iCs/>
                <w:lang w:val="en-US"/>
              </w:rPr>
              <w:t xml:space="preserve">Possibilities of adaption of the guidelines to other types of clinical trials or epidemiological research </w:t>
            </w:r>
            <w:proofErr w:type="gramStart"/>
            <w:r w:rsidRPr="00180D43">
              <w:rPr>
                <w:rFonts w:cstheme="minorHAnsi"/>
                <w:i/>
                <w:iCs/>
                <w:lang w:val="en-US"/>
              </w:rPr>
              <w:t>should be evaluated</w:t>
            </w:r>
            <w:proofErr w:type="gramEnd"/>
            <w:r w:rsidRPr="00180D43">
              <w:rPr>
                <w:rFonts w:cstheme="minorHAnsi"/>
                <w:i/>
                <w:iCs/>
                <w:lang w:val="en-US"/>
              </w:rPr>
              <w:t>.</w:t>
            </w:r>
            <w:r w:rsidRPr="00180D43">
              <w:rPr>
                <w:rFonts w:cstheme="minorHAnsi"/>
                <w:lang w:val="en-US"/>
              </w:rPr>
              <w:t xml:space="preserve"> </w:t>
            </w:r>
          </w:p>
        </w:tc>
        <w:tc>
          <w:tcPr>
            <w:tcW w:w="1121" w:type="dxa"/>
          </w:tcPr>
          <w:p w:rsidR="009D5923" w:rsidRPr="00180D43" w:rsidRDefault="009D5923" w:rsidP="00CA11E6">
            <w:pPr>
              <w:rPr>
                <w:rFonts w:cstheme="minorHAnsi"/>
                <w:lang w:val="en-US"/>
              </w:rPr>
            </w:pPr>
            <w:r w:rsidRPr="00180D43">
              <w:rPr>
                <w:rFonts w:cstheme="minorHAnsi"/>
                <w:lang w:val="en-US"/>
              </w:rPr>
              <w:t>T5.1, T5.2, T5.4</w:t>
            </w:r>
          </w:p>
        </w:tc>
      </w:tr>
      <w:tr w:rsidR="009D5923" w:rsidRPr="00180D43" w:rsidTr="00CA11E6">
        <w:tc>
          <w:tcPr>
            <w:tcW w:w="1740" w:type="dxa"/>
          </w:tcPr>
          <w:p w:rsidR="009D5923" w:rsidRPr="00180D43" w:rsidRDefault="009D5923" w:rsidP="00CA11E6">
            <w:pPr>
              <w:rPr>
                <w:rFonts w:cstheme="minorHAnsi"/>
                <w:lang w:val="en-US"/>
              </w:rPr>
            </w:pPr>
            <w:r w:rsidRPr="00180D43">
              <w:rPr>
                <w:rFonts w:cstheme="minorHAnsi"/>
                <w:lang w:val="en-US"/>
              </w:rPr>
              <w:t>National Cancer Institute’s Thesaurus (NCIT)</w:t>
            </w:r>
          </w:p>
        </w:tc>
        <w:tc>
          <w:tcPr>
            <w:tcW w:w="1890" w:type="dxa"/>
          </w:tcPr>
          <w:p w:rsidR="009D5923" w:rsidRPr="00180D43" w:rsidRDefault="009D5923" w:rsidP="00CA11E6">
            <w:pPr>
              <w:rPr>
                <w:rFonts w:cstheme="minorHAnsi"/>
                <w:lang w:val="en-US"/>
              </w:rPr>
            </w:pPr>
            <w:r w:rsidRPr="00180D43">
              <w:rPr>
                <w:rFonts w:cstheme="minorHAnsi"/>
                <w:lang w:val="en-US"/>
              </w:rPr>
              <w:t>Semantic ; Thesaurus/Ontology</w:t>
            </w:r>
          </w:p>
        </w:tc>
        <w:tc>
          <w:tcPr>
            <w:tcW w:w="5279" w:type="dxa"/>
          </w:tcPr>
          <w:p w:rsidR="009D5923" w:rsidRPr="00180D43" w:rsidRDefault="009D5923" w:rsidP="00CA11E6">
            <w:pPr>
              <w:rPr>
                <w:rFonts w:cstheme="minorHAnsi"/>
                <w:lang w:val="en-US"/>
              </w:rPr>
            </w:pPr>
            <w:r w:rsidRPr="6C7F8CA4">
              <w:rPr>
                <w:lang w:val="en-US"/>
              </w:rPr>
              <w:t>Enables the description of concepts in the cancer domain</w:t>
            </w:r>
            <w:r w:rsidRPr="6C7F8CA4">
              <w:rPr>
                <w:rStyle w:val="Endnotenzeichen"/>
                <w:lang w:val="en-US"/>
              </w:rPr>
              <w:endnoteReference w:id="33"/>
            </w:r>
            <w:r w:rsidRPr="6C7F8CA4">
              <w:rPr>
                <w:lang w:val="en-US"/>
              </w:rPr>
              <w:t>.</w:t>
            </w:r>
          </w:p>
        </w:tc>
        <w:tc>
          <w:tcPr>
            <w:tcW w:w="1121" w:type="dxa"/>
          </w:tcPr>
          <w:p w:rsidR="009D5923" w:rsidRPr="00180D43" w:rsidRDefault="009D5923" w:rsidP="00CA11E6">
            <w:pPr>
              <w:rPr>
                <w:rFonts w:cstheme="minorHAnsi"/>
                <w:lang w:val="en-US"/>
              </w:rPr>
            </w:pPr>
            <w:r w:rsidRPr="00180D43">
              <w:rPr>
                <w:rFonts w:cstheme="minorHAnsi"/>
                <w:lang w:val="en-US"/>
              </w:rPr>
              <w:t>T5.1, T5.2</w:t>
            </w:r>
          </w:p>
        </w:tc>
      </w:tr>
      <w:tr w:rsidR="009D5923" w:rsidRPr="00180D43" w:rsidTr="00CA11E6">
        <w:tc>
          <w:tcPr>
            <w:tcW w:w="1740" w:type="dxa"/>
          </w:tcPr>
          <w:p w:rsidR="009D5923" w:rsidRPr="00180D43" w:rsidRDefault="009D5923" w:rsidP="00CA11E6">
            <w:pPr>
              <w:rPr>
                <w:rFonts w:cstheme="minorHAnsi"/>
                <w:lang w:val="en-US"/>
              </w:rPr>
            </w:pPr>
            <w:proofErr w:type="spellStart"/>
            <w:r w:rsidRPr="00180D43">
              <w:rPr>
                <w:rFonts w:cstheme="minorHAnsi"/>
                <w:lang w:val="en-US"/>
              </w:rPr>
              <w:t>EpiJson</w:t>
            </w:r>
            <w:proofErr w:type="spellEnd"/>
          </w:p>
        </w:tc>
        <w:tc>
          <w:tcPr>
            <w:tcW w:w="1890" w:type="dxa"/>
          </w:tcPr>
          <w:p w:rsidR="009D5923" w:rsidRPr="00180D43" w:rsidRDefault="009D5923" w:rsidP="00CA11E6">
            <w:pPr>
              <w:rPr>
                <w:rFonts w:eastAsia="Calibri" w:cstheme="minorHAnsi"/>
                <w:lang w:val="en-US"/>
              </w:rPr>
            </w:pPr>
            <w:r w:rsidRPr="00180D43">
              <w:rPr>
                <w:rFonts w:eastAsia="Calibri" w:cstheme="minorHAnsi"/>
                <w:lang w:val="en-US"/>
              </w:rPr>
              <w:t>Data format</w:t>
            </w:r>
          </w:p>
        </w:tc>
        <w:tc>
          <w:tcPr>
            <w:tcW w:w="5279" w:type="dxa"/>
          </w:tcPr>
          <w:p w:rsidR="009D5923" w:rsidRPr="00180D43" w:rsidRDefault="009D5923" w:rsidP="00CA11E6">
            <w:pPr>
              <w:rPr>
                <w:rFonts w:eastAsia="Calibri" w:cstheme="minorHAnsi"/>
                <w:lang w:val="en-US"/>
              </w:rPr>
            </w:pPr>
            <w:r w:rsidRPr="6C7F8CA4">
              <w:rPr>
                <w:rFonts w:eastAsia="Calibri"/>
                <w:lang w:val="en-US"/>
              </w:rPr>
              <w:t xml:space="preserve">Specifies </w:t>
            </w:r>
            <w:proofErr w:type="gramStart"/>
            <w:r w:rsidRPr="6C7F8CA4">
              <w:rPr>
                <w:rFonts w:eastAsia="Calibri"/>
                <w:lang w:val="en-US"/>
              </w:rPr>
              <w:t>a standard handling computer primitive data-types</w:t>
            </w:r>
            <w:proofErr w:type="gramEnd"/>
            <w:r w:rsidRPr="6C7F8CA4">
              <w:rPr>
                <w:rFonts w:eastAsia="Calibri"/>
                <w:lang w:val="en-US"/>
              </w:rPr>
              <w:t xml:space="preserve"> in an unambiguous way in order to share and transmit data from epidemiology while respecting data fidelity</w:t>
            </w:r>
            <w:r w:rsidRPr="6C7F8CA4">
              <w:rPr>
                <w:rStyle w:val="Endnotenzeichen"/>
                <w:rFonts w:eastAsia="Calibri"/>
                <w:lang w:val="en-US"/>
              </w:rPr>
              <w:endnoteReference w:id="34"/>
            </w:r>
            <w:r w:rsidRPr="6C7F8CA4">
              <w:rPr>
                <w:rFonts w:eastAsia="Calibri"/>
                <w:lang w:val="en-US"/>
              </w:rPr>
              <w:t>.</w:t>
            </w:r>
          </w:p>
        </w:tc>
        <w:tc>
          <w:tcPr>
            <w:tcW w:w="1121" w:type="dxa"/>
          </w:tcPr>
          <w:p w:rsidR="009D5923" w:rsidRPr="00180D43" w:rsidRDefault="009D5923" w:rsidP="00CA11E6">
            <w:pPr>
              <w:spacing w:line="259" w:lineRule="auto"/>
              <w:rPr>
                <w:rFonts w:eastAsia="Calibri" w:cstheme="minorHAnsi"/>
                <w:lang w:val="en-US"/>
              </w:rPr>
            </w:pPr>
            <w:r w:rsidRPr="00180D43">
              <w:rPr>
                <w:rFonts w:eastAsia="Calibri" w:cstheme="minorHAnsi"/>
                <w:lang w:val="en-US"/>
              </w:rPr>
              <w:t>T5.1, T5.2, maybe T5.3</w:t>
            </w:r>
          </w:p>
        </w:tc>
      </w:tr>
    </w:tbl>
    <w:p w:rsidR="00AE5B48" w:rsidRDefault="00AE5B48">
      <w:bookmarkStart w:id="1" w:name="_GoBack"/>
      <w:bookmarkEnd w:id="1"/>
    </w:p>
    <w:sectPr w:rsidR="00AE5B4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51D" w:rsidRDefault="00DC051D" w:rsidP="009D5923">
      <w:r>
        <w:separator/>
      </w:r>
    </w:p>
  </w:endnote>
  <w:endnote w:type="continuationSeparator" w:id="0">
    <w:p w:rsidR="00DC051D" w:rsidRDefault="00DC051D" w:rsidP="009D5923">
      <w:r>
        <w:continuationSeparator/>
      </w:r>
    </w:p>
  </w:endnote>
  <w:endnote w:id="1">
    <w:p w:rsidR="009D5923" w:rsidRPr="001877B5" w:rsidRDefault="009D5923" w:rsidP="009D5923">
      <w:pPr>
        <w:pStyle w:val="Endnotentext"/>
        <w:rPr>
          <w:lang w:val="en-US"/>
        </w:rPr>
      </w:pPr>
      <w:r w:rsidRPr="001877B5">
        <w:rPr>
          <w:rStyle w:val="Endnotenzeichen"/>
        </w:rPr>
        <w:endnoteRef/>
      </w:r>
      <w:r w:rsidRPr="001877B5">
        <w:rPr>
          <w:lang w:val="en-US"/>
        </w:rPr>
        <w:t xml:space="preserve"> </w:t>
      </w:r>
      <w:r w:rsidRPr="001877B5">
        <w:rPr>
          <w:rStyle w:val="cf01"/>
          <w:rFonts w:cstheme="minorHAnsi"/>
          <w:lang w:val="en-US"/>
        </w:rPr>
        <w:t>HL7.org. HL7</w:t>
      </w:r>
      <w:r w:rsidRPr="001877B5">
        <w:rPr>
          <w:rStyle w:val="cf11"/>
          <w:rFonts w:cstheme="minorHAnsi"/>
          <w:lang w:val="en-US"/>
        </w:rPr>
        <w:t>®</w:t>
      </w:r>
      <w:r w:rsidRPr="001877B5">
        <w:rPr>
          <w:rStyle w:val="cf01"/>
          <w:rFonts w:cstheme="minorHAnsi"/>
          <w:lang w:val="en-US"/>
        </w:rPr>
        <w:t xml:space="preserve"> FHIR</w:t>
      </w:r>
      <w:r w:rsidRPr="001877B5">
        <w:rPr>
          <w:rStyle w:val="cf11"/>
          <w:rFonts w:cstheme="minorHAnsi"/>
          <w:lang w:val="en-US"/>
        </w:rPr>
        <w:t>®</w:t>
      </w:r>
      <w:r w:rsidRPr="001877B5">
        <w:rPr>
          <w:rStyle w:val="cf01"/>
          <w:rFonts w:cstheme="minorHAnsi"/>
          <w:lang w:val="en-US"/>
        </w:rPr>
        <w:t xml:space="preserve"> Release 4. Resource </w:t>
      </w:r>
      <w:r w:rsidRPr="001877B5">
        <w:rPr>
          <w:rFonts w:cstheme="minorHAnsi"/>
          <w:lang w:val="en-US"/>
        </w:rPr>
        <w:t xml:space="preserve">Consent - Content. [Internet]. 2019. [Cited 2021 Nov 08]. Available from: </w:t>
      </w:r>
      <w:hyperlink r:id="rId1" w:history="1">
        <w:r w:rsidRPr="001877B5">
          <w:rPr>
            <w:rStyle w:val="Hyperlink"/>
            <w:rFonts w:cstheme="minorHAnsi"/>
            <w:lang w:val="en-US"/>
          </w:rPr>
          <w:t>https://hl7.org/FHIR/consent.html</w:t>
        </w:r>
      </w:hyperlink>
      <w:r w:rsidRPr="001877B5">
        <w:rPr>
          <w:rFonts w:cstheme="minorHAnsi"/>
          <w:lang w:val="en-US"/>
        </w:rPr>
        <w:t xml:space="preserve"> </w:t>
      </w:r>
    </w:p>
  </w:endnote>
  <w:endnote w:id="2">
    <w:p w:rsidR="009D5923" w:rsidRPr="001877B5" w:rsidRDefault="009D5923" w:rsidP="009D5923">
      <w:pPr>
        <w:pStyle w:val="Endnotentext"/>
        <w:rPr>
          <w:lang w:val="en-US"/>
        </w:rPr>
      </w:pPr>
      <w:r w:rsidRPr="001877B5">
        <w:rPr>
          <w:rStyle w:val="Endnotenzeichen"/>
        </w:rPr>
        <w:endnoteRef/>
      </w:r>
      <w:r w:rsidRPr="001877B5">
        <w:rPr>
          <w:lang w:val="en-US"/>
        </w:rPr>
        <w:t xml:space="preserve"> </w:t>
      </w:r>
      <w:r w:rsidRPr="001877B5">
        <w:rPr>
          <w:rStyle w:val="cf01"/>
          <w:rFonts w:cstheme="minorHAnsi"/>
          <w:lang w:val="en-US"/>
        </w:rPr>
        <w:t>HL7.org. HL7</w:t>
      </w:r>
      <w:r w:rsidRPr="001877B5">
        <w:rPr>
          <w:rStyle w:val="cf11"/>
          <w:rFonts w:cstheme="minorHAnsi"/>
          <w:lang w:val="en-US"/>
        </w:rPr>
        <w:t>®</w:t>
      </w:r>
      <w:r w:rsidRPr="001877B5">
        <w:rPr>
          <w:rStyle w:val="cf01"/>
          <w:rFonts w:cstheme="minorHAnsi"/>
          <w:lang w:val="en-US"/>
        </w:rPr>
        <w:t xml:space="preserve"> FHIR</w:t>
      </w:r>
      <w:r w:rsidRPr="001877B5">
        <w:rPr>
          <w:rStyle w:val="cf11"/>
          <w:rFonts w:cstheme="minorHAnsi"/>
          <w:lang w:val="en-US"/>
        </w:rPr>
        <w:t>®</w:t>
      </w:r>
      <w:r w:rsidRPr="001877B5">
        <w:rPr>
          <w:rStyle w:val="cf01"/>
          <w:rFonts w:cstheme="minorHAnsi"/>
          <w:lang w:val="en-US"/>
        </w:rPr>
        <w:t xml:space="preserve"> Release 4. Resource </w:t>
      </w:r>
      <w:r w:rsidRPr="001877B5">
        <w:rPr>
          <w:rFonts w:cstheme="minorHAnsi"/>
          <w:lang w:val="en-US"/>
        </w:rPr>
        <w:t xml:space="preserve">Provenance - Content. [Internet]. 2019. [Cited 2021 Nov 08]. Available from: </w:t>
      </w:r>
      <w:hyperlink r:id="rId2" w:history="1">
        <w:r w:rsidRPr="001877B5">
          <w:rPr>
            <w:rStyle w:val="Hyperlink"/>
            <w:rFonts w:cstheme="minorHAnsi"/>
            <w:lang w:val="en-US"/>
          </w:rPr>
          <w:t>https://hl7.org/FHIR/provenance.html</w:t>
        </w:r>
      </w:hyperlink>
      <w:r w:rsidRPr="001877B5">
        <w:rPr>
          <w:rFonts w:cstheme="minorHAnsi"/>
          <w:lang w:val="en-US"/>
        </w:rPr>
        <w:t xml:space="preserve"> </w:t>
      </w:r>
    </w:p>
  </w:endnote>
  <w:endnote w:id="3">
    <w:p w:rsidR="009D5923" w:rsidRPr="001877B5" w:rsidRDefault="009D5923" w:rsidP="009D5923">
      <w:pPr>
        <w:pStyle w:val="Endnotentext"/>
        <w:rPr>
          <w:lang w:val="en-US"/>
        </w:rPr>
      </w:pPr>
      <w:r w:rsidRPr="001877B5">
        <w:rPr>
          <w:rStyle w:val="Endnotenzeichen"/>
        </w:rPr>
        <w:endnoteRef/>
      </w:r>
      <w:r w:rsidRPr="001877B5">
        <w:rPr>
          <w:lang w:val="en-US"/>
        </w:rPr>
        <w:t xml:space="preserve"> </w:t>
      </w:r>
      <w:r w:rsidRPr="001877B5">
        <w:rPr>
          <w:rStyle w:val="cf01"/>
          <w:rFonts w:cstheme="minorHAnsi"/>
          <w:lang w:val="en-US"/>
        </w:rPr>
        <w:t>HL7.org. HL7</w:t>
      </w:r>
      <w:r w:rsidRPr="001877B5">
        <w:rPr>
          <w:rStyle w:val="cf11"/>
          <w:rFonts w:cstheme="minorHAnsi"/>
          <w:lang w:val="en-US"/>
        </w:rPr>
        <w:t>®</w:t>
      </w:r>
      <w:r w:rsidRPr="001877B5">
        <w:rPr>
          <w:rStyle w:val="cf01"/>
          <w:rFonts w:cstheme="minorHAnsi"/>
          <w:lang w:val="en-US"/>
        </w:rPr>
        <w:t xml:space="preserve"> FHIR</w:t>
      </w:r>
      <w:r w:rsidRPr="001877B5">
        <w:rPr>
          <w:rStyle w:val="cf11"/>
          <w:rFonts w:cstheme="minorHAnsi"/>
          <w:lang w:val="en-US"/>
        </w:rPr>
        <w:t>®</w:t>
      </w:r>
      <w:r w:rsidRPr="001877B5">
        <w:rPr>
          <w:rStyle w:val="cf01"/>
          <w:rFonts w:cstheme="minorHAnsi"/>
          <w:lang w:val="en-US"/>
        </w:rPr>
        <w:t xml:space="preserve"> Release 4. Resource </w:t>
      </w:r>
      <w:r w:rsidRPr="001877B5">
        <w:rPr>
          <w:rFonts w:cstheme="minorHAnsi"/>
          <w:lang w:val="en-US"/>
        </w:rPr>
        <w:t xml:space="preserve">Measure - Content. [Internet]. 2019. [Cited 2021 Nov 08]. Available from: </w:t>
      </w:r>
      <w:hyperlink r:id="rId3" w:history="1">
        <w:r w:rsidRPr="001877B5">
          <w:rPr>
            <w:rStyle w:val="Hyperlink"/>
            <w:rFonts w:cstheme="minorHAnsi"/>
            <w:lang w:val="en-US"/>
          </w:rPr>
          <w:t>https://hl7.org/FHIR/measure.html</w:t>
        </w:r>
      </w:hyperlink>
      <w:r w:rsidRPr="001877B5">
        <w:rPr>
          <w:rFonts w:cstheme="minorHAnsi"/>
          <w:lang w:val="en-US"/>
        </w:rPr>
        <w:t xml:space="preserve"> </w:t>
      </w:r>
    </w:p>
  </w:endnote>
  <w:endnote w:id="4">
    <w:p w:rsidR="009D5923" w:rsidRPr="001877B5" w:rsidRDefault="009D5923" w:rsidP="009D5923">
      <w:pPr>
        <w:pStyle w:val="Endnotentext"/>
        <w:rPr>
          <w:lang w:val="en-US"/>
        </w:rPr>
      </w:pPr>
      <w:r w:rsidRPr="001877B5">
        <w:rPr>
          <w:rStyle w:val="Endnotenzeichen"/>
        </w:rPr>
        <w:endnoteRef/>
      </w:r>
      <w:r w:rsidRPr="001877B5">
        <w:rPr>
          <w:lang w:val="en-US"/>
        </w:rPr>
        <w:t xml:space="preserve"> SNOMED International. 5-Step briefing. [Internet]. 2021. [Cited 2021 Nov 08]. Available from: </w:t>
      </w:r>
      <w:hyperlink r:id="rId4" w:history="1">
        <w:r w:rsidRPr="001877B5">
          <w:rPr>
            <w:rStyle w:val="Hyperlink"/>
            <w:lang w:val="en-US"/>
          </w:rPr>
          <w:t>https://www.snomed.org/snomed-ct/five-step-briefing</w:t>
        </w:r>
      </w:hyperlink>
      <w:r w:rsidRPr="001877B5">
        <w:rPr>
          <w:lang w:val="en-US"/>
        </w:rPr>
        <w:t xml:space="preserve"> </w:t>
      </w:r>
    </w:p>
  </w:endnote>
  <w:endnote w:id="5">
    <w:p w:rsidR="009D5923" w:rsidRPr="001877B5" w:rsidRDefault="009D5923" w:rsidP="009D5923">
      <w:pPr>
        <w:pStyle w:val="Endnotentext"/>
        <w:rPr>
          <w:lang w:val="en-US"/>
        </w:rPr>
      </w:pPr>
      <w:r w:rsidRPr="001877B5">
        <w:rPr>
          <w:rStyle w:val="Endnotenzeichen"/>
        </w:rPr>
        <w:endnoteRef/>
      </w:r>
      <w:r w:rsidRPr="001877B5">
        <w:rPr>
          <w:lang w:val="en-US"/>
        </w:rPr>
        <w:t xml:space="preserve"> SNOMED International. Collaboration agreement formalized with the Academy of Nutrition and Dietetics for nutrition content in SNOMED CT. [Internet]. 2021. [Cited 2021 Nov 08]. Available from: </w:t>
      </w:r>
      <w:hyperlink r:id="rId5" w:history="1">
        <w:r w:rsidRPr="001877B5">
          <w:rPr>
            <w:rStyle w:val="Hyperlink"/>
            <w:lang w:val="en-US"/>
          </w:rPr>
          <w:t>https://www.snomed.org/news-and-events/articles/snomed-academy-nutrition-dietetics-agreement</w:t>
        </w:r>
      </w:hyperlink>
      <w:r w:rsidRPr="001877B5">
        <w:rPr>
          <w:lang w:val="en-US"/>
        </w:rPr>
        <w:t xml:space="preserve"> </w:t>
      </w:r>
    </w:p>
  </w:endnote>
  <w:endnote w:id="6">
    <w:p w:rsidR="009D5923" w:rsidRPr="001877B5" w:rsidRDefault="009D5923" w:rsidP="009D5923">
      <w:pPr>
        <w:pStyle w:val="Endnotentext"/>
        <w:rPr>
          <w:color w:val="000000" w:themeColor="text1"/>
          <w:lang w:val="en-US"/>
        </w:rPr>
      </w:pPr>
      <w:r w:rsidRPr="001877B5">
        <w:rPr>
          <w:rStyle w:val="Endnotenzeichen"/>
        </w:rPr>
        <w:endnoteRef/>
      </w:r>
      <w:r w:rsidRPr="001877B5">
        <w:rPr>
          <w:lang w:val="en-US"/>
        </w:rPr>
        <w:t xml:space="preserve"> </w:t>
      </w:r>
      <w:proofErr w:type="spellStart"/>
      <w:r w:rsidRPr="001877B5">
        <w:rPr>
          <w:color w:val="000000" w:themeColor="text1"/>
          <w:lang w:val="en-US"/>
        </w:rPr>
        <w:t>Mavergames</w:t>
      </w:r>
      <w:proofErr w:type="spellEnd"/>
      <w:r w:rsidRPr="001877B5">
        <w:rPr>
          <w:color w:val="000000" w:themeColor="text1"/>
          <w:lang w:val="en-US"/>
        </w:rPr>
        <w:t xml:space="preserve"> C, Everett J, Becker L, Wilton P, Oliver S. Cochrane PICO Ontology. Revision: 4.0.1.</w:t>
      </w:r>
    </w:p>
  </w:endnote>
  <w:endnote w:id="7">
    <w:p w:rsidR="009D5923" w:rsidRPr="001877B5" w:rsidRDefault="009D5923" w:rsidP="009D5923">
      <w:pPr>
        <w:pStyle w:val="Endnotentext"/>
        <w:rPr>
          <w:lang w:val="en-US"/>
        </w:rPr>
      </w:pPr>
      <w:r w:rsidRPr="001877B5">
        <w:rPr>
          <w:rStyle w:val="Endnotenzeichen"/>
        </w:rPr>
        <w:endnoteRef/>
      </w:r>
      <w:r w:rsidRPr="001877B5">
        <w:rPr>
          <w:lang w:val="en-US"/>
        </w:rPr>
        <w:t xml:space="preserve"> Cochrane Linked Data. Metadata and vocabularies. [Internet]. 2021. [Cited 2021 Nov 08]. Available from: </w:t>
      </w:r>
      <w:hyperlink r:id="rId6">
        <w:r w:rsidRPr="001877B5">
          <w:rPr>
            <w:rStyle w:val="Hyperlink"/>
            <w:lang w:val="en-US"/>
          </w:rPr>
          <w:t>Metadata and vocabularies | Cochrane Linked Data</w:t>
        </w:r>
      </w:hyperlink>
    </w:p>
  </w:endnote>
  <w:endnote w:id="8">
    <w:p w:rsidR="009D5923" w:rsidRPr="001877B5" w:rsidRDefault="009D5923" w:rsidP="009D5923">
      <w:pPr>
        <w:pStyle w:val="Endnotentext"/>
        <w:rPr>
          <w:lang w:val="en-US"/>
        </w:rPr>
      </w:pPr>
      <w:r w:rsidRPr="001877B5">
        <w:rPr>
          <w:rStyle w:val="Endnotenzeichen"/>
        </w:rPr>
        <w:endnoteRef/>
      </w:r>
      <w:r w:rsidRPr="001877B5">
        <w:rPr>
          <w:lang w:val="en-US"/>
        </w:rPr>
        <w:t xml:space="preserve"> International Standardization Organization (ISO). ISO/TS 21526:2019(</w:t>
      </w:r>
      <w:proofErr w:type="spellStart"/>
      <w:r w:rsidRPr="001877B5">
        <w:rPr>
          <w:lang w:val="en-US"/>
        </w:rPr>
        <w:t>en</w:t>
      </w:r>
      <w:proofErr w:type="spellEnd"/>
      <w:r w:rsidRPr="001877B5">
        <w:rPr>
          <w:lang w:val="en-US"/>
        </w:rPr>
        <w:t>) Health informatics - Metadata repository requirements (</w:t>
      </w:r>
      <w:proofErr w:type="spellStart"/>
      <w:r w:rsidRPr="001877B5">
        <w:rPr>
          <w:lang w:val="en-US"/>
        </w:rPr>
        <w:t>MetaRep</w:t>
      </w:r>
      <w:proofErr w:type="spellEnd"/>
      <w:r w:rsidRPr="001877B5">
        <w:rPr>
          <w:lang w:val="en-US"/>
        </w:rPr>
        <w:t>)</w:t>
      </w:r>
    </w:p>
  </w:endnote>
  <w:endnote w:id="9">
    <w:p w:rsidR="009D5923" w:rsidRPr="001877B5" w:rsidRDefault="009D5923" w:rsidP="009D5923">
      <w:pPr>
        <w:pStyle w:val="Endnotentext"/>
        <w:rPr>
          <w:lang w:val="en-US"/>
        </w:rPr>
      </w:pPr>
      <w:r w:rsidRPr="001877B5">
        <w:rPr>
          <w:rStyle w:val="Endnotenzeichen"/>
        </w:rPr>
        <w:endnoteRef/>
      </w:r>
      <w:r w:rsidRPr="001877B5">
        <w:rPr>
          <w:lang w:val="en-US"/>
        </w:rPr>
        <w:t xml:space="preserve"> International Standardization Organization (ISO). ISO/TS 14265:2011(</w:t>
      </w:r>
      <w:proofErr w:type="spellStart"/>
      <w:r w:rsidRPr="001877B5">
        <w:rPr>
          <w:lang w:val="en-US"/>
        </w:rPr>
        <w:t>en</w:t>
      </w:r>
      <w:proofErr w:type="spellEnd"/>
      <w:r w:rsidRPr="001877B5">
        <w:rPr>
          <w:lang w:val="en-US"/>
        </w:rPr>
        <w:t>) Health Informatics – Classification for processing personal health information.</w:t>
      </w:r>
    </w:p>
  </w:endnote>
  <w:endnote w:id="10">
    <w:p w:rsidR="009D5923" w:rsidRPr="001877B5" w:rsidRDefault="009D5923" w:rsidP="009D5923">
      <w:pPr>
        <w:pStyle w:val="Endnotentext"/>
        <w:rPr>
          <w:lang w:val="en-US"/>
        </w:rPr>
      </w:pPr>
      <w:r w:rsidRPr="001877B5">
        <w:rPr>
          <w:rStyle w:val="Endnotenzeichen"/>
        </w:rPr>
        <w:endnoteRef/>
      </w:r>
      <w:r w:rsidRPr="001877B5">
        <w:rPr>
          <w:lang w:val="en-US"/>
        </w:rPr>
        <w:t xml:space="preserve"> International Standard Organization (ISO). ISO 25237:2017 Health informatics - </w:t>
      </w:r>
      <w:proofErr w:type="spellStart"/>
      <w:r w:rsidRPr="001877B5">
        <w:rPr>
          <w:lang w:val="en-US"/>
        </w:rPr>
        <w:t>Pseudonymization</w:t>
      </w:r>
      <w:proofErr w:type="spellEnd"/>
    </w:p>
  </w:endnote>
  <w:endnote w:id="11">
    <w:p w:rsidR="009D5923" w:rsidRPr="001877B5" w:rsidRDefault="009D5923" w:rsidP="009D5923">
      <w:pPr>
        <w:pStyle w:val="Endnotentext"/>
        <w:rPr>
          <w:lang w:val="en-US"/>
        </w:rPr>
      </w:pPr>
      <w:r w:rsidRPr="001877B5">
        <w:rPr>
          <w:rStyle w:val="Endnotenzeichen"/>
        </w:rPr>
        <w:endnoteRef/>
      </w:r>
      <w:r w:rsidRPr="001877B5">
        <w:rPr>
          <w:lang w:val="en-US"/>
        </w:rPr>
        <w:t xml:space="preserve"> International Standard Organization (ISO). ISO/TS 22220:2011 Health informatics – Identification of subjects of healthcare.</w:t>
      </w:r>
    </w:p>
  </w:endnote>
  <w:endnote w:id="12">
    <w:p w:rsidR="009D5923" w:rsidRPr="001877B5" w:rsidRDefault="009D5923" w:rsidP="009D5923">
      <w:pPr>
        <w:pStyle w:val="Endnotentext"/>
        <w:rPr>
          <w:lang w:val="en-US"/>
        </w:rPr>
      </w:pPr>
      <w:r w:rsidRPr="001877B5">
        <w:rPr>
          <w:rStyle w:val="Endnotenzeichen"/>
        </w:rPr>
        <w:endnoteRef/>
      </w:r>
      <w:r w:rsidRPr="001877B5">
        <w:rPr>
          <w:lang w:val="en-US"/>
        </w:rPr>
        <w:t xml:space="preserve"> W3C Working Group Note. PROV-Overview. [Internet]. 2013. [Cited 2021 Nov 08]. Available from: https://www.w3.org/TR/prov-overview/</w:t>
      </w:r>
    </w:p>
  </w:endnote>
  <w:endnote w:id="13">
    <w:p w:rsidR="009D5923" w:rsidRPr="001877B5" w:rsidRDefault="009D5923" w:rsidP="009D5923">
      <w:pPr>
        <w:pStyle w:val="Endnotentext"/>
        <w:rPr>
          <w:lang w:val="en-US"/>
        </w:rPr>
      </w:pPr>
      <w:r w:rsidRPr="001877B5">
        <w:rPr>
          <w:rStyle w:val="Endnotenzeichen"/>
        </w:rPr>
        <w:endnoteRef/>
      </w:r>
      <w:r w:rsidRPr="001877B5">
        <w:rPr>
          <w:lang w:val="en-US"/>
        </w:rPr>
        <w:t xml:space="preserve"> W3C Working Group Note. Dublin Core to PROV Mapping. [Internet]. 2013. [Cited 2021 Nov 08]. Available from: https://www.w3.org/TR/prov-dc/</w:t>
      </w:r>
    </w:p>
  </w:endnote>
  <w:endnote w:id="14">
    <w:p w:rsidR="009D5923" w:rsidRPr="001877B5" w:rsidRDefault="009D5923" w:rsidP="009D5923">
      <w:pPr>
        <w:pStyle w:val="Endnotentext"/>
        <w:rPr>
          <w:lang w:val="en-US"/>
        </w:rPr>
      </w:pPr>
      <w:r w:rsidRPr="001877B5">
        <w:rPr>
          <w:rStyle w:val="Endnotenzeichen"/>
        </w:rPr>
        <w:endnoteRef/>
      </w:r>
      <w:r w:rsidRPr="001877B5">
        <w:rPr>
          <w:lang w:val="en-US"/>
        </w:rPr>
        <w:t xml:space="preserve"> Dublin </w:t>
      </w:r>
      <w:proofErr w:type="spellStart"/>
      <w:r w:rsidRPr="001877B5">
        <w:rPr>
          <w:lang w:val="en-US"/>
        </w:rPr>
        <w:t>Core</w:t>
      </w:r>
      <w:r w:rsidRPr="001877B5">
        <w:rPr>
          <w:vertAlign w:val="superscript"/>
          <w:lang w:val="en-US"/>
        </w:rPr>
        <w:t>TM</w:t>
      </w:r>
      <w:proofErr w:type="spellEnd"/>
      <w:r w:rsidRPr="001877B5">
        <w:rPr>
          <w:lang w:val="en-US"/>
        </w:rPr>
        <w:t xml:space="preserve"> Metadata Initiative. Home. [Internet]. 2021. [Cited 2021 Nov 08]. Available from: http://dublincore.org/</w:t>
      </w:r>
    </w:p>
  </w:endnote>
  <w:endnote w:id="15">
    <w:p w:rsidR="009D5923" w:rsidRPr="001877B5" w:rsidRDefault="009D5923" w:rsidP="009D5923">
      <w:pPr>
        <w:pStyle w:val="Endnotentext"/>
        <w:rPr>
          <w:lang w:val="en-US"/>
        </w:rPr>
      </w:pPr>
      <w:r w:rsidRPr="001877B5">
        <w:rPr>
          <w:rStyle w:val="Endnotenzeichen"/>
        </w:rPr>
        <w:endnoteRef/>
      </w:r>
      <w:r w:rsidRPr="001877B5">
        <w:rPr>
          <w:lang w:val="en-US"/>
        </w:rPr>
        <w:t xml:space="preserve"> Data Documentation Initiative (DDI). Document, Discover and Interoperate. [Internet]. 2021. [Cited 2021 Nov 08]. Available from: </w:t>
      </w:r>
      <w:hyperlink r:id="rId7" w:history="1">
        <w:r w:rsidRPr="001877B5">
          <w:rPr>
            <w:rStyle w:val="Hyperlink"/>
            <w:lang w:val="en-US"/>
          </w:rPr>
          <w:t>https://ddialliance.org/</w:t>
        </w:r>
      </w:hyperlink>
      <w:r w:rsidRPr="001877B5">
        <w:rPr>
          <w:lang w:val="en-US"/>
        </w:rPr>
        <w:t xml:space="preserve"> </w:t>
      </w:r>
    </w:p>
  </w:endnote>
  <w:endnote w:id="16">
    <w:p w:rsidR="009D5923" w:rsidRPr="001877B5" w:rsidRDefault="009D5923" w:rsidP="009D5923">
      <w:pPr>
        <w:pStyle w:val="Endnotentext"/>
        <w:rPr>
          <w:lang w:val="en-US"/>
        </w:rPr>
      </w:pPr>
      <w:r w:rsidRPr="001877B5">
        <w:rPr>
          <w:rStyle w:val="Endnotenzeichen"/>
        </w:rPr>
        <w:endnoteRef/>
      </w:r>
      <w:r w:rsidRPr="001877B5">
        <w:rPr>
          <w:lang w:val="en-US"/>
        </w:rPr>
        <w:t xml:space="preserve"> Chari S, Qi M, </w:t>
      </w:r>
      <w:proofErr w:type="spellStart"/>
      <w:r w:rsidRPr="001877B5">
        <w:rPr>
          <w:lang w:val="en-US"/>
        </w:rPr>
        <w:t>Agu</w:t>
      </w:r>
      <w:proofErr w:type="spellEnd"/>
      <w:r w:rsidRPr="001877B5">
        <w:rPr>
          <w:lang w:val="en-US"/>
        </w:rPr>
        <w:t xml:space="preserve"> N, </w:t>
      </w:r>
      <w:proofErr w:type="spellStart"/>
      <w:r w:rsidRPr="001877B5">
        <w:rPr>
          <w:lang w:val="en-US"/>
        </w:rPr>
        <w:t>Seneviratne</w:t>
      </w:r>
      <w:proofErr w:type="spellEnd"/>
      <w:r w:rsidRPr="001877B5">
        <w:rPr>
          <w:lang w:val="en-US"/>
        </w:rPr>
        <w:t xml:space="preserve"> O, </w:t>
      </w:r>
      <w:proofErr w:type="spellStart"/>
      <w:r w:rsidRPr="001877B5">
        <w:rPr>
          <w:lang w:val="en-US"/>
        </w:rPr>
        <w:t>McCusker</w:t>
      </w:r>
      <w:proofErr w:type="spellEnd"/>
      <w:r w:rsidRPr="001877B5">
        <w:rPr>
          <w:lang w:val="en-US"/>
        </w:rPr>
        <w:t xml:space="preserve"> J, Bennett K, Das A, </w:t>
      </w:r>
      <w:proofErr w:type="spellStart"/>
      <w:r w:rsidRPr="001877B5">
        <w:rPr>
          <w:lang w:val="en-US"/>
        </w:rPr>
        <w:t>Mcguinness</w:t>
      </w:r>
      <w:proofErr w:type="spellEnd"/>
      <w:r w:rsidRPr="001877B5">
        <w:rPr>
          <w:lang w:val="en-US"/>
        </w:rPr>
        <w:t xml:space="preserve"> D. Making Study Populations Visible Through Knowledge Graphs. The Semantic Web - ISWC 2019. 2019 Oct</w:t>
      </w:r>
      <w:proofErr w:type="gramStart"/>
      <w:r w:rsidRPr="001877B5">
        <w:rPr>
          <w:lang w:val="en-US"/>
        </w:rPr>
        <w:t>;53</w:t>
      </w:r>
      <w:proofErr w:type="gramEnd"/>
      <w:r w:rsidRPr="001877B5">
        <w:rPr>
          <w:lang w:val="en-US"/>
        </w:rPr>
        <w:t xml:space="preserve">-68. </w:t>
      </w:r>
      <w:proofErr w:type="spellStart"/>
      <w:proofErr w:type="gramStart"/>
      <w:r w:rsidRPr="001877B5">
        <w:rPr>
          <w:lang w:val="en-US"/>
        </w:rPr>
        <w:t>doi</w:t>
      </w:r>
      <w:proofErr w:type="spellEnd"/>
      <w:proofErr w:type="gramEnd"/>
      <w:r w:rsidRPr="001877B5">
        <w:rPr>
          <w:lang w:val="en-US"/>
        </w:rPr>
        <w:t>: 10.1007/978-3-030-30796-7_4.</w:t>
      </w:r>
    </w:p>
  </w:endnote>
  <w:endnote w:id="17">
    <w:p w:rsidR="009D5923" w:rsidRPr="001877B5" w:rsidRDefault="009D5923" w:rsidP="009D5923">
      <w:pPr>
        <w:pStyle w:val="Endnotentext"/>
        <w:rPr>
          <w:color w:val="000000" w:themeColor="text1"/>
          <w:lang w:val="en-US"/>
        </w:rPr>
      </w:pPr>
      <w:r w:rsidRPr="001877B5">
        <w:rPr>
          <w:rStyle w:val="Endnotenzeichen"/>
        </w:rPr>
        <w:endnoteRef/>
      </w:r>
      <w:r w:rsidRPr="001877B5">
        <w:rPr>
          <w:lang w:val="en-US"/>
        </w:rPr>
        <w:t xml:space="preserve"> </w:t>
      </w:r>
      <w:r w:rsidRPr="001877B5">
        <w:rPr>
          <w:color w:val="000000" w:themeColor="text1"/>
          <w:lang w:val="en-US"/>
        </w:rPr>
        <w:t>Lin AY, Gebel S, Li Q, Madan S, Darms J, Bolton EE, Smith B, Hofmann-</w:t>
      </w:r>
      <w:proofErr w:type="spellStart"/>
      <w:r w:rsidRPr="001877B5">
        <w:rPr>
          <w:color w:val="000000" w:themeColor="text1"/>
          <w:lang w:val="en-US"/>
        </w:rPr>
        <w:t>Apitius</w:t>
      </w:r>
      <w:proofErr w:type="spellEnd"/>
      <w:r w:rsidRPr="001877B5">
        <w:rPr>
          <w:color w:val="000000" w:themeColor="text1"/>
          <w:lang w:val="en-US"/>
        </w:rPr>
        <w:t xml:space="preserve"> M, He YO, </w:t>
      </w:r>
      <w:proofErr w:type="spellStart"/>
      <w:r w:rsidRPr="001877B5">
        <w:rPr>
          <w:color w:val="000000" w:themeColor="text1"/>
          <w:lang w:val="en-US"/>
        </w:rPr>
        <w:t>Kodamullil</w:t>
      </w:r>
      <w:proofErr w:type="spellEnd"/>
      <w:r w:rsidRPr="001877B5">
        <w:rPr>
          <w:color w:val="000000" w:themeColor="text1"/>
          <w:lang w:val="en-US"/>
        </w:rPr>
        <w:t xml:space="preserve"> AT. CTO: A Community-Based Clinical Trial Ontology and Its Applications in </w:t>
      </w:r>
      <w:proofErr w:type="spellStart"/>
      <w:r w:rsidRPr="001877B5">
        <w:rPr>
          <w:color w:val="000000" w:themeColor="text1"/>
          <w:lang w:val="en-US"/>
        </w:rPr>
        <w:t>PubChemRDF</w:t>
      </w:r>
      <w:proofErr w:type="spellEnd"/>
      <w:r w:rsidRPr="001877B5">
        <w:rPr>
          <w:color w:val="000000" w:themeColor="text1"/>
          <w:lang w:val="en-US"/>
        </w:rPr>
        <w:t xml:space="preserve"> and </w:t>
      </w:r>
      <w:proofErr w:type="spellStart"/>
      <w:r w:rsidRPr="001877B5">
        <w:rPr>
          <w:color w:val="000000" w:themeColor="text1"/>
          <w:lang w:val="en-US"/>
        </w:rPr>
        <w:t>SCAIView</w:t>
      </w:r>
      <w:proofErr w:type="spellEnd"/>
      <w:r w:rsidRPr="001877B5">
        <w:rPr>
          <w:color w:val="000000" w:themeColor="text1"/>
          <w:lang w:val="en-US"/>
        </w:rPr>
        <w:t>. ICBO/ODLS. 2020.</w:t>
      </w:r>
    </w:p>
  </w:endnote>
  <w:endnote w:id="18">
    <w:p w:rsidR="009D5923" w:rsidRPr="001877B5" w:rsidRDefault="009D5923" w:rsidP="009D5923">
      <w:pPr>
        <w:pStyle w:val="Endnotentext"/>
        <w:rPr>
          <w:lang w:val="en-US"/>
        </w:rPr>
      </w:pPr>
      <w:r w:rsidRPr="001877B5">
        <w:rPr>
          <w:rStyle w:val="Endnotenzeichen"/>
        </w:rPr>
        <w:endnoteRef/>
      </w:r>
      <w:r w:rsidRPr="001877B5">
        <w:rPr>
          <w:lang w:val="en-US"/>
        </w:rPr>
        <w:t xml:space="preserve"> GitHub. </w:t>
      </w:r>
      <w:proofErr w:type="spellStart"/>
      <w:r w:rsidRPr="001877B5">
        <w:rPr>
          <w:lang w:val="en-US"/>
        </w:rPr>
        <w:t>ClinicalTrialOntology</w:t>
      </w:r>
      <w:proofErr w:type="spellEnd"/>
      <w:r w:rsidRPr="001877B5">
        <w:rPr>
          <w:lang w:val="en-US"/>
        </w:rPr>
        <w:t xml:space="preserve">/CTO. [Internet]. 2021. [Cited 2021 Nov 08]. Available from: </w:t>
      </w:r>
      <w:hyperlink r:id="rId8">
        <w:r w:rsidRPr="001877B5">
          <w:rPr>
            <w:rStyle w:val="Hyperlink"/>
            <w:lang w:val="en-US"/>
          </w:rPr>
          <w:t xml:space="preserve">GitHub - </w:t>
        </w:r>
        <w:proofErr w:type="spellStart"/>
        <w:r w:rsidRPr="001877B5">
          <w:rPr>
            <w:rStyle w:val="Hyperlink"/>
            <w:lang w:val="en-US"/>
          </w:rPr>
          <w:t>ClinicalTrialOntology</w:t>
        </w:r>
        <w:proofErr w:type="spellEnd"/>
        <w:r w:rsidRPr="001877B5">
          <w:rPr>
            <w:rStyle w:val="Hyperlink"/>
            <w:lang w:val="en-US"/>
          </w:rPr>
          <w:t>/CTO: CTO: Core Ontology of Clinical Trials</w:t>
        </w:r>
      </w:hyperlink>
    </w:p>
  </w:endnote>
  <w:endnote w:id="19">
    <w:p w:rsidR="009D5923" w:rsidRPr="001877B5" w:rsidRDefault="009D5923" w:rsidP="009D5923">
      <w:pPr>
        <w:pStyle w:val="Endnotentext"/>
        <w:rPr>
          <w:rFonts w:ascii="Calibri" w:eastAsia="Calibri" w:hAnsi="Calibri" w:cs="Calibri"/>
          <w:color w:val="303030"/>
          <w:lang w:val="en-US"/>
        </w:rPr>
      </w:pPr>
      <w:r w:rsidRPr="001877B5">
        <w:rPr>
          <w:rStyle w:val="Endnotenzeichen"/>
          <w:rFonts w:ascii="Calibri" w:eastAsia="Calibri" w:hAnsi="Calibri" w:cs="Calibri"/>
        </w:rPr>
        <w:endnoteRef/>
      </w:r>
      <w:r w:rsidRPr="001877B5">
        <w:rPr>
          <w:rFonts w:ascii="Calibri" w:eastAsia="Calibri" w:hAnsi="Calibri" w:cs="Calibri"/>
          <w:lang w:val="en-US"/>
        </w:rPr>
        <w:t xml:space="preserve"> </w:t>
      </w:r>
      <w:r w:rsidRPr="001877B5">
        <w:rPr>
          <w:rFonts w:ascii="Calibri" w:eastAsia="Calibri" w:hAnsi="Calibri" w:cs="Calibri"/>
          <w:color w:val="303030"/>
          <w:lang w:val="en-US"/>
        </w:rPr>
        <w:t xml:space="preserve">Sim I, </w:t>
      </w:r>
      <w:proofErr w:type="spellStart"/>
      <w:r w:rsidRPr="001877B5">
        <w:rPr>
          <w:rFonts w:ascii="Calibri" w:eastAsia="Calibri" w:hAnsi="Calibri" w:cs="Calibri"/>
          <w:color w:val="303030"/>
          <w:lang w:val="en-US"/>
        </w:rPr>
        <w:t>Tu</w:t>
      </w:r>
      <w:proofErr w:type="spellEnd"/>
      <w:r w:rsidRPr="001877B5">
        <w:rPr>
          <w:rFonts w:ascii="Calibri" w:eastAsia="Calibri" w:hAnsi="Calibri" w:cs="Calibri"/>
          <w:color w:val="303030"/>
          <w:lang w:val="en-US"/>
        </w:rPr>
        <w:t xml:space="preserve"> SW, </w:t>
      </w:r>
      <w:proofErr w:type="spellStart"/>
      <w:r w:rsidRPr="001877B5">
        <w:rPr>
          <w:rFonts w:ascii="Calibri" w:eastAsia="Calibri" w:hAnsi="Calibri" w:cs="Calibri"/>
          <w:color w:val="303030"/>
          <w:lang w:val="en-US"/>
        </w:rPr>
        <w:t>Carini</w:t>
      </w:r>
      <w:proofErr w:type="spellEnd"/>
      <w:r w:rsidRPr="001877B5">
        <w:rPr>
          <w:rFonts w:ascii="Calibri" w:eastAsia="Calibri" w:hAnsi="Calibri" w:cs="Calibri"/>
          <w:color w:val="303030"/>
          <w:lang w:val="en-US"/>
        </w:rPr>
        <w:t xml:space="preserve"> S, Lehmann HP, Pollock BH, Peleg M, </w:t>
      </w:r>
      <w:proofErr w:type="spellStart"/>
      <w:r w:rsidRPr="001877B5">
        <w:rPr>
          <w:rFonts w:ascii="Calibri" w:eastAsia="Calibri" w:hAnsi="Calibri" w:cs="Calibri"/>
          <w:color w:val="303030"/>
          <w:lang w:val="en-US"/>
        </w:rPr>
        <w:t>Wittkowski</w:t>
      </w:r>
      <w:proofErr w:type="spellEnd"/>
      <w:r w:rsidRPr="001877B5">
        <w:rPr>
          <w:rFonts w:ascii="Calibri" w:eastAsia="Calibri" w:hAnsi="Calibri" w:cs="Calibri"/>
          <w:color w:val="303030"/>
          <w:lang w:val="en-US"/>
        </w:rPr>
        <w:t xml:space="preserve"> KM. The Ontology of Clinical Research (</w:t>
      </w:r>
      <w:proofErr w:type="spellStart"/>
      <w:r w:rsidRPr="001877B5">
        <w:rPr>
          <w:rFonts w:ascii="Calibri" w:eastAsia="Calibri" w:hAnsi="Calibri" w:cs="Calibri"/>
          <w:color w:val="303030"/>
          <w:lang w:val="en-US"/>
        </w:rPr>
        <w:t>OCRe</w:t>
      </w:r>
      <w:proofErr w:type="spellEnd"/>
      <w:r w:rsidRPr="001877B5">
        <w:rPr>
          <w:rFonts w:ascii="Calibri" w:eastAsia="Calibri" w:hAnsi="Calibri" w:cs="Calibri"/>
          <w:color w:val="303030"/>
          <w:lang w:val="en-US"/>
        </w:rPr>
        <w:t>): an informatics foundation for the science of clinical research. J Biomed Inform. 2014 Dec</w:t>
      </w:r>
      <w:proofErr w:type="gramStart"/>
      <w:r w:rsidRPr="001877B5">
        <w:rPr>
          <w:rFonts w:ascii="Calibri" w:eastAsia="Calibri" w:hAnsi="Calibri" w:cs="Calibri"/>
          <w:color w:val="303030"/>
          <w:lang w:val="en-US"/>
        </w:rPr>
        <w:t>;52:78</w:t>
      </w:r>
      <w:proofErr w:type="gramEnd"/>
      <w:r w:rsidRPr="001877B5">
        <w:rPr>
          <w:rFonts w:ascii="Calibri" w:eastAsia="Calibri" w:hAnsi="Calibri" w:cs="Calibri"/>
          <w:color w:val="303030"/>
          <w:lang w:val="en-US"/>
        </w:rPr>
        <w:t xml:space="preserve">-91. </w:t>
      </w:r>
      <w:proofErr w:type="spellStart"/>
      <w:proofErr w:type="gramStart"/>
      <w:r w:rsidRPr="001877B5">
        <w:rPr>
          <w:rFonts w:ascii="Calibri" w:eastAsia="Calibri" w:hAnsi="Calibri" w:cs="Calibri"/>
          <w:color w:val="303030"/>
          <w:lang w:val="en-US"/>
        </w:rPr>
        <w:t>doi</w:t>
      </w:r>
      <w:proofErr w:type="spellEnd"/>
      <w:proofErr w:type="gramEnd"/>
      <w:r w:rsidRPr="001877B5">
        <w:rPr>
          <w:rFonts w:ascii="Calibri" w:eastAsia="Calibri" w:hAnsi="Calibri" w:cs="Calibri"/>
          <w:color w:val="303030"/>
          <w:lang w:val="en-US"/>
        </w:rPr>
        <w:t xml:space="preserve">: 10.1016/j.jbi.2013.11.002. </w:t>
      </w:r>
      <w:proofErr w:type="spellStart"/>
      <w:r w:rsidRPr="001877B5">
        <w:rPr>
          <w:rFonts w:ascii="Calibri" w:eastAsia="Calibri" w:hAnsi="Calibri" w:cs="Calibri"/>
          <w:color w:val="303030"/>
          <w:lang w:val="en-US"/>
        </w:rPr>
        <w:t>Epub</w:t>
      </w:r>
      <w:proofErr w:type="spellEnd"/>
      <w:r w:rsidRPr="001877B5">
        <w:rPr>
          <w:rFonts w:ascii="Calibri" w:eastAsia="Calibri" w:hAnsi="Calibri" w:cs="Calibri"/>
          <w:color w:val="303030"/>
          <w:lang w:val="en-US"/>
        </w:rPr>
        <w:t xml:space="preserve"> 2013 Nov 13. PMID: 24239612; PMCID: PMC4019723.</w:t>
      </w:r>
    </w:p>
  </w:endnote>
  <w:endnote w:id="20">
    <w:p w:rsidR="009D5923" w:rsidRPr="001877B5" w:rsidRDefault="009D5923" w:rsidP="009D5923">
      <w:pPr>
        <w:pStyle w:val="Endnotentext"/>
        <w:rPr>
          <w:color w:val="212121"/>
          <w:lang w:val="en-US"/>
        </w:rPr>
      </w:pPr>
      <w:r w:rsidRPr="001877B5">
        <w:rPr>
          <w:rStyle w:val="Endnotenzeichen"/>
        </w:rPr>
        <w:endnoteRef/>
      </w:r>
      <w:r w:rsidRPr="001877B5">
        <w:rPr>
          <w:lang w:val="en-US"/>
        </w:rPr>
        <w:t xml:space="preserve"> </w:t>
      </w:r>
      <w:proofErr w:type="spellStart"/>
      <w:proofErr w:type="gramStart"/>
      <w:r w:rsidRPr="001877B5">
        <w:rPr>
          <w:color w:val="212121"/>
          <w:lang w:val="en-US"/>
        </w:rPr>
        <w:t>Bandrowski</w:t>
      </w:r>
      <w:proofErr w:type="spellEnd"/>
      <w:r w:rsidRPr="001877B5">
        <w:rPr>
          <w:color w:val="212121"/>
          <w:lang w:val="en-US"/>
        </w:rPr>
        <w:t xml:space="preserve"> A, Brinkman R, </w:t>
      </w:r>
      <w:proofErr w:type="spellStart"/>
      <w:r w:rsidRPr="001877B5">
        <w:rPr>
          <w:color w:val="212121"/>
          <w:lang w:val="en-US"/>
        </w:rPr>
        <w:t>Brochhausen</w:t>
      </w:r>
      <w:proofErr w:type="spellEnd"/>
      <w:r w:rsidRPr="001877B5">
        <w:rPr>
          <w:color w:val="212121"/>
          <w:lang w:val="en-US"/>
        </w:rPr>
        <w:t xml:space="preserve"> M, Brush MH, Bug B, </w:t>
      </w:r>
      <w:proofErr w:type="spellStart"/>
      <w:r w:rsidRPr="001877B5">
        <w:rPr>
          <w:color w:val="212121"/>
          <w:lang w:val="en-US"/>
        </w:rPr>
        <w:t>Chibucos</w:t>
      </w:r>
      <w:proofErr w:type="spellEnd"/>
      <w:r w:rsidRPr="001877B5">
        <w:rPr>
          <w:color w:val="212121"/>
          <w:lang w:val="en-US"/>
        </w:rPr>
        <w:t xml:space="preserve"> MC, Clancy K, </w:t>
      </w:r>
      <w:proofErr w:type="spellStart"/>
      <w:r w:rsidRPr="001877B5">
        <w:rPr>
          <w:color w:val="212121"/>
          <w:lang w:val="en-US"/>
        </w:rPr>
        <w:t>Courtot</w:t>
      </w:r>
      <w:proofErr w:type="spellEnd"/>
      <w:r w:rsidRPr="001877B5">
        <w:rPr>
          <w:color w:val="212121"/>
          <w:lang w:val="en-US"/>
        </w:rPr>
        <w:t xml:space="preserve"> M, </w:t>
      </w:r>
      <w:proofErr w:type="spellStart"/>
      <w:r w:rsidRPr="001877B5">
        <w:rPr>
          <w:color w:val="212121"/>
          <w:lang w:val="en-US"/>
        </w:rPr>
        <w:t>Derom</w:t>
      </w:r>
      <w:proofErr w:type="spellEnd"/>
      <w:r w:rsidRPr="001877B5">
        <w:rPr>
          <w:color w:val="212121"/>
          <w:lang w:val="en-US"/>
        </w:rPr>
        <w:t xml:space="preserve"> D, </w:t>
      </w:r>
      <w:proofErr w:type="spellStart"/>
      <w:r w:rsidRPr="001877B5">
        <w:rPr>
          <w:color w:val="212121"/>
          <w:lang w:val="en-US"/>
        </w:rPr>
        <w:t>Dumontier</w:t>
      </w:r>
      <w:proofErr w:type="spellEnd"/>
      <w:r w:rsidRPr="001877B5">
        <w:rPr>
          <w:color w:val="212121"/>
          <w:lang w:val="en-US"/>
        </w:rPr>
        <w:t xml:space="preserve"> M, Fan L, </w:t>
      </w:r>
      <w:proofErr w:type="spellStart"/>
      <w:r w:rsidRPr="001877B5">
        <w:rPr>
          <w:color w:val="212121"/>
          <w:lang w:val="en-US"/>
        </w:rPr>
        <w:t>Fostel</w:t>
      </w:r>
      <w:proofErr w:type="spellEnd"/>
      <w:r w:rsidRPr="001877B5">
        <w:rPr>
          <w:color w:val="212121"/>
          <w:lang w:val="en-US"/>
        </w:rPr>
        <w:t xml:space="preserve"> J, </w:t>
      </w:r>
      <w:proofErr w:type="spellStart"/>
      <w:r w:rsidRPr="001877B5">
        <w:rPr>
          <w:color w:val="212121"/>
          <w:lang w:val="en-US"/>
        </w:rPr>
        <w:t>Fragoso</w:t>
      </w:r>
      <w:proofErr w:type="spellEnd"/>
      <w:r w:rsidRPr="001877B5">
        <w:rPr>
          <w:color w:val="212121"/>
          <w:lang w:val="en-US"/>
        </w:rPr>
        <w:t xml:space="preserve"> G, Gibson F, Gonzalez-Beltran A, </w:t>
      </w:r>
      <w:proofErr w:type="spellStart"/>
      <w:r w:rsidRPr="001877B5">
        <w:rPr>
          <w:color w:val="212121"/>
          <w:lang w:val="en-US"/>
        </w:rPr>
        <w:t>Haendel</w:t>
      </w:r>
      <w:proofErr w:type="spellEnd"/>
      <w:r w:rsidRPr="001877B5">
        <w:rPr>
          <w:color w:val="212121"/>
          <w:lang w:val="en-US"/>
        </w:rPr>
        <w:t xml:space="preserve"> MA, He Y, </w:t>
      </w:r>
      <w:proofErr w:type="spellStart"/>
      <w:r w:rsidRPr="001877B5">
        <w:rPr>
          <w:color w:val="212121"/>
          <w:lang w:val="en-US"/>
        </w:rPr>
        <w:t>Heiskanen</w:t>
      </w:r>
      <w:proofErr w:type="spellEnd"/>
      <w:r w:rsidRPr="001877B5">
        <w:rPr>
          <w:color w:val="212121"/>
          <w:lang w:val="en-US"/>
        </w:rPr>
        <w:t xml:space="preserve"> M, Hernandez-</w:t>
      </w:r>
      <w:proofErr w:type="spellStart"/>
      <w:r w:rsidRPr="001877B5">
        <w:rPr>
          <w:color w:val="212121"/>
          <w:lang w:val="en-US"/>
        </w:rPr>
        <w:t>Boussard</w:t>
      </w:r>
      <w:proofErr w:type="spellEnd"/>
      <w:r w:rsidRPr="001877B5">
        <w:rPr>
          <w:color w:val="212121"/>
          <w:lang w:val="en-US"/>
        </w:rPr>
        <w:t xml:space="preserve"> T, Jensen M, Lin Y, Lister AL, Lord P, Malone J, </w:t>
      </w:r>
      <w:proofErr w:type="spellStart"/>
      <w:r w:rsidRPr="001877B5">
        <w:rPr>
          <w:color w:val="212121"/>
          <w:lang w:val="en-US"/>
        </w:rPr>
        <w:t>Manduchi</w:t>
      </w:r>
      <w:proofErr w:type="spellEnd"/>
      <w:r w:rsidRPr="001877B5">
        <w:rPr>
          <w:color w:val="212121"/>
          <w:lang w:val="en-US"/>
        </w:rPr>
        <w:t xml:space="preserve"> E, McGee M, Morrison N, Overton JA, Parkinson H, Peters B, Rocca-Serra P, </w:t>
      </w:r>
      <w:proofErr w:type="spellStart"/>
      <w:r w:rsidRPr="001877B5">
        <w:rPr>
          <w:color w:val="212121"/>
          <w:lang w:val="en-US"/>
        </w:rPr>
        <w:t>Ruttenberg</w:t>
      </w:r>
      <w:proofErr w:type="spellEnd"/>
      <w:r w:rsidRPr="001877B5">
        <w:rPr>
          <w:color w:val="212121"/>
          <w:lang w:val="en-US"/>
        </w:rPr>
        <w:t xml:space="preserve"> A, </w:t>
      </w:r>
      <w:proofErr w:type="spellStart"/>
      <w:r w:rsidRPr="001877B5">
        <w:rPr>
          <w:color w:val="212121"/>
          <w:lang w:val="en-US"/>
        </w:rPr>
        <w:t>Sansone</w:t>
      </w:r>
      <w:proofErr w:type="spellEnd"/>
      <w:r w:rsidRPr="001877B5">
        <w:rPr>
          <w:color w:val="212121"/>
          <w:lang w:val="en-US"/>
        </w:rPr>
        <w:t xml:space="preserve"> SA, </w:t>
      </w:r>
      <w:proofErr w:type="spellStart"/>
      <w:r w:rsidRPr="001877B5">
        <w:rPr>
          <w:color w:val="212121"/>
          <w:lang w:val="en-US"/>
        </w:rPr>
        <w:t>Scheuermann</w:t>
      </w:r>
      <w:proofErr w:type="spellEnd"/>
      <w:r w:rsidRPr="001877B5">
        <w:rPr>
          <w:color w:val="212121"/>
          <w:lang w:val="en-US"/>
        </w:rPr>
        <w:t xml:space="preserve"> RH, </w:t>
      </w:r>
      <w:proofErr w:type="spellStart"/>
      <w:r w:rsidRPr="001877B5">
        <w:rPr>
          <w:color w:val="212121"/>
          <w:lang w:val="en-US"/>
        </w:rPr>
        <w:t>Schober</w:t>
      </w:r>
      <w:proofErr w:type="spellEnd"/>
      <w:r w:rsidRPr="001877B5">
        <w:rPr>
          <w:color w:val="212121"/>
          <w:lang w:val="en-US"/>
        </w:rPr>
        <w:t xml:space="preserve"> D, Smith B, </w:t>
      </w:r>
      <w:proofErr w:type="spellStart"/>
      <w:r w:rsidRPr="001877B5">
        <w:rPr>
          <w:color w:val="212121"/>
          <w:lang w:val="en-US"/>
        </w:rPr>
        <w:t>Soldatova</w:t>
      </w:r>
      <w:proofErr w:type="spellEnd"/>
      <w:r w:rsidRPr="001877B5">
        <w:rPr>
          <w:color w:val="212121"/>
          <w:lang w:val="en-US"/>
        </w:rPr>
        <w:t xml:space="preserve"> LN, </w:t>
      </w:r>
      <w:proofErr w:type="spellStart"/>
      <w:r w:rsidRPr="001877B5">
        <w:rPr>
          <w:color w:val="212121"/>
          <w:lang w:val="en-US"/>
        </w:rPr>
        <w:t>Stoeckert</w:t>
      </w:r>
      <w:proofErr w:type="spellEnd"/>
      <w:r w:rsidRPr="001877B5">
        <w:rPr>
          <w:color w:val="212121"/>
          <w:lang w:val="en-US"/>
        </w:rPr>
        <w:t xml:space="preserve"> CJ Jr, Taylor CF, </w:t>
      </w:r>
      <w:proofErr w:type="spellStart"/>
      <w:r w:rsidRPr="001877B5">
        <w:rPr>
          <w:color w:val="212121"/>
          <w:lang w:val="en-US"/>
        </w:rPr>
        <w:t>Torniai</w:t>
      </w:r>
      <w:proofErr w:type="spellEnd"/>
      <w:r w:rsidRPr="001877B5">
        <w:rPr>
          <w:color w:val="212121"/>
          <w:lang w:val="en-US"/>
        </w:rPr>
        <w:t xml:space="preserve"> C, Turner JA, Vita R, </w:t>
      </w:r>
      <w:proofErr w:type="spellStart"/>
      <w:r w:rsidRPr="001877B5">
        <w:rPr>
          <w:color w:val="212121"/>
          <w:lang w:val="en-US"/>
        </w:rPr>
        <w:t>Whetzel</w:t>
      </w:r>
      <w:proofErr w:type="spellEnd"/>
      <w:r w:rsidRPr="001877B5">
        <w:rPr>
          <w:color w:val="212121"/>
          <w:lang w:val="en-US"/>
        </w:rPr>
        <w:t xml:space="preserve"> PL, Zheng J.</w:t>
      </w:r>
      <w:proofErr w:type="gramEnd"/>
      <w:r w:rsidRPr="001877B5">
        <w:rPr>
          <w:color w:val="212121"/>
          <w:lang w:val="en-US"/>
        </w:rPr>
        <w:t xml:space="preserve"> The Ontology for Biomedical Investigations. </w:t>
      </w:r>
      <w:proofErr w:type="spellStart"/>
      <w:r w:rsidRPr="001877B5">
        <w:rPr>
          <w:color w:val="212121"/>
          <w:lang w:val="en-US"/>
        </w:rPr>
        <w:t>PLoS</w:t>
      </w:r>
      <w:proofErr w:type="spellEnd"/>
      <w:r w:rsidRPr="001877B5">
        <w:rPr>
          <w:color w:val="212121"/>
          <w:lang w:val="en-US"/>
        </w:rPr>
        <w:t xml:space="preserve"> One. 2016 Apr 29</w:t>
      </w:r>
      <w:proofErr w:type="gramStart"/>
      <w:r w:rsidRPr="001877B5">
        <w:rPr>
          <w:color w:val="212121"/>
          <w:lang w:val="en-US"/>
        </w:rPr>
        <w:t>;11</w:t>
      </w:r>
      <w:proofErr w:type="gramEnd"/>
      <w:r w:rsidRPr="001877B5">
        <w:rPr>
          <w:color w:val="212121"/>
          <w:lang w:val="en-US"/>
        </w:rPr>
        <w:t xml:space="preserve">(4):e0154556. </w:t>
      </w:r>
      <w:proofErr w:type="spellStart"/>
      <w:proofErr w:type="gramStart"/>
      <w:r w:rsidRPr="001877B5">
        <w:rPr>
          <w:color w:val="212121"/>
          <w:lang w:val="en-US"/>
        </w:rPr>
        <w:t>doi</w:t>
      </w:r>
      <w:proofErr w:type="spellEnd"/>
      <w:proofErr w:type="gramEnd"/>
      <w:r w:rsidRPr="001877B5">
        <w:rPr>
          <w:color w:val="212121"/>
          <w:lang w:val="en-US"/>
        </w:rPr>
        <w:t>: 10.1371/journal.pone.0154556. PMID: 27128319; PMCID: PMC4851331.</w:t>
      </w:r>
    </w:p>
  </w:endnote>
  <w:endnote w:id="21">
    <w:p w:rsidR="009D5923" w:rsidRPr="001877B5" w:rsidRDefault="009D5923" w:rsidP="009D5923">
      <w:pPr>
        <w:pStyle w:val="Endnotentext"/>
        <w:rPr>
          <w:lang w:val="en-US"/>
        </w:rPr>
      </w:pPr>
      <w:r w:rsidRPr="001877B5">
        <w:rPr>
          <w:rStyle w:val="Endnotenzeichen"/>
        </w:rPr>
        <w:endnoteRef/>
      </w:r>
      <w:r w:rsidRPr="001877B5">
        <w:rPr>
          <w:lang w:val="en-US"/>
        </w:rPr>
        <w:t xml:space="preserve"> </w:t>
      </w:r>
      <w:proofErr w:type="spellStart"/>
      <w:r w:rsidRPr="001877B5">
        <w:rPr>
          <w:lang w:val="en-US"/>
        </w:rPr>
        <w:t>Carre</w:t>
      </w:r>
      <w:proofErr w:type="spellEnd"/>
      <w:r w:rsidRPr="001877B5">
        <w:rPr>
          <w:lang w:val="en-US"/>
        </w:rPr>
        <w:t xml:space="preserve"> Project. What is </w:t>
      </w:r>
      <w:proofErr w:type="spellStart"/>
      <w:r w:rsidRPr="001877B5">
        <w:rPr>
          <w:lang w:val="en-US"/>
        </w:rPr>
        <w:t>Carre</w:t>
      </w:r>
      <w:proofErr w:type="spellEnd"/>
      <w:r w:rsidRPr="001877B5">
        <w:rPr>
          <w:lang w:val="en-US"/>
        </w:rPr>
        <w:t xml:space="preserve"> Risk Factor Ontology? [Internet]. 2015. [Cited 2021 Nov 08]. Available from: https://www.carre-project.eu/innovation/risk-factor-ontology/</w:t>
      </w:r>
    </w:p>
  </w:endnote>
  <w:endnote w:id="22">
    <w:p w:rsidR="009D5923" w:rsidRPr="001877B5" w:rsidRDefault="009D5923" w:rsidP="009D5923">
      <w:pPr>
        <w:pStyle w:val="Endnotentext"/>
        <w:rPr>
          <w:lang w:val="en-US"/>
        </w:rPr>
      </w:pPr>
      <w:r w:rsidRPr="001877B5">
        <w:rPr>
          <w:rStyle w:val="Endnotenzeichen"/>
        </w:rPr>
        <w:endnoteRef/>
      </w:r>
      <w:r w:rsidRPr="001877B5">
        <w:rPr>
          <w:lang w:val="en-US"/>
        </w:rPr>
        <w:t xml:space="preserve"> International Standardization Organization (ISO). ISO/TC 34 Food products. [Internet]. [Cited 2021 Nov. 08]. Available from: https://www.iso.org/committee/47858.html</w:t>
      </w:r>
    </w:p>
  </w:endnote>
  <w:endnote w:id="23">
    <w:p w:rsidR="009D5923" w:rsidRPr="001877B5" w:rsidRDefault="009D5923" w:rsidP="009D5923">
      <w:pPr>
        <w:pStyle w:val="Endnotentext"/>
        <w:rPr>
          <w:lang w:val="en-US"/>
        </w:rPr>
      </w:pPr>
      <w:r w:rsidRPr="001877B5">
        <w:rPr>
          <w:rStyle w:val="Endnotenzeichen"/>
        </w:rPr>
        <w:endnoteRef/>
      </w:r>
      <w:r w:rsidRPr="001877B5">
        <w:rPr>
          <w:lang w:val="en-US"/>
        </w:rPr>
        <w:t xml:space="preserve"> </w:t>
      </w:r>
      <w:proofErr w:type="spellStart"/>
      <w:r w:rsidRPr="001877B5">
        <w:rPr>
          <w:lang w:val="en-US"/>
        </w:rPr>
        <w:t>Eftimov</w:t>
      </w:r>
      <w:proofErr w:type="spellEnd"/>
      <w:r w:rsidRPr="001877B5">
        <w:rPr>
          <w:lang w:val="en-US"/>
        </w:rPr>
        <w:t xml:space="preserve"> T, </w:t>
      </w:r>
      <w:proofErr w:type="spellStart"/>
      <w:r w:rsidRPr="001877B5">
        <w:rPr>
          <w:lang w:val="en-US"/>
        </w:rPr>
        <w:t>Korošec</w:t>
      </w:r>
      <w:proofErr w:type="spellEnd"/>
      <w:r w:rsidRPr="001877B5">
        <w:rPr>
          <w:lang w:val="en-US"/>
        </w:rPr>
        <w:t xml:space="preserve"> P, </w:t>
      </w:r>
      <w:proofErr w:type="spellStart"/>
      <w:r w:rsidRPr="001877B5">
        <w:rPr>
          <w:lang w:val="en-US"/>
        </w:rPr>
        <w:t>Koroušić</w:t>
      </w:r>
      <w:proofErr w:type="spellEnd"/>
      <w:r w:rsidRPr="001877B5">
        <w:rPr>
          <w:lang w:val="en-US"/>
        </w:rPr>
        <w:t xml:space="preserve"> </w:t>
      </w:r>
      <w:proofErr w:type="spellStart"/>
      <w:r w:rsidRPr="001877B5">
        <w:rPr>
          <w:lang w:val="en-US"/>
        </w:rPr>
        <w:t>Seljak</w:t>
      </w:r>
      <w:proofErr w:type="spellEnd"/>
      <w:r w:rsidRPr="001877B5">
        <w:rPr>
          <w:lang w:val="en-US"/>
        </w:rPr>
        <w:t xml:space="preserve"> B. </w:t>
      </w:r>
      <w:proofErr w:type="spellStart"/>
      <w:r w:rsidRPr="001877B5">
        <w:rPr>
          <w:lang w:val="en-US"/>
        </w:rPr>
        <w:t>StandFood</w:t>
      </w:r>
      <w:proofErr w:type="spellEnd"/>
      <w:r w:rsidRPr="001877B5">
        <w:rPr>
          <w:lang w:val="en-US"/>
        </w:rPr>
        <w:t>: Standardization of Foods Using a Semi-Automatic System for Classifying and Describing Foods According to FoodEx2. Nutrients. 2017 May 26</w:t>
      </w:r>
      <w:proofErr w:type="gramStart"/>
      <w:r w:rsidRPr="001877B5">
        <w:rPr>
          <w:lang w:val="en-US"/>
        </w:rPr>
        <w:t>;9</w:t>
      </w:r>
      <w:proofErr w:type="gramEnd"/>
      <w:r w:rsidRPr="001877B5">
        <w:rPr>
          <w:lang w:val="en-US"/>
        </w:rPr>
        <w:t xml:space="preserve">(6):542. </w:t>
      </w:r>
      <w:proofErr w:type="spellStart"/>
      <w:proofErr w:type="gramStart"/>
      <w:r w:rsidRPr="001877B5">
        <w:rPr>
          <w:lang w:val="en-US"/>
        </w:rPr>
        <w:t>doi</w:t>
      </w:r>
      <w:proofErr w:type="spellEnd"/>
      <w:proofErr w:type="gramEnd"/>
      <w:r w:rsidRPr="001877B5">
        <w:rPr>
          <w:lang w:val="en-US"/>
        </w:rPr>
        <w:t>: 10.3390/nu9060542. PMID: 28587103; PMCID: PMC5490521.</w:t>
      </w:r>
    </w:p>
  </w:endnote>
  <w:endnote w:id="24">
    <w:p w:rsidR="009D5923" w:rsidRPr="001877B5" w:rsidRDefault="009D5923" w:rsidP="009D5923">
      <w:pPr>
        <w:pStyle w:val="Endnotentext"/>
        <w:rPr>
          <w:lang w:val="en-US"/>
        </w:rPr>
      </w:pPr>
      <w:r w:rsidRPr="001877B5">
        <w:rPr>
          <w:rStyle w:val="Endnotenzeichen"/>
        </w:rPr>
        <w:endnoteRef/>
      </w:r>
      <w:r w:rsidRPr="001877B5">
        <w:rPr>
          <w:lang w:val="en-US"/>
        </w:rPr>
        <w:t xml:space="preserve"> Yang C, </w:t>
      </w:r>
      <w:proofErr w:type="spellStart"/>
      <w:r w:rsidRPr="001877B5">
        <w:rPr>
          <w:lang w:val="en-US"/>
        </w:rPr>
        <w:t>Ambayo</w:t>
      </w:r>
      <w:proofErr w:type="spellEnd"/>
      <w:r w:rsidRPr="001877B5">
        <w:rPr>
          <w:lang w:val="en-US"/>
        </w:rPr>
        <w:t xml:space="preserve"> H, </w:t>
      </w:r>
      <w:proofErr w:type="spellStart"/>
      <w:r w:rsidRPr="001877B5">
        <w:rPr>
          <w:lang w:val="en-US"/>
        </w:rPr>
        <w:t>Baets</w:t>
      </w:r>
      <w:proofErr w:type="spellEnd"/>
      <w:r w:rsidRPr="001877B5">
        <w:rPr>
          <w:lang w:val="en-US"/>
        </w:rPr>
        <w:t xml:space="preserve"> B, </w:t>
      </w:r>
      <w:proofErr w:type="spellStart"/>
      <w:r w:rsidRPr="001877B5">
        <w:rPr>
          <w:lang w:val="en-US"/>
        </w:rPr>
        <w:t>Kolsteren</w:t>
      </w:r>
      <w:proofErr w:type="spellEnd"/>
      <w:r w:rsidRPr="001877B5">
        <w:rPr>
          <w:lang w:val="en-US"/>
        </w:rPr>
        <w:t xml:space="preserve"> P, </w:t>
      </w:r>
      <w:proofErr w:type="spellStart"/>
      <w:r w:rsidRPr="001877B5">
        <w:rPr>
          <w:lang w:val="en-US"/>
        </w:rPr>
        <w:t>Thanintorn</w:t>
      </w:r>
      <w:proofErr w:type="spellEnd"/>
      <w:r w:rsidRPr="001877B5">
        <w:rPr>
          <w:lang w:val="en-US"/>
        </w:rPr>
        <w:t xml:space="preserve"> N, </w:t>
      </w:r>
      <w:proofErr w:type="spellStart"/>
      <w:r w:rsidRPr="001877B5">
        <w:rPr>
          <w:lang w:val="en-US"/>
        </w:rPr>
        <w:t>Hawwash</w:t>
      </w:r>
      <w:proofErr w:type="spellEnd"/>
      <w:r w:rsidRPr="001877B5">
        <w:rPr>
          <w:lang w:val="en-US"/>
        </w:rPr>
        <w:t xml:space="preserve"> D, </w:t>
      </w:r>
      <w:proofErr w:type="spellStart"/>
      <w:r w:rsidRPr="001877B5">
        <w:rPr>
          <w:lang w:val="en-US"/>
        </w:rPr>
        <w:t>Bouwman</w:t>
      </w:r>
      <w:proofErr w:type="spellEnd"/>
      <w:r w:rsidRPr="001877B5">
        <w:rPr>
          <w:lang w:val="en-US"/>
        </w:rPr>
        <w:t xml:space="preserve"> J, </w:t>
      </w:r>
      <w:proofErr w:type="spellStart"/>
      <w:r w:rsidRPr="001877B5">
        <w:rPr>
          <w:lang w:val="en-US"/>
        </w:rPr>
        <w:t>Bronselaer</w:t>
      </w:r>
      <w:proofErr w:type="spellEnd"/>
      <w:r w:rsidRPr="001877B5">
        <w:rPr>
          <w:lang w:val="en-US"/>
        </w:rPr>
        <w:t xml:space="preserve"> A, </w:t>
      </w:r>
      <w:proofErr w:type="spellStart"/>
      <w:r w:rsidRPr="001877B5">
        <w:rPr>
          <w:lang w:val="en-US"/>
        </w:rPr>
        <w:t>Pattyn</w:t>
      </w:r>
      <w:proofErr w:type="spellEnd"/>
      <w:r w:rsidRPr="001877B5">
        <w:rPr>
          <w:lang w:val="en-US"/>
        </w:rPr>
        <w:t xml:space="preserve"> F, </w:t>
      </w:r>
      <w:proofErr w:type="spellStart"/>
      <w:r w:rsidRPr="001877B5">
        <w:rPr>
          <w:lang w:val="en-US"/>
        </w:rPr>
        <w:t>Lachat</w:t>
      </w:r>
      <w:proofErr w:type="spellEnd"/>
      <w:r w:rsidRPr="001877B5">
        <w:rPr>
          <w:lang w:val="en-US"/>
        </w:rPr>
        <w:t xml:space="preserve"> C. An Ontology to Standardize Research Output of Nutritional Epidemiology: From Paper-Based Standards to Linked Content. Nutrients. 2019 Jun 8</w:t>
      </w:r>
      <w:proofErr w:type="gramStart"/>
      <w:r w:rsidRPr="001877B5">
        <w:rPr>
          <w:lang w:val="en-US"/>
        </w:rPr>
        <w:t>;11</w:t>
      </w:r>
      <w:proofErr w:type="gramEnd"/>
      <w:r w:rsidRPr="001877B5">
        <w:rPr>
          <w:lang w:val="en-US"/>
        </w:rPr>
        <w:t xml:space="preserve">(6):1300. </w:t>
      </w:r>
      <w:proofErr w:type="spellStart"/>
      <w:proofErr w:type="gramStart"/>
      <w:r w:rsidRPr="001877B5">
        <w:rPr>
          <w:lang w:val="en-US"/>
        </w:rPr>
        <w:t>doi</w:t>
      </w:r>
      <w:proofErr w:type="spellEnd"/>
      <w:proofErr w:type="gramEnd"/>
      <w:r w:rsidRPr="001877B5">
        <w:rPr>
          <w:lang w:val="en-US"/>
        </w:rPr>
        <w:t>: 10.3390/nu11061300. PMID: 31181762; PMCID: PMC6628051.</w:t>
      </w:r>
    </w:p>
  </w:endnote>
  <w:endnote w:id="25">
    <w:p w:rsidR="009D5923" w:rsidRPr="001877B5" w:rsidRDefault="009D5923" w:rsidP="009D5923">
      <w:pPr>
        <w:pStyle w:val="Endnotentext"/>
        <w:rPr>
          <w:lang w:val="en-US"/>
        </w:rPr>
      </w:pPr>
      <w:r w:rsidRPr="001877B5">
        <w:rPr>
          <w:rStyle w:val="Endnotenzeichen"/>
        </w:rPr>
        <w:endnoteRef/>
      </w:r>
      <w:r w:rsidRPr="001877B5">
        <w:rPr>
          <w:lang w:val="en-US"/>
        </w:rPr>
        <w:t xml:space="preserve"> </w:t>
      </w:r>
      <w:proofErr w:type="spellStart"/>
      <w:r w:rsidRPr="001877B5">
        <w:rPr>
          <w:lang w:val="en-US"/>
        </w:rPr>
        <w:t>Vitali</w:t>
      </w:r>
      <w:proofErr w:type="spellEnd"/>
      <w:r w:rsidRPr="001877B5">
        <w:rPr>
          <w:lang w:val="en-US"/>
        </w:rPr>
        <w:t xml:space="preserve"> F, Lombardo R, </w:t>
      </w:r>
      <w:proofErr w:type="spellStart"/>
      <w:r w:rsidRPr="001877B5">
        <w:rPr>
          <w:lang w:val="en-US"/>
        </w:rPr>
        <w:t>Rivero</w:t>
      </w:r>
      <w:proofErr w:type="spellEnd"/>
      <w:r w:rsidRPr="001877B5">
        <w:rPr>
          <w:lang w:val="en-US"/>
        </w:rPr>
        <w:t xml:space="preserve"> D, </w:t>
      </w:r>
      <w:proofErr w:type="spellStart"/>
      <w:r w:rsidRPr="001877B5">
        <w:rPr>
          <w:lang w:val="en-US"/>
        </w:rPr>
        <w:t>Mattivi</w:t>
      </w:r>
      <w:proofErr w:type="spellEnd"/>
      <w:r w:rsidRPr="001877B5">
        <w:rPr>
          <w:lang w:val="en-US"/>
        </w:rPr>
        <w:t xml:space="preserve"> F, </w:t>
      </w:r>
      <w:proofErr w:type="spellStart"/>
      <w:r w:rsidRPr="001877B5">
        <w:rPr>
          <w:lang w:val="en-US"/>
        </w:rPr>
        <w:t>Franceschi</w:t>
      </w:r>
      <w:proofErr w:type="spellEnd"/>
      <w:r w:rsidRPr="001877B5">
        <w:rPr>
          <w:lang w:val="en-US"/>
        </w:rPr>
        <w:t xml:space="preserve"> P, </w:t>
      </w:r>
      <w:proofErr w:type="spellStart"/>
      <w:r w:rsidRPr="001877B5">
        <w:rPr>
          <w:lang w:val="en-US"/>
        </w:rPr>
        <w:t>Bordoni</w:t>
      </w:r>
      <w:proofErr w:type="spellEnd"/>
      <w:r w:rsidRPr="001877B5">
        <w:rPr>
          <w:lang w:val="en-US"/>
        </w:rPr>
        <w:t xml:space="preserve"> A, </w:t>
      </w:r>
      <w:proofErr w:type="spellStart"/>
      <w:r w:rsidRPr="001877B5">
        <w:rPr>
          <w:lang w:val="en-US"/>
        </w:rPr>
        <w:t>Trimigno</w:t>
      </w:r>
      <w:proofErr w:type="spellEnd"/>
      <w:r w:rsidRPr="001877B5">
        <w:rPr>
          <w:lang w:val="en-US"/>
        </w:rPr>
        <w:t xml:space="preserve"> A, </w:t>
      </w:r>
      <w:proofErr w:type="spellStart"/>
      <w:r w:rsidRPr="001877B5">
        <w:rPr>
          <w:lang w:val="en-US"/>
        </w:rPr>
        <w:t>Capozzi</w:t>
      </w:r>
      <w:proofErr w:type="spellEnd"/>
      <w:r w:rsidRPr="001877B5">
        <w:rPr>
          <w:lang w:val="en-US"/>
        </w:rPr>
        <w:t xml:space="preserve"> F, </w:t>
      </w:r>
      <w:proofErr w:type="spellStart"/>
      <w:r w:rsidRPr="001877B5">
        <w:rPr>
          <w:lang w:val="en-US"/>
        </w:rPr>
        <w:t>Felici</w:t>
      </w:r>
      <w:proofErr w:type="spellEnd"/>
      <w:r w:rsidRPr="001877B5">
        <w:rPr>
          <w:lang w:val="en-US"/>
        </w:rPr>
        <w:t xml:space="preserve"> G, </w:t>
      </w:r>
      <w:proofErr w:type="spellStart"/>
      <w:r w:rsidRPr="001877B5">
        <w:rPr>
          <w:lang w:val="en-US"/>
        </w:rPr>
        <w:t>Taglino</w:t>
      </w:r>
      <w:proofErr w:type="spellEnd"/>
      <w:r w:rsidRPr="001877B5">
        <w:rPr>
          <w:lang w:val="en-US"/>
        </w:rPr>
        <w:t xml:space="preserve"> F, </w:t>
      </w:r>
      <w:proofErr w:type="spellStart"/>
      <w:r w:rsidRPr="001877B5">
        <w:rPr>
          <w:lang w:val="en-US"/>
        </w:rPr>
        <w:t>Miglietta</w:t>
      </w:r>
      <w:proofErr w:type="spellEnd"/>
      <w:r w:rsidRPr="001877B5">
        <w:rPr>
          <w:lang w:val="en-US"/>
        </w:rPr>
        <w:t xml:space="preserve"> F, De Cock N, </w:t>
      </w:r>
      <w:proofErr w:type="spellStart"/>
      <w:r w:rsidRPr="001877B5">
        <w:rPr>
          <w:lang w:val="en-US"/>
        </w:rPr>
        <w:t>Lachat</w:t>
      </w:r>
      <w:proofErr w:type="spellEnd"/>
      <w:r w:rsidRPr="001877B5">
        <w:rPr>
          <w:lang w:val="en-US"/>
        </w:rPr>
        <w:t xml:space="preserve"> C, De </w:t>
      </w:r>
      <w:proofErr w:type="spellStart"/>
      <w:r w:rsidRPr="001877B5">
        <w:rPr>
          <w:lang w:val="en-US"/>
        </w:rPr>
        <w:t>Baets</w:t>
      </w:r>
      <w:proofErr w:type="spellEnd"/>
      <w:r w:rsidRPr="001877B5">
        <w:rPr>
          <w:lang w:val="en-US"/>
        </w:rPr>
        <w:t xml:space="preserve"> B, De </w:t>
      </w:r>
      <w:proofErr w:type="spellStart"/>
      <w:r w:rsidRPr="001877B5">
        <w:rPr>
          <w:lang w:val="en-US"/>
        </w:rPr>
        <w:t>Tré</w:t>
      </w:r>
      <w:proofErr w:type="spellEnd"/>
      <w:r w:rsidRPr="001877B5">
        <w:rPr>
          <w:lang w:val="en-US"/>
        </w:rPr>
        <w:t xml:space="preserve"> G, </w:t>
      </w:r>
      <w:proofErr w:type="spellStart"/>
      <w:r w:rsidRPr="001877B5">
        <w:rPr>
          <w:lang w:val="en-US"/>
        </w:rPr>
        <w:t>Pinart</w:t>
      </w:r>
      <w:proofErr w:type="spellEnd"/>
      <w:r w:rsidRPr="001877B5">
        <w:rPr>
          <w:lang w:val="en-US"/>
        </w:rPr>
        <w:t xml:space="preserve"> M, </w:t>
      </w:r>
      <w:proofErr w:type="spellStart"/>
      <w:r w:rsidRPr="001877B5">
        <w:rPr>
          <w:lang w:val="en-US"/>
        </w:rPr>
        <w:t>Nimptsch</w:t>
      </w:r>
      <w:proofErr w:type="spellEnd"/>
      <w:r w:rsidRPr="001877B5">
        <w:rPr>
          <w:lang w:val="en-US"/>
        </w:rPr>
        <w:t xml:space="preserve"> K, </w:t>
      </w:r>
      <w:proofErr w:type="spellStart"/>
      <w:r w:rsidRPr="001877B5">
        <w:rPr>
          <w:lang w:val="en-US"/>
        </w:rPr>
        <w:t>Pischon</w:t>
      </w:r>
      <w:proofErr w:type="spellEnd"/>
      <w:r w:rsidRPr="001877B5">
        <w:rPr>
          <w:lang w:val="en-US"/>
        </w:rPr>
        <w:t xml:space="preserve"> T, </w:t>
      </w:r>
      <w:proofErr w:type="spellStart"/>
      <w:r w:rsidRPr="001877B5">
        <w:rPr>
          <w:lang w:val="en-US"/>
        </w:rPr>
        <w:t>Bouwman</w:t>
      </w:r>
      <w:proofErr w:type="spellEnd"/>
      <w:r w:rsidRPr="001877B5">
        <w:rPr>
          <w:lang w:val="en-US"/>
        </w:rPr>
        <w:t xml:space="preserve"> J, </w:t>
      </w:r>
      <w:proofErr w:type="spellStart"/>
      <w:r w:rsidRPr="001877B5">
        <w:rPr>
          <w:lang w:val="en-US"/>
        </w:rPr>
        <w:t>Cavalieri</w:t>
      </w:r>
      <w:proofErr w:type="spellEnd"/>
      <w:r w:rsidRPr="001877B5">
        <w:rPr>
          <w:lang w:val="en-US"/>
        </w:rPr>
        <w:t xml:space="preserve"> D; ENPADASI consortium. ONS: an ontology for a standardized description of interventions and observational studies in nutrition. Genes </w:t>
      </w:r>
      <w:proofErr w:type="spellStart"/>
      <w:r w:rsidRPr="001877B5">
        <w:rPr>
          <w:lang w:val="en-US"/>
        </w:rPr>
        <w:t>Nutr</w:t>
      </w:r>
      <w:proofErr w:type="spellEnd"/>
      <w:r w:rsidRPr="001877B5">
        <w:rPr>
          <w:lang w:val="en-US"/>
        </w:rPr>
        <w:t>. 2018 Apr 30</w:t>
      </w:r>
      <w:proofErr w:type="gramStart"/>
      <w:r w:rsidRPr="001877B5">
        <w:rPr>
          <w:lang w:val="en-US"/>
        </w:rPr>
        <w:t>;13:12</w:t>
      </w:r>
      <w:proofErr w:type="gramEnd"/>
      <w:r w:rsidRPr="001877B5">
        <w:rPr>
          <w:lang w:val="en-US"/>
        </w:rPr>
        <w:t xml:space="preserve">. </w:t>
      </w:r>
      <w:proofErr w:type="spellStart"/>
      <w:proofErr w:type="gramStart"/>
      <w:r w:rsidRPr="001877B5">
        <w:rPr>
          <w:lang w:val="en-US"/>
        </w:rPr>
        <w:t>doi</w:t>
      </w:r>
      <w:proofErr w:type="spellEnd"/>
      <w:proofErr w:type="gramEnd"/>
      <w:r w:rsidRPr="001877B5">
        <w:rPr>
          <w:lang w:val="en-US"/>
        </w:rPr>
        <w:t>: 10.1186/s12263-018-0601-y. PMID: 29736190; PMCID: PMC5928560.</w:t>
      </w:r>
    </w:p>
  </w:endnote>
  <w:endnote w:id="26">
    <w:p w:rsidR="009D5923" w:rsidRPr="001877B5" w:rsidRDefault="009D5923" w:rsidP="009D5923">
      <w:pPr>
        <w:pStyle w:val="Endnotentext"/>
        <w:rPr>
          <w:lang w:val="en-US"/>
        </w:rPr>
      </w:pPr>
      <w:r w:rsidRPr="001877B5">
        <w:rPr>
          <w:rStyle w:val="Endnotenzeichen"/>
        </w:rPr>
        <w:endnoteRef/>
      </w:r>
      <w:r w:rsidRPr="001877B5">
        <w:rPr>
          <w:lang w:val="en-US"/>
        </w:rPr>
        <w:t xml:space="preserve"> Dooley DM, Griffiths EJ, </w:t>
      </w:r>
      <w:proofErr w:type="spellStart"/>
      <w:r w:rsidRPr="001877B5">
        <w:rPr>
          <w:lang w:val="en-US"/>
        </w:rPr>
        <w:t>Gosal</w:t>
      </w:r>
      <w:proofErr w:type="spellEnd"/>
      <w:r w:rsidRPr="001877B5">
        <w:rPr>
          <w:lang w:val="en-US"/>
        </w:rPr>
        <w:t xml:space="preserve"> GS, </w:t>
      </w:r>
      <w:proofErr w:type="spellStart"/>
      <w:r w:rsidRPr="001877B5">
        <w:rPr>
          <w:lang w:val="en-US"/>
        </w:rPr>
        <w:t>Buttigieg</w:t>
      </w:r>
      <w:proofErr w:type="spellEnd"/>
      <w:r w:rsidRPr="001877B5">
        <w:rPr>
          <w:lang w:val="en-US"/>
        </w:rPr>
        <w:t xml:space="preserve"> PL, </w:t>
      </w:r>
      <w:proofErr w:type="spellStart"/>
      <w:r w:rsidRPr="001877B5">
        <w:rPr>
          <w:lang w:val="en-US"/>
        </w:rPr>
        <w:t>Hoehndorf</w:t>
      </w:r>
      <w:proofErr w:type="spellEnd"/>
      <w:r w:rsidRPr="001877B5">
        <w:rPr>
          <w:lang w:val="en-US"/>
        </w:rPr>
        <w:t xml:space="preserve"> R, Lange MC, </w:t>
      </w:r>
      <w:proofErr w:type="spellStart"/>
      <w:r w:rsidRPr="001877B5">
        <w:rPr>
          <w:lang w:val="en-US"/>
        </w:rPr>
        <w:t>Schriml</w:t>
      </w:r>
      <w:proofErr w:type="spellEnd"/>
      <w:r w:rsidRPr="001877B5">
        <w:rPr>
          <w:lang w:val="en-US"/>
        </w:rPr>
        <w:t xml:space="preserve"> LM, Brinkman FSL, Hsiao WWL. </w:t>
      </w:r>
      <w:proofErr w:type="spellStart"/>
      <w:r w:rsidRPr="001877B5">
        <w:rPr>
          <w:lang w:val="en-US"/>
        </w:rPr>
        <w:t>FoodOn</w:t>
      </w:r>
      <w:proofErr w:type="spellEnd"/>
      <w:r w:rsidRPr="001877B5">
        <w:rPr>
          <w:lang w:val="en-US"/>
        </w:rPr>
        <w:t xml:space="preserve">: a harmonized food ontology to increase global food traceability, quality control and data integration. NPJ </w:t>
      </w:r>
      <w:proofErr w:type="spellStart"/>
      <w:r w:rsidRPr="001877B5">
        <w:rPr>
          <w:lang w:val="en-US"/>
        </w:rPr>
        <w:t>Sci</w:t>
      </w:r>
      <w:proofErr w:type="spellEnd"/>
      <w:r w:rsidRPr="001877B5">
        <w:rPr>
          <w:lang w:val="en-US"/>
        </w:rPr>
        <w:t xml:space="preserve"> Food. 2018 Dec 18</w:t>
      </w:r>
      <w:proofErr w:type="gramStart"/>
      <w:r w:rsidRPr="001877B5">
        <w:rPr>
          <w:lang w:val="en-US"/>
        </w:rPr>
        <w:t>;2:23</w:t>
      </w:r>
      <w:proofErr w:type="gramEnd"/>
      <w:r w:rsidRPr="001877B5">
        <w:rPr>
          <w:lang w:val="en-US"/>
        </w:rPr>
        <w:t xml:space="preserve">. </w:t>
      </w:r>
      <w:proofErr w:type="spellStart"/>
      <w:proofErr w:type="gramStart"/>
      <w:r w:rsidRPr="001877B5">
        <w:rPr>
          <w:lang w:val="en-US"/>
        </w:rPr>
        <w:t>doi</w:t>
      </w:r>
      <w:proofErr w:type="spellEnd"/>
      <w:proofErr w:type="gramEnd"/>
      <w:r w:rsidRPr="001877B5">
        <w:rPr>
          <w:lang w:val="en-US"/>
        </w:rPr>
        <w:t>: 10.1038/s41538-018-0032-6. PMID: 31304272; PMCID: PMC6550238.</w:t>
      </w:r>
    </w:p>
  </w:endnote>
  <w:endnote w:id="27">
    <w:p w:rsidR="009D5923" w:rsidRPr="001877B5" w:rsidRDefault="009D5923" w:rsidP="009D5923">
      <w:pPr>
        <w:pStyle w:val="Endnotentext"/>
        <w:spacing w:line="259" w:lineRule="auto"/>
        <w:rPr>
          <w:lang w:val="en-US"/>
        </w:rPr>
      </w:pPr>
      <w:r w:rsidRPr="001877B5">
        <w:rPr>
          <w:rStyle w:val="Endnotenzeichen"/>
        </w:rPr>
        <w:endnoteRef/>
      </w:r>
      <w:r w:rsidRPr="001877B5">
        <w:rPr>
          <w:lang w:val="en-US"/>
        </w:rPr>
        <w:t xml:space="preserve"> </w:t>
      </w:r>
      <w:proofErr w:type="spellStart"/>
      <w:r w:rsidRPr="001877B5">
        <w:rPr>
          <w:lang w:val="en-US"/>
        </w:rPr>
        <w:t>Coffran</w:t>
      </w:r>
      <w:proofErr w:type="spellEnd"/>
      <w:r w:rsidRPr="001877B5">
        <w:rPr>
          <w:lang w:val="en-US"/>
        </w:rPr>
        <w:t xml:space="preserve"> C., Meehan D., </w:t>
      </w:r>
      <w:proofErr w:type="spellStart"/>
      <w:r w:rsidRPr="001877B5">
        <w:rPr>
          <w:lang w:val="en-US"/>
        </w:rPr>
        <w:t>Ronning</w:t>
      </w:r>
      <w:proofErr w:type="spellEnd"/>
      <w:r w:rsidRPr="001877B5">
        <w:rPr>
          <w:lang w:val="en-US"/>
        </w:rPr>
        <w:t xml:space="preserve"> A. </w:t>
      </w:r>
      <w:proofErr w:type="spellStart"/>
      <w:r w:rsidRPr="001877B5">
        <w:rPr>
          <w:lang w:val="en-US"/>
        </w:rPr>
        <w:t>Bionutrition</w:t>
      </w:r>
      <w:proofErr w:type="spellEnd"/>
      <w:r w:rsidRPr="001877B5">
        <w:rPr>
          <w:lang w:val="en-US"/>
        </w:rPr>
        <w:t xml:space="preserve"> Ontology. [Internet]. 2013. [Cited 2021 Nov 08]. Available from: https://bioportal.bioontology.org/ontologies/BNO?p=classes&amp;conceptid=root</w:t>
      </w:r>
    </w:p>
  </w:endnote>
  <w:endnote w:id="28">
    <w:p w:rsidR="009D5923" w:rsidRPr="001877B5" w:rsidRDefault="009D5923" w:rsidP="009D5923">
      <w:pPr>
        <w:pStyle w:val="Endnotentext"/>
        <w:rPr>
          <w:lang w:val="en-US"/>
        </w:rPr>
      </w:pPr>
      <w:r w:rsidRPr="001877B5">
        <w:rPr>
          <w:rStyle w:val="Endnotenzeichen"/>
        </w:rPr>
        <w:endnoteRef/>
      </w:r>
      <w:r w:rsidRPr="001877B5">
        <w:rPr>
          <w:lang w:val="en-US"/>
        </w:rPr>
        <w:t xml:space="preserve"> Danish Food Informatics. </w:t>
      </w:r>
      <w:proofErr w:type="spellStart"/>
      <w:r w:rsidRPr="001877B5">
        <w:rPr>
          <w:lang w:val="en-US"/>
        </w:rPr>
        <w:t>LanguaL</w:t>
      </w:r>
      <w:proofErr w:type="spellEnd"/>
      <w:r w:rsidRPr="001877B5">
        <w:rPr>
          <w:lang w:val="en-US"/>
        </w:rPr>
        <w:t>—</w:t>
      </w:r>
      <w:proofErr w:type="gramStart"/>
      <w:r w:rsidRPr="001877B5">
        <w:rPr>
          <w:lang w:val="en-US"/>
        </w:rPr>
        <w:t>The</w:t>
      </w:r>
      <w:proofErr w:type="gramEnd"/>
      <w:r w:rsidRPr="001877B5">
        <w:rPr>
          <w:lang w:val="en-US"/>
        </w:rPr>
        <w:t xml:space="preserve"> International Framework for Food Description. [Cited 2021 Nov 08]. Available online: </w:t>
      </w:r>
      <w:hyperlink r:id="rId9">
        <w:r w:rsidRPr="001877B5">
          <w:rPr>
            <w:rStyle w:val="Hyperlink"/>
            <w:lang w:val="en-US"/>
          </w:rPr>
          <w:t>http://www.langual.org/</w:t>
        </w:r>
      </w:hyperlink>
    </w:p>
  </w:endnote>
  <w:endnote w:id="29">
    <w:p w:rsidR="009D5923" w:rsidRPr="001877B5" w:rsidRDefault="009D5923" w:rsidP="009D5923">
      <w:pPr>
        <w:pStyle w:val="Endnotentext"/>
        <w:rPr>
          <w:lang w:val="en-US"/>
        </w:rPr>
      </w:pPr>
      <w:r w:rsidRPr="001877B5">
        <w:rPr>
          <w:rStyle w:val="Endnotenzeichen"/>
        </w:rPr>
        <w:endnoteRef/>
      </w:r>
      <w:r w:rsidRPr="001877B5">
        <w:rPr>
          <w:lang w:val="en-US"/>
        </w:rPr>
        <w:t xml:space="preserve"> von Elm E, Altman DG, Egger M, </w:t>
      </w:r>
      <w:proofErr w:type="spellStart"/>
      <w:r w:rsidRPr="001877B5">
        <w:rPr>
          <w:lang w:val="en-US"/>
        </w:rPr>
        <w:t>Pocock</w:t>
      </w:r>
      <w:proofErr w:type="spellEnd"/>
      <w:r w:rsidRPr="001877B5">
        <w:rPr>
          <w:lang w:val="en-US"/>
        </w:rPr>
        <w:t xml:space="preserve"> SJ, </w:t>
      </w:r>
      <w:proofErr w:type="spellStart"/>
      <w:r w:rsidRPr="001877B5">
        <w:rPr>
          <w:lang w:val="en-US"/>
        </w:rPr>
        <w:t>Gøtzsche</w:t>
      </w:r>
      <w:proofErr w:type="spellEnd"/>
      <w:r w:rsidRPr="001877B5">
        <w:rPr>
          <w:lang w:val="en-US"/>
        </w:rPr>
        <w:t xml:space="preserve"> PC, </w:t>
      </w:r>
      <w:proofErr w:type="spellStart"/>
      <w:r w:rsidRPr="001877B5">
        <w:rPr>
          <w:lang w:val="en-US"/>
        </w:rPr>
        <w:t>Vandenbroucke</w:t>
      </w:r>
      <w:proofErr w:type="spellEnd"/>
      <w:r w:rsidRPr="001877B5">
        <w:rPr>
          <w:lang w:val="en-US"/>
        </w:rPr>
        <w:t xml:space="preserve"> JP; STROBE Initiative. The Strengthening the Reporting of Observational Studies in Epidemiology (STROBE) Statement: guidelines for reporting observational studies. </w:t>
      </w:r>
      <w:proofErr w:type="spellStart"/>
      <w:r w:rsidRPr="001877B5">
        <w:rPr>
          <w:lang w:val="en-US"/>
        </w:rPr>
        <w:t>Int</w:t>
      </w:r>
      <w:proofErr w:type="spellEnd"/>
      <w:r w:rsidRPr="001877B5">
        <w:rPr>
          <w:lang w:val="en-US"/>
        </w:rPr>
        <w:t xml:space="preserve"> J Surg. 2014 Dec</w:t>
      </w:r>
      <w:proofErr w:type="gramStart"/>
      <w:r w:rsidRPr="001877B5">
        <w:rPr>
          <w:lang w:val="en-US"/>
        </w:rPr>
        <w:t>;12</w:t>
      </w:r>
      <w:proofErr w:type="gramEnd"/>
      <w:r w:rsidRPr="001877B5">
        <w:rPr>
          <w:lang w:val="en-US"/>
        </w:rPr>
        <w:t xml:space="preserve">(12):1495-9. </w:t>
      </w:r>
      <w:proofErr w:type="spellStart"/>
      <w:proofErr w:type="gramStart"/>
      <w:r w:rsidRPr="001877B5">
        <w:rPr>
          <w:lang w:val="en-US"/>
        </w:rPr>
        <w:t>doi</w:t>
      </w:r>
      <w:proofErr w:type="spellEnd"/>
      <w:proofErr w:type="gramEnd"/>
      <w:r w:rsidRPr="001877B5">
        <w:rPr>
          <w:lang w:val="en-US"/>
        </w:rPr>
        <w:t xml:space="preserve">: 10.1016/j.ijsu.2014.07.013. </w:t>
      </w:r>
      <w:proofErr w:type="spellStart"/>
      <w:r w:rsidRPr="001877B5">
        <w:rPr>
          <w:lang w:val="en-US"/>
        </w:rPr>
        <w:t>Epub</w:t>
      </w:r>
      <w:proofErr w:type="spellEnd"/>
      <w:r w:rsidRPr="001877B5">
        <w:rPr>
          <w:lang w:val="en-US"/>
        </w:rPr>
        <w:t xml:space="preserve"> 2014 Jul 18. PMID: 25046131.</w:t>
      </w:r>
    </w:p>
  </w:endnote>
  <w:endnote w:id="30">
    <w:p w:rsidR="009D5923" w:rsidRPr="001877B5" w:rsidRDefault="009D5923" w:rsidP="009D5923">
      <w:pPr>
        <w:pStyle w:val="Endnotentext"/>
        <w:rPr>
          <w:lang w:val="en-US"/>
        </w:rPr>
      </w:pPr>
      <w:r w:rsidRPr="001877B5">
        <w:rPr>
          <w:rStyle w:val="Endnotenzeichen"/>
        </w:rPr>
        <w:endnoteRef/>
      </w:r>
      <w:r w:rsidRPr="001877B5">
        <w:rPr>
          <w:lang w:val="en-US"/>
        </w:rPr>
        <w:t xml:space="preserve"> </w:t>
      </w:r>
      <w:proofErr w:type="spellStart"/>
      <w:r w:rsidRPr="001877B5">
        <w:rPr>
          <w:lang w:val="en-US"/>
        </w:rPr>
        <w:t>Lachat</w:t>
      </w:r>
      <w:proofErr w:type="spellEnd"/>
      <w:r w:rsidRPr="001877B5">
        <w:rPr>
          <w:lang w:val="en-US"/>
        </w:rPr>
        <w:t xml:space="preserve"> C, </w:t>
      </w:r>
      <w:proofErr w:type="spellStart"/>
      <w:r w:rsidRPr="001877B5">
        <w:rPr>
          <w:lang w:val="en-US"/>
        </w:rPr>
        <w:t>Hawwash</w:t>
      </w:r>
      <w:proofErr w:type="spellEnd"/>
      <w:r w:rsidRPr="001877B5">
        <w:rPr>
          <w:lang w:val="en-US"/>
        </w:rPr>
        <w:t xml:space="preserve"> D, </w:t>
      </w:r>
      <w:proofErr w:type="spellStart"/>
      <w:r w:rsidRPr="001877B5">
        <w:rPr>
          <w:lang w:val="en-US"/>
        </w:rPr>
        <w:t>Ocké</w:t>
      </w:r>
      <w:proofErr w:type="spellEnd"/>
      <w:r w:rsidRPr="001877B5">
        <w:rPr>
          <w:lang w:val="en-US"/>
        </w:rPr>
        <w:t xml:space="preserve"> MC, Berg C, </w:t>
      </w:r>
      <w:proofErr w:type="spellStart"/>
      <w:r w:rsidRPr="001877B5">
        <w:rPr>
          <w:lang w:val="en-US"/>
        </w:rPr>
        <w:t>Forsum</w:t>
      </w:r>
      <w:proofErr w:type="spellEnd"/>
      <w:r w:rsidRPr="001877B5">
        <w:rPr>
          <w:lang w:val="en-US"/>
        </w:rPr>
        <w:t xml:space="preserve"> E, </w:t>
      </w:r>
      <w:proofErr w:type="spellStart"/>
      <w:r w:rsidRPr="001877B5">
        <w:rPr>
          <w:lang w:val="en-US"/>
        </w:rPr>
        <w:t>Hörnell</w:t>
      </w:r>
      <w:proofErr w:type="spellEnd"/>
      <w:r w:rsidRPr="001877B5">
        <w:rPr>
          <w:lang w:val="en-US"/>
        </w:rPr>
        <w:t xml:space="preserve"> A, Larsson C, </w:t>
      </w:r>
      <w:proofErr w:type="spellStart"/>
      <w:r w:rsidRPr="001877B5">
        <w:rPr>
          <w:lang w:val="en-US"/>
        </w:rPr>
        <w:t>Sonestedt</w:t>
      </w:r>
      <w:proofErr w:type="spellEnd"/>
      <w:r w:rsidRPr="001877B5">
        <w:rPr>
          <w:lang w:val="en-US"/>
        </w:rPr>
        <w:t xml:space="preserve"> E, </w:t>
      </w:r>
      <w:proofErr w:type="spellStart"/>
      <w:r w:rsidRPr="001877B5">
        <w:rPr>
          <w:lang w:val="en-US"/>
        </w:rPr>
        <w:t>Wirfält</w:t>
      </w:r>
      <w:proofErr w:type="spellEnd"/>
      <w:r w:rsidRPr="001877B5">
        <w:rPr>
          <w:lang w:val="en-US"/>
        </w:rPr>
        <w:t xml:space="preserve"> E, </w:t>
      </w:r>
      <w:proofErr w:type="spellStart"/>
      <w:r w:rsidRPr="001877B5">
        <w:rPr>
          <w:lang w:val="en-US"/>
        </w:rPr>
        <w:t>Åkesson</w:t>
      </w:r>
      <w:proofErr w:type="spellEnd"/>
      <w:r w:rsidRPr="001877B5">
        <w:rPr>
          <w:lang w:val="en-US"/>
        </w:rPr>
        <w:t xml:space="preserve"> A, </w:t>
      </w:r>
      <w:proofErr w:type="spellStart"/>
      <w:r w:rsidRPr="001877B5">
        <w:rPr>
          <w:lang w:val="en-US"/>
        </w:rPr>
        <w:t>Kolsteren</w:t>
      </w:r>
      <w:proofErr w:type="spellEnd"/>
      <w:r w:rsidRPr="001877B5">
        <w:rPr>
          <w:lang w:val="en-US"/>
        </w:rPr>
        <w:t xml:space="preserve"> P, Byrnes G, De </w:t>
      </w:r>
      <w:proofErr w:type="spellStart"/>
      <w:r w:rsidRPr="001877B5">
        <w:rPr>
          <w:lang w:val="en-US"/>
        </w:rPr>
        <w:t>Keyzer</w:t>
      </w:r>
      <w:proofErr w:type="spellEnd"/>
      <w:r w:rsidRPr="001877B5">
        <w:rPr>
          <w:lang w:val="en-US"/>
        </w:rPr>
        <w:t xml:space="preserve"> W, Van Camp J, Cade JE, </w:t>
      </w:r>
      <w:proofErr w:type="spellStart"/>
      <w:r w:rsidRPr="001877B5">
        <w:rPr>
          <w:lang w:val="en-US"/>
        </w:rPr>
        <w:t>Slimani</w:t>
      </w:r>
      <w:proofErr w:type="spellEnd"/>
      <w:r w:rsidRPr="001877B5">
        <w:rPr>
          <w:lang w:val="en-US"/>
        </w:rPr>
        <w:t xml:space="preserve"> N, </w:t>
      </w:r>
      <w:proofErr w:type="spellStart"/>
      <w:r w:rsidRPr="001877B5">
        <w:rPr>
          <w:lang w:val="en-US"/>
        </w:rPr>
        <w:t>Cevallos</w:t>
      </w:r>
      <w:proofErr w:type="spellEnd"/>
      <w:r w:rsidRPr="001877B5">
        <w:rPr>
          <w:lang w:val="en-US"/>
        </w:rPr>
        <w:t xml:space="preserve"> M, Egger M, </w:t>
      </w:r>
      <w:proofErr w:type="spellStart"/>
      <w:r w:rsidRPr="001877B5">
        <w:rPr>
          <w:lang w:val="en-US"/>
        </w:rPr>
        <w:t>Huybrechts</w:t>
      </w:r>
      <w:proofErr w:type="spellEnd"/>
      <w:r w:rsidRPr="001877B5">
        <w:rPr>
          <w:lang w:val="en-US"/>
        </w:rPr>
        <w:t xml:space="preserve"> I. Strengthening the Reporting of Observational Studies in Epidemiology-Nutritional Epidemiology (STROBE-nut): An Extension of the STROBE Statement. </w:t>
      </w:r>
      <w:proofErr w:type="spellStart"/>
      <w:r w:rsidRPr="001877B5">
        <w:rPr>
          <w:lang w:val="en-US"/>
        </w:rPr>
        <w:t>PLoS</w:t>
      </w:r>
      <w:proofErr w:type="spellEnd"/>
      <w:r w:rsidRPr="001877B5">
        <w:rPr>
          <w:lang w:val="en-US"/>
        </w:rPr>
        <w:t xml:space="preserve"> Med. 2016 Jun 7</w:t>
      </w:r>
      <w:proofErr w:type="gramStart"/>
      <w:r w:rsidRPr="001877B5">
        <w:rPr>
          <w:lang w:val="en-US"/>
        </w:rPr>
        <w:t>;13</w:t>
      </w:r>
      <w:proofErr w:type="gramEnd"/>
      <w:r w:rsidRPr="001877B5">
        <w:rPr>
          <w:lang w:val="en-US"/>
        </w:rPr>
        <w:t xml:space="preserve">(6):e1002036. </w:t>
      </w:r>
      <w:proofErr w:type="spellStart"/>
      <w:proofErr w:type="gramStart"/>
      <w:r w:rsidRPr="001877B5">
        <w:rPr>
          <w:lang w:val="en-US"/>
        </w:rPr>
        <w:t>doi</w:t>
      </w:r>
      <w:proofErr w:type="spellEnd"/>
      <w:proofErr w:type="gramEnd"/>
      <w:r w:rsidRPr="001877B5">
        <w:rPr>
          <w:lang w:val="en-US"/>
        </w:rPr>
        <w:t>: 10.1371/journal.pmed.1002036. PMID: 27270749; PMCID: PMC4896435.</w:t>
      </w:r>
    </w:p>
  </w:endnote>
  <w:endnote w:id="31">
    <w:p w:rsidR="009D5923" w:rsidRPr="001877B5" w:rsidRDefault="009D5923" w:rsidP="009D5923">
      <w:pPr>
        <w:pStyle w:val="Endnotentext"/>
        <w:rPr>
          <w:lang w:val="en-US"/>
        </w:rPr>
      </w:pPr>
      <w:r w:rsidRPr="001877B5">
        <w:rPr>
          <w:rStyle w:val="Endnotenzeichen"/>
        </w:rPr>
        <w:endnoteRef/>
      </w:r>
      <w:r w:rsidRPr="001877B5">
        <w:rPr>
          <w:lang w:val="en-US"/>
        </w:rPr>
        <w:t xml:space="preserve"> </w:t>
      </w:r>
      <w:proofErr w:type="spellStart"/>
      <w:proofErr w:type="gramStart"/>
      <w:r w:rsidRPr="001877B5">
        <w:rPr>
          <w:lang w:val="en-US"/>
        </w:rPr>
        <w:t>Pinart</w:t>
      </w:r>
      <w:proofErr w:type="spellEnd"/>
      <w:r w:rsidRPr="001877B5">
        <w:rPr>
          <w:lang w:val="en-US"/>
        </w:rPr>
        <w:t xml:space="preserve"> M, </w:t>
      </w:r>
      <w:proofErr w:type="spellStart"/>
      <w:r w:rsidRPr="001877B5">
        <w:rPr>
          <w:lang w:val="en-US"/>
        </w:rPr>
        <w:t>Nimptsch</w:t>
      </w:r>
      <w:proofErr w:type="spellEnd"/>
      <w:r w:rsidRPr="001877B5">
        <w:rPr>
          <w:lang w:val="en-US"/>
        </w:rPr>
        <w:t xml:space="preserve"> K, </w:t>
      </w:r>
      <w:proofErr w:type="spellStart"/>
      <w:r w:rsidRPr="001877B5">
        <w:rPr>
          <w:lang w:val="en-US"/>
        </w:rPr>
        <w:t>Bouwman</w:t>
      </w:r>
      <w:proofErr w:type="spellEnd"/>
      <w:r w:rsidRPr="001877B5">
        <w:rPr>
          <w:lang w:val="en-US"/>
        </w:rPr>
        <w:t xml:space="preserve"> J, </w:t>
      </w:r>
      <w:proofErr w:type="spellStart"/>
      <w:r w:rsidRPr="001877B5">
        <w:rPr>
          <w:lang w:val="en-US"/>
        </w:rPr>
        <w:t>Dragsted</w:t>
      </w:r>
      <w:proofErr w:type="spellEnd"/>
      <w:r w:rsidRPr="001877B5">
        <w:rPr>
          <w:lang w:val="en-US"/>
        </w:rPr>
        <w:t xml:space="preserve"> LO, Yang C, De Cock N, </w:t>
      </w:r>
      <w:proofErr w:type="spellStart"/>
      <w:r w:rsidRPr="001877B5">
        <w:rPr>
          <w:lang w:val="en-US"/>
        </w:rPr>
        <w:t>Lachat</w:t>
      </w:r>
      <w:proofErr w:type="spellEnd"/>
      <w:r w:rsidRPr="001877B5">
        <w:rPr>
          <w:lang w:val="en-US"/>
        </w:rPr>
        <w:t xml:space="preserve"> C, </w:t>
      </w:r>
      <w:proofErr w:type="spellStart"/>
      <w:r w:rsidRPr="001877B5">
        <w:rPr>
          <w:lang w:val="en-US"/>
        </w:rPr>
        <w:t>Perozzi</w:t>
      </w:r>
      <w:proofErr w:type="spellEnd"/>
      <w:r w:rsidRPr="001877B5">
        <w:rPr>
          <w:lang w:val="en-US"/>
        </w:rPr>
        <w:t xml:space="preserve"> G, </w:t>
      </w:r>
      <w:proofErr w:type="spellStart"/>
      <w:r w:rsidRPr="001877B5">
        <w:rPr>
          <w:lang w:val="en-US"/>
        </w:rPr>
        <w:t>Canali</w:t>
      </w:r>
      <w:proofErr w:type="spellEnd"/>
      <w:r w:rsidRPr="001877B5">
        <w:rPr>
          <w:lang w:val="en-US"/>
        </w:rPr>
        <w:t xml:space="preserve"> R, Lombardo R, </w:t>
      </w:r>
      <w:proofErr w:type="spellStart"/>
      <w:r w:rsidRPr="001877B5">
        <w:rPr>
          <w:lang w:val="en-US"/>
        </w:rPr>
        <w:t>D'Archivio</w:t>
      </w:r>
      <w:proofErr w:type="spellEnd"/>
      <w:r w:rsidRPr="001877B5">
        <w:rPr>
          <w:lang w:val="en-US"/>
        </w:rPr>
        <w:t xml:space="preserve"> M, Guillaume M, </w:t>
      </w:r>
      <w:proofErr w:type="spellStart"/>
      <w:r w:rsidRPr="001877B5">
        <w:rPr>
          <w:lang w:val="en-US"/>
        </w:rPr>
        <w:t>Donneau</w:t>
      </w:r>
      <w:proofErr w:type="spellEnd"/>
      <w:r w:rsidRPr="001877B5">
        <w:rPr>
          <w:lang w:val="en-US"/>
        </w:rPr>
        <w:t xml:space="preserve"> AF, </w:t>
      </w:r>
      <w:proofErr w:type="spellStart"/>
      <w:r w:rsidRPr="001877B5">
        <w:rPr>
          <w:lang w:val="en-US"/>
        </w:rPr>
        <w:t>Jeran</w:t>
      </w:r>
      <w:proofErr w:type="spellEnd"/>
      <w:r w:rsidRPr="001877B5">
        <w:rPr>
          <w:lang w:val="en-US"/>
        </w:rPr>
        <w:t xml:space="preserve"> S, </w:t>
      </w:r>
      <w:proofErr w:type="spellStart"/>
      <w:r w:rsidRPr="001877B5">
        <w:rPr>
          <w:lang w:val="en-US"/>
        </w:rPr>
        <w:t>Linseisen</w:t>
      </w:r>
      <w:proofErr w:type="spellEnd"/>
      <w:r w:rsidRPr="001877B5">
        <w:rPr>
          <w:lang w:val="en-US"/>
        </w:rPr>
        <w:t xml:space="preserve"> J, </w:t>
      </w:r>
      <w:proofErr w:type="spellStart"/>
      <w:r w:rsidRPr="001877B5">
        <w:rPr>
          <w:lang w:val="en-US"/>
        </w:rPr>
        <w:t>Kleiser</w:t>
      </w:r>
      <w:proofErr w:type="spellEnd"/>
      <w:r w:rsidRPr="001877B5">
        <w:rPr>
          <w:lang w:val="en-US"/>
        </w:rPr>
        <w:t xml:space="preserve"> C, </w:t>
      </w:r>
      <w:proofErr w:type="spellStart"/>
      <w:r w:rsidRPr="001877B5">
        <w:rPr>
          <w:lang w:val="en-US"/>
        </w:rPr>
        <w:t>Nöthlings</w:t>
      </w:r>
      <w:proofErr w:type="spellEnd"/>
      <w:r w:rsidRPr="001877B5">
        <w:rPr>
          <w:lang w:val="en-US"/>
        </w:rPr>
        <w:t xml:space="preserve"> U, </w:t>
      </w:r>
      <w:proofErr w:type="spellStart"/>
      <w:r w:rsidRPr="001877B5">
        <w:rPr>
          <w:lang w:val="en-US"/>
        </w:rPr>
        <w:t>Barbaresko</w:t>
      </w:r>
      <w:proofErr w:type="spellEnd"/>
      <w:r w:rsidRPr="001877B5">
        <w:rPr>
          <w:lang w:val="en-US"/>
        </w:rPr>
        <w:t xml:space="preserve"> J, Boeing H, </w:t>
      </w:r>
      <w:proofErr w:type="spellStart"/>
      <w:r w:rsidRPr="001877B5">
        <w:rPr>
          <w:lang w:val="en-US"/>
        </w:rPr>
        <w:t>Stelmach-Mardas</w:t>
      </w:r>
      <w:proofErr w:type="spellEnd"/>
      <w:r w:rsidRPr="001877B5">
        <w:rPr>
          <w:lang w:val="en-US"/>
        </w:rPr>
        <w:t xml:space="preserve"> M, </w:t>
      </w:r>
      <w:proofErr w:type="spellStart"/>
      <w:r w:rsidRPr="001877B5">
        <w:rPr>
          <w:lang w:val="en-US"/>
        </w:rPr>
        <w:t>Heuer</w:t>
      </w:r>
      <w:proofErr w:type="spellEnd"/>
      <w:r w:rsidRPr="001877B5">
        <w:rPr>
          <w:lang w:val="en-US"/>
        </w:rPr>
        <w:t xml:space="preserve"> T, Laird E, Walton J, </w:t>
      </w:r>
      <w:proofErr w:type="spellStart"/>
      <w:r w:rsidRPr="001877B5">
        <w:rPr>
          <w:lang w:val="en-US"/>
        </w:rPr>
        <w:t>Gasparini</w:t>
      </w:r>
      <w:proofErr w:type="spellEnd"/>
      <w:r w:rsidRPr="001877B5">
        <w:rPr>
          <w:lang w:val="en-US"/>
        </w:rPr>
        <w:t xml:space="preserve"> P, </w:t>
      </w:r>
      <w:proofErr w:type="spellStart"/>
      <w:r w:rsidRPr="001877B5">
        <w:rPr>
          <w:lang w:val="en-US"/>
        </w:rPr>
        <w:t>Robino</w:t>
      </w:r>
      <w:proofErr w:type="spellEnd"/>
      <w:r w:rsidRPr="001877B5">
        <w:rPr>
          <w:lang w:val="en-US"/>
        </w:rPr>
        <w:t xml:space="preserve"> A, </w:t>
      </w:r>
      <w:proofErr w:type="spellStart"/>
      <w:r w:rsidRPr="001877B5">
        <w:rPr>
          <w:lang w:val="en-US"/>
        </w:rPr>
        <w:t>Castaño</w:t>
      </w:r>
      <w:proofErr w:type="spellEnd"/>
      <w:r w:rsidRPr="001877B5">
        <w:rPr>
          <w:lang w:val="en-US"/>
        </w:rPr>
        <w:t xml:space="preserve"> L, </w:t>
      </w:r>
      <w:proofErr w:type="spellStart"/>
      <w:r w:rsidRPr="001877B5">
        <w:rPr>
          <w:lang w:val="en-US"/>
        </w:rPr>
        <w:t>Rojo-Martínez</w:t>
      </w:r>
      <w:proofErr w:type="spellEnd"/>
      <w:r w:rsidRPr="001877B5">
        <w:rPr>
          <w:lang w:val="en-US"/>
        </w:rPr>
        <w:t xml:space="preserve"> G, Merino J, </w:t>
      </w:r>
      <w:proofErr w:type="spellStart"/>
      <w:r w:rsidRPr="001877B5">
        <w:rPr>
          <w:lang w:val="en-US"/>
        </w:rPr>
        <w:t>Masana</w:t>
      </w:r>
      <w:proofErr w:type="spellEnd"/>
      <w:r w:rsidRPr="001877B5">
        <w:rPr>
          <w:lang w:val="en-US"/>
        </w:rPr>
        <w:t xml:space="preserve"> L, </w:t>
      </w:r>
      <w:proofErr w:type="spellStart"/>
      <w:r w:rsidRPr="001877B5">
        <w:rPr>
          <w:lang w:val="en-US"/>
        </w:rPr>
        <w:t>Standl</w:t>
      </w:r>
      <w:proofErr w:type="spellEnd"/>
      <w:r w:rsidRPr="001877B5">
        <w:rPr>
          <w:lang w:val="en-US"/>
        </w:rPr>
        <w:t xml:space="preserve"> M, Schulz H, </w:t>
      </w:r>
      <w:proofErr w:type="spellStart"/>
      <w:r w:rsidRPr="001877B5">
        <w:rPr>
          <w:lang w:val="en-US"/>
        </w:rPr>
        <w:t>Biagi</w:t>
      </w:r>
      <w:proofErr w:type="spellEnd"/>
      <w:r w:rsidRPr="001877B5">
        <w:rPr>
          <w:lang w:val="en-US"/>
        </w:rPr>
        <w:t xml:space="preserve"> E, </w:t>
      </w:r>
      <w:proofErr w:type="spellStart"/>
      <w:r w:rsidRPr="001877B5">
        <w:rPr>
          <w:lang w:val="en-US"/>
        </w:rPr>
        <w:t>Nurk</w:t>
      </w:r>
      <w:proofErr w:type="spellEnd"/>
      <w:r w:rsidRPr="001877B5">
        <w:rPr>
          <w:lang w:val="en-US"/>
        </w:rPr>
        <w:t xml:space="preserve"> E, </w:t>
      </w:r>
      <w:proofErr w:type="spellStart"/>
      <w:r w:rsidRPr="001877B5">
        <w:rPr>
          <w:lang w:val="en-US"/>
        </w:rPr>
        <w:t>Matthys</w:t>
      </w:r>
      <w:proofErr w:type="spellEnd"/>
      <w:r w:rsidRPr="001877B5">
        <w:rPr>
          <w:lang w:val="en-US"/>
        </w:rPr>
        <w:t xml:space="preserve"> C, </w:t>
      </w:r>
      <w:proofErr w:type="spellStart"/>
      <w:r w:rsidRPr="001877B5">
        <w:rPr>
          <w:lang w:val="en-US"/>
        </w:rPr>
        <w:t>Gobbetti</w:t>
      </w:r>
      <w:proofErr w:type="spellEnd"/>
      <w:r w:rsidRPr="001877B5">
        <w:rPr>
          <w:lang w:val="en-US"/>
        </w:rPr>
        <w:t xml:space="preserve"> M, de Angelis M, </w:t>
      </w:r>
      <w:proofErr w:type="spellStart"/>
      <w:r w:rsidRPr="001877B5">
        <w:rPr>
          <w:lang w:val="en-US"/>
        </w:rPr>
        <w:t>Windler</w:t>
      </w:r>
      <w:proofErr w:type="spellEnd"/>
      <w:r w:rsidRPr="001877B5">
        <w:rPr>
          <w:lang w:val="en-US"/>
        </w:rPr>
        <w:t xml:space="preserve"> E, </w:t>
      </w:r>
      <w:proofErr w:type="spellStart"/>
      <w:r w:rsidRPr="001877B5">
        <w:rPr>
          <w:lang w:val="en-US"/>
        </w:rPr>
        <w:t>Zyriax</w:t>
      </w:r>
      <w:proofErr w:type="spellEnd"/>
      <w:r w:rsidRPr="001877B5">
        <w:rPr>
          <w:lang w:val="en-US"/>
        </w:rPr>
        <w:t xml:space="preserve"> BC, </w:t>
      </w:r>
      <w:proofErr w:type="spellStart"/>
      <w:r w:rsidRPr="001877B5">
        <w:rPr>
          <w:lang w:val="en-US"/>
        </w:rPr>
        <w:t>Tafforeau</w:t>
      </w:r>
      <w:proofErr w:type="spellEnd"/>
      <w:r w:rsidRPr="001877B5">
        <w:rPr>
          <w:lang w:val="en-US"/>
        </w:rPr>
        <w:t xml:space="preserve"> J, </w:t>
      </w:r>
      <w:proofErr w:type="spellStart"/>
      <w:r w:rsidRPr="001877B5">
        <w:rPr>
          <w:lang w:val="en-US"/>
        </w:rPr>
        <w:t>Pischon</w:t>
      </w:r>
      <w:proofErr w:type="spellEnd"/>
      <w:r w:rsidRPr="001877B5">
        <w:rPr>
          <w:lang w:val="en-US"/>
        </w:rPr>
        <w:t xml:space="preserve"> T. Joint Data Analysis in Nutritional Epidemiology: Identification of Observational Studies and Minimal Requirements.</w:t>
      </w:r>
      <w:proofErr w:type="gramEnd"/>
      <w:r w:rsidRPr="001877B5">
        <w:rPr>
          <w:lang w:val="en-US"/>
        </w:rPr>
        <w:t xml:space="preserve"> J </w:t>
      </w:r>
      <w:proofErr w:type="spellStart"/>
      <w:r w:rsidRPr="001877B5">
        <w:rPr>
          <w:lang w:val="en-US"/>
        </w:rPr>
        <w:t>Nutr</w:t>
      </w:r>
      <w:proofErr w:type="spellEnd"/>
      <w:r w:rsidRPr="001877B5">
        <w:rPr>
          <w:lang w:val="en-US"/>
        </w:rPr>
        <w:t>. 2018 Feb 1</w:t>
      </w:r>
      <w:proofErr w:type="gramStart"/>
      <w:r w:rsidRPr="001877B5">
        <w:rPr>
          <w:lang w:val="en-US"/>
        </w:rPr>
        <w:t>;148</w:t>
      </w:r>
      <w:proofErr w:type="gramEnd"/>
      <w:r w:rsidRPr="001877B5">
        <w:rPr>
          <w:lang w:val="en-US"/>
        </w:rPr>
        <w:t xml:space="preserve">(2):285-297. </w:t>
      </w:r>
      <w:proofErr w:type="spellStart"/>
      <w:proofErr w:type="gramStart"/>
      <w:r w:rsidRPr="001877B5">
        <w:rPr>
          <w:lang w:val="en-US"/>
        </w:rPr>
        <w:t>doi</w:t>
      </w:r>
      <w:proofErr w:type="spellEnd"/>
      <w:proofErr w:type="gramEnd"/>
      <w:r w:rsidRPr="001877B5">
        <w:rPr>
          <w:lang w:val="en-US"/>
        </w:rPr>
        <w:t>: 10.1093/</w:t>
      </w:r>
      <w:proofErr w:type="spellStart"/>
      <w:r w:rsidRPr="001877B5">
        <w:rPr>
          <w:lang w:val="en-US"/>
        </w:rPr>
        <w:t>jn</w:t>
      </w:r>
      <w:proofErr w:type="spellEnd"/>
      <w:r w:rsidRPr="001877B5">
        <w:rPr>
          <w:lang w:val="en-US"/>
        </w:rPr>
        <w:t>/nxx037. PMID: 29490094.</w:t>
      </w:r>
    </w:p>
  </w:endnote>
  <w:endnote w:id="32">
    <w:p w:rsidR="009D5923" w:rsidRPr="001877B5" w:rsidRDefault="009D5923" w:rsidP="009D5923">
      <w:pPr>
        <w:pStyle w:val="Endnotentext"/>
        <w:rPr>
          <w:lang w:val="en-US"/>
        </w:rPr>
      </w:pPr>
      <w:r w:rsidRPr="001877B5">
        <w:rPr>
          <w:rStyle w:val="Endnotenzeichen"/>
        </w:rPr>
        <w:endnoteRef/>
      </w:r>
      <w:r w:rsidRPr="001877B5">
        <w:rPr>
          <w:lang w:val="en-US"/>
        </w:rPr>
        <w:t xml:space="preserve"> Williamson PR, Altman DG, Bagley H, Barnes KL, </w:t>
      </w:r>
      <w:proofErr w:type="spellStart"/>
      <w:r w:rsidRPr="001877B5">
        <w:rPr>
          <w:lang w:val="en-US"/>
        </w:rPr>
        <w:t>Blazeby</w:t>
      </w:r>
      <w:proofErr w:type="spellEnd"/>
      <w:r w:rsidRPr="001877B5">
        <w:rPr>
          <w:lang w:val="en-US"/>
        </w:rPr>
        <w:t xml:space="preserve"> JM, Brookes ST, Clarke M, </w:t>
      </w:r>
      <w:proofErr w:type="spellStart"/>
      <w:r w:rsidRPr="001877B5">
        <w:rPr>
          <w:lang w:val="en-US"/>
        </w:rPr>
        <w:t>Gargon</w:t>
      </w:r>
      <w:proofErr w:type="spellEnd"/>
      <w:r w:rsidRPr="001877B5">
        <w:rPr>
          <w:lang w:val="en-US"/>
        </w:rPr>
        <w:t xml:space="preserve"> E, </w:t>
      </w:r>
      <w:proofErr w:type="spellStart"/>
      <w:r w:rsidRPr="001877B5">
        <w:rPr>
          <w:lang w:val="en-US"/>
        </w:rPr>
        <w:t>Gorst</w:t>
      </w:r>
      <w:proofErr w:type="spellEnd"/>
      <w:r w:rsidRPr="001877B5">
        <w:rPr>
          <w:lang w:val="en-US"/>
        </w:rPr>
        <w:t xml:space="preserve"> S, Harman N, Kirkham JJ, McNair A, </w:t>
      </w:r>
      <w:proofErr w:type="spellStart"/>
      <w:r w:rsidRPr="001877B5">
        <w:rPr>
          <w:lang w:val="en-US"/>
        </w:rPr>
        <w:t>Prinsen</w:t>
      </w:r>
      <w:proofErr w:type="spellEnd"/>
      <w:r w:rsidRPr="001877B5">
        <w:rPr>
          <w:lang w:val="en-US"/>
        </w:rPr>
        <w:t xml:space="preserve"> CAC, Schmitt J, </w:t>
      </w:r>
      <w:proofErr w:type="spellStart"/>
      <w:r w:rsidRPr="001877B5">
        <w:rPr>
          <w:lang w:val="en-US"/>
        </w:rPr>
        <w:t>Terwee</w:t>
      </w:r>
      <w:proofErr w:type="spellEnd"/>
      <w:r w:rsidRPr="001877B5">
        <w:rPr>
          <w:lang w:val="en-US"/>
        </w:rPr>
        <w:t xml:space="preserve"> CB, Young B. The COMET Handbook: version 1.0. Trials. 2017 Jun 20</w:t>
      </w:r>
      <w:proofErr w:type="gramStart"/>
      <w:r w:rsidRPr="001877B5">
        <w:rPr>
          <w:lang w:val="en-US"/>
        </w:rPr>
        <w:t>;18</w:t>
      </w:r>
      <w:proofErr w:type="gramEnd"/>
      <w:r w:rsidRPr="001877B5">
        <w:rPr>
          <w:lang w:val="en-US"/>
        </w:rPr>
        <w:t>(</w:t>
      </w:r>
      <w:proofErr w:type="spellStart"/>
      <w:r w:rsidRPr="001877B5">
        <w:rPr>
          <w:lang w:val="en-US"/>
        </w:rPr>
        <w:t>Suppl</w:t>
      </w:r>
      <w:proofErr w:type="spellEnd"/>
      <w:r w:rsidRPr="001877B5">
        <w:rPr>
          <w:lang w:val="en-US"/>
        </w:rPr>
        <w:t xml:space="preserve"> 3):280. </w:t>
      </w:r>
      <w:proofErr w:type="spellStart"/>
      <w:proofErr w:type="gramStart"/>
      <w:r w:rsidRPr="001877B5">
        <w:rPr>
          <w:lang w:val="en-US"/>
        </w:rPr>
        <w:t>doi</w:t>
      </w:r>
      <w:proofErr w:type="spellEnd"/>
      <w:proofErr w:type="gramEnd"/>
      <w:r w:rsidRPr="001877B5">
        <w:rPr>
          <w:lang w:val="en-US"/>
        </w:rPr>
        <w:t>: 10.1186/s13063-017-1978-4. PMID: 28681707; PMCID: PMC5499094.</w:t>
      </w:r>
    </w:p>
  </w:endnote>
  <w:endnote w:id="33">
    <w:p w:rsidR="009D5923" w:rsidRPr="001877B5" w:rsidRDefault="009D5923" w:rsidP="009D5923">
      <w:pPr>
        <w:pStyle w:val="Endnotentext"/>
        <w:rPr>
          <w:color w:val="000000" w:themeColor="text1"/>
          <w:lang w:val="en-US"/>
        </w:rPr>
      </w:pPr>
      <w:r w:rsidRPr="001877B5">
        <w:rPr>
          <w:rStyle w:val="Endnotenzeichen"/>
        </w:rPr>
        <w:endnoteRef/>
      </w:r>
      <w:r w:rsidRPr="001877B5">
        <w:rPr>
          <w:lang w:val="en-US"/>
        </w:rPr>
        <w:t xml:space="preserve"> </w:t>
      </w:r>
      <w:r w:rsidRPr="001877B5">
        <w:rPr>
          <w:color w:val="000000" w:themeColor="text1"/>
          <w:lang w:val="en-US"/>
        </w:rPr>
        <w:t xml:space="preserve">1. </w:t>
      </w:r>
      <w:proofErr w:type="spellStart"/>
      <w:r w:rsidRPr="001877B5">
        <w:rPr>
          <w:color w:val="000000" w:themeColor="text1"/>
          <w:lang w:val="en-US"/>
        </w:rPr>
        <w:t>Golbeck</w:t>
      </w:r>
      <w:proofErr w:type="spellEnd"/>
      <w:r w:rsidRPr="001877B5">
        <w:rPr>
          <w:color w:val="000000" w:themeColor="text1"/>
          <w:lang w:val="en-US"/>
        </w:rPr>
        <w:t xml:space="preserve"> J, </w:t>
      </w:r>
      <w:proofErr w:type="spellStart"/>
      <w:r w:rsidRPr="001877B5">
        <w:rPr>
          <w:color w:val="000000" w:themeColor="text1"/>
          <w:lang w:val="en-US"/>
        </w:rPr>
        <w:t>Fragoso</w:t>
      </w:r>
      <w:proofErr w:type="spellEnd"/>
      <w:r w:rsidRPr="001877B5">
        <w:rPr>
          <w:color w:val="000000" w:themeColor="text1"/>
          <w:lang w:val="en-US"/>
        </w:rPr>
        <w:t xml:space="preserve"> G, </w:t>
      </w:r>
      <w:proofErr w:type="spellStart"/>
      <w:r w:rsidRPr="001877B5">
        <w:rPr>
          <w:color w:val="000000" w:themeColor="text1"/>
          <w:lang w:val="en-US"/>
        </w:rPr>
        <w:t>Hartel</w:t>
      </w:r>
      <w:proofErr w:type="spellEnd"/>
      <w:r w:rsidRPr="001877B5">
        <w:rPr>
          <w:color w:val="000000" w:themeColor="text1"/>
          <w:lang w:val="en-US"/>
        </w:rPr>
        <w:t xml:space="preserve"> F, </w:t>
      </w:r>
      <w:proofErr w:type="spellStart"/>
      <w:r w:rsidRPr="001877B5">
        <w:rPr>
          <w:color w:val="000000" w:themeColor="text1"/>
          <w:lang w:val="en-US"/>
        </w:rPr>
        <w:t>Hendler</w:t>
      </w:r>
      <w:proofErr w:type="spellEnd"/>
      <w:r w:rsidRPr="001877B5">
        <w:rPr>
          <w:color w:val="000000" w:themeColor="text1"/>
          <w:lang w:val="en-US"/>
        </w:rPr>
        <w:t xml:space="preserve"> J, </w:t>
      </w:r>
      <w:proofErr w:type="spellStart"/>
      <w:r w:rsidRPr="001877B5">
        <w:rPr>
          <w:color w:val="000000" w:themeColor="text1"/>
          <w:lang w:val="en-US"/>
        </w:rPr>
        <w:t>Oberthaler</w:t>
      </w:r>
      <w:proofErr w:type="spellEnd"/>
      <w:r w:rsidRPr="001877B5">
        <w:rPr>
          <w:color w:val="000000" w:themeColor="text1"/>
          <w:lang w:val="en-US"/>
        </w:rPr>
        <w:t xml:space="preserve"> J, </w:t>
      </w:r>
      <w:proofErr w:type="spellStart"/>
      <w:r w:rsidRPr="001877B5">
        <w:rPr>
          <w:color w:val="000000" w:themeColor="text1"/>
          <w:lang w:val="en-US"/>
        </w:rPr>
        <w:t>Parsia</w:t>
      </w:r>
      <w:proofErr w:type="spellEnd"/>
      <w:r w:rsidRPr="001877B5">
        <w:rPr>
          <w:color w:val="000000" w:themeColor="text1"/>
          <w:lang w:val="en-US"/>
        </w:rPr>
        <w:t xml:space="preserve"> B. The National Cancer Institute's Thesaurus and Ontology. SSRN Electronic Journal. 2003. </w:t>
      </w:r>
      <w:proofErr w:type="spellStart"/>
      <w:r w:rsidRPr="001877B5">
        <w:rPr>
          <w:color w:val="000000" w:themeColor="text1"/>
          <w:lang w:val="en-US"/>
        </w:rPr>
        <w:t>doi</w:t>
      </w:r>
      <w:proofErr w:type="spellEnd"/>
      <w:r w:rsidRPr="001877B5">
        <w:rPr>
          <w:color w:val="000000" w:themeColor="text1"/>
          <w:lang w:val="en-US"/>
        </w:rPr>
        <w:t xml:space="preserve">: 10.2139/ssrn.3199007 </w:t>
      </w:r>
    </w:p>
  </w:endnote>
  <w:endnote w:id="34">
    <w:p w:rsidR="009D5923" w:rsidRPr="001877B5" w:rsidRDefault="009D5923" w:rsidP="009D5923">
      <w:pPr>
        <w:pStyle w:val="Endnotentext"/>
        <w:rPr>
          <w:lang w:val="en-US"/>
        </w:rPr>
      </w:pPr>
      <w:r w:rsidRPr="001877B5">
        <w:rPr>
          <w:rStyle w:val="Endnotenzeichen"/>
        </w:rPr>
        <w:endnoteRef/>
      </w:r>
      <w:r w:rsidRPr="001877B5">
        <w:rPr>
          <w:lang w:val="en-US"/>
        </w:rPr>
        <w:t xml:space="preserve"> Finnie TJ, South A, Bento A, </w:t>
      </w:r>
      <w:proofErr w:type="spellStart"/>
      <w:r w:rsidRPr="001877B5">
        <w:rPr>
          <w:lang w:val="en-US"/>
        </w:rPr>
        <w:t>Sherrard</w:t>
      </w:r>
      <w:proofErr w:type="spellEnd"/>
      <w:r w:rsidRPr="001877B5">
        <w:rPr>
          <w:lang w:val="en-US"/>
        </w:rPr>
        <w:t xml:space="preserve">-Smith E, </w:t>
      </w:r>
      <w:proofErr w:type="spellStart"/>
      <w:r w:rsidRPr="001877B5">
        <w:rPr>
          <w:lang w:val="en-US"/>
        </w:rPr>
        <w:t>Jombart</w:t>
      </w:r>
      <w:proofErr w:type="spellEnd"/>
      <w:r w:rsidRPr="001877B5">
        <w:rPr>
          <w:lang w:val="en-US"/>
        </w:rPr>
        <w:t xml:space="preserve"> T. </w:t>
      </w:r>
      <w:proofErr w:type="spellStart"/>
      <w:r w:rsidRPr="001877B5">
        <w:rPr>
          <w:lang w:val="en-US"/>
        </w:rPr>
        <w:t>EpiJSON</w:t>
      </w:r>
      <w:proofErr w:type="spellEnd"/>
      <w:r w:rsidRPr="001877B5">
        <w:rPr>
          <w:lang w:val="en-US"/>
        </w:rPr>
        <w:t>: A unified data-format for epidemiology. Epidemics. 2016 Jun</w:t>
      </w:r>
      <w:proofErr w:type="gramStart"/>
      <w:r w:rsidRPr="001877B5">
        <w:rPr>
          <w:lang w:val="en-US"/>
        </w:rPr>
        <w:t>;15:20</w:t>
      </w:r>
      <w:proofErr w:type="gramEnd"/>
      <w:r w:rsidRPr="001877B5">
        <w:rPr>
          <w:lang w:val="en-US"/>
        </w:rPr>
        <w:t xml:space="preserve">-6. </w:t>
      </w:r>
      <w:proofErr w:type="spellStart"/>
      <w:proofErr w:type="gramStart"/>
      <w:r w:rsidRPr="001877B5">
        <w:rPr>
          <w:lang w:val="en-US"/>
        </w:rPr>
        <w:t>doi</w:t>
      </w:r>
      <w:proofErr w:type="spellEnd"/>
      <w:proofErr w:type="gramEnd"/>
      <w:r w:rsidRPr="001877B5">
        <w:rPr>
          <w:lang w:val="en-US"/>
        </w:rPr>
        <w:t xml:space="preserve">: 10.1016/j.epidem.2015.12.002. </w:t>
      </w:r>
      <w:proofErr w:type="spellStart"/>
      <w:r w:rsidRPr="001877B5">
        <w:rPr>
          <w:lang w:val="en-US"/>
        </w:rPr>
        <w:t>Epub</w:t>
      </w:r>
      <w:proofErr w:type="spellEnd"/>
      <w:r w:rsidRPr="001877B5">
        <w:rPr>
          <w:lang w:val="en-US"/>
        </w:rPr>
        <w:t xml:space="preserve"> 2015 Dec 29. PMID: 27266846; PMCID: PMC7104924.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51D" w:rsidRDefault="00DC051D" w:rsidP="009D5923">
      <w:r>
        <w:separator/>
      </w:r>
    </w:p>
  </w:footnote>
  <w:footnote w:type="continuationSeparator" w:id="0">
    <w:p w:rsidR="00DC051D" w:rsidRDefault="00DC051D" w:rsidP="009D59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923"/>
    <w:rsid w:val="009D5923"/>
    <w:rsid w:val="00AE5B48"/>
    <w:rsid w:val="00DC05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BFBA9-921C-41B0-B2A0-0B76D1CF6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D5923"/>
    <w:pPr>
      <w:spacing w:after="0" w:line="240" w:lineRule="auto"/>
    </w:pPr>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D5923"/>
    <w:rPr>
      <w:color w:val="0563C1" w:themeColor="hyperlink"/>
      <w:u w:val="single"/>
    </w:rPr>
  </w:style>
  <w:style w:type="paragraph" w:styleId="Beschriftung">
    <w:name w:val="caption"/>
    <w:basedOn w:val="Listenabsatz"/>
    <w:next w:val="Standard"/>
    <w:uiPriority w:val="35"/>
    <w:unhideWhenUsed/>
    <w:qFormat/>
    <w:rsid w:val="009D5923"/>
    <w:pPr>
      <w:spacing w:line="360" w:lineRule="auto"/>
      <w:ind w:left="360"/>
      <w:jc w:val="both"/>
    </w:pPr>
    <w:rPr>
      <w:rFonts w:eastAsia="Times New Roman" w:cs="Times New Roman"/>
      <w:b/>
      <w:lang w:val="en-US"/>
    </w:rPr>
  </w:style>
  <w:style w:type="paragraph" w:styleId="Endnotentext">
    <w:name w:val="endnote text"/>
    <w:basedOn w:val="Standard"/>
    <w:link w:val="EndnotentextZchn"/>
    <w:uiPriority w:val="99"/>
    <w:unhideWhenUsed/>
    <w:rsid w:val="009D5923"/>
    <w:rPr>
      <w:sz w:val="20"/>
      <w:szCs w:val="20"/>
    </w:rPr>
  </w:style>
  <w:style w:type="character" w:customStyle="1" w:styleId="EndnotentextZchn">
    <w:name w:val="Endnotentext Zchn"/>
    <w:basedOn w:val="Absatz-Standardschriftart"/>
    <w:link w:val="Endnotentext"/>
    <w:uiPriority w:val="99"/>
    <w:rsid w:val="009D5923"/>
    <w:rPr>
      <w:sz w:val="20"/>
      <w:szCs w:val="20"/>
    </w:rPr>
  </w:style>
  <w:style w:type="character" w:styleId="Endnotenzeichen">
    <w:name w:val="endnote reference"/>
    <w:basedOn w:val="Absatz-Standardschriftart"/>
    <w:uiPriority w:val="99"/>
    <w:semiHidden/>
    <w:unhideWhenUsed/>
    <w:rsid w:val="009D5923"/>
    <w:rPr>
      <w:vertAlign w:val="superscript"/>
    </w:rPr>
  </w:style>
  <w:style w:type="character" w:customStyle="1" w:styleId="cf01">
    <w:name w:val="cf01"/>
    <w:basedOn w:val="Absatz-Standardschriftart"/>
    <w:rsid w:val="009D5923"/>
    <w:rPr>
      <w:rFonts w:ascii="Segoe UI" w:hAnsi="Segoe UI" w:cs="Segoe UI" w:hint="default"/>
      <w:sz w:val="18"/>
      <w:szCs w:val="18"/>
    </w:rPr>
  </w:style>
  <w:style w:type="character" w:customStyle="1" w:styleId="cf11">
    <w:name w:val="cf11"/>
    <w:basedOn w:val="Absatz-Standardschriftart"/>
    <w:rsid w:val="009D5923"/>
    <w:rPr>
      <w:rFonts w:ascii="Segoe UI" w:hAnsi="Segoe UI" w:cs="Segoe UI" w:hint="default"/>
      <w:i/>
      <w:iCs/>
      <w:sz w:val="18"/>
      <w:szCs w:val="18"/>
    </w:rPr>
  </w:style>
  <w:style w:type="table" w:styleId="TabellemithellemGitternetz">
    <w:name w:val="Grid Table Light"/>
    <w:basedOn w:val="NormaleTabelle"/>
    <w:uiPriority w:val="40"/>
    <w:rsid w:val="009D5923"/>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enabsatz">
    <w:name w:val="List Paragraph"/>
    <w:basedOn w:val="Standard"/>
    <w:uiPriority w:val="34"/>
    <w:qFormat/>
    <w:rsid w:val="009D5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_rels/endnotes.xml.rels><?xml version="1.0" encoding="UTF-8" standalone="yes"?>
<Relationships xmlns="http://schemas.openxmlformats.org/package/2006/relationships"><Relationship Id="rId8" Type="http://schemas.openxmlformats.org/officeDocument/2006/relationships/hyperlink" Target="https://github.com/ClinicalTrialOntology/CTO/" TargetMode="External"/><Relationship Id="rId3" Type="http://schemas.openxmlformats.org/officeDocument/2006/relationships/hyperlink" Target="https://hl7.org/FHIR/measure.html" TargetMode="External"/><Relationship Id="rId7" Type="http://schemas.openxmlformats.org/officeDocument/2006/relationships/hyperlink" Target="https://ddialliance.org/" TargetMode="External"/><Relationship Id="rId2" Type="http://schemas.openxmlformats.org/officeDocument/2006/relationships/hyperlink" Target="https://hl7.org/FHIR/provenance.html" TargetMode="External"/><Relationship Id="rId1" Type="http://schemas.openxmlformats.org/officeDocument/2006/relationships/hyperlink" Target="https://hl7.org/FHIR/consent.html" TargetMode="External"/><Relationship Id="rId6" Type="http://schemas.openxmlformats.org/officeDocument/2006/relationships/hyperlink" Target="https://linkeddata.cochrane.org/linked-data-project/metadata-and-vocabularies" TargetMode="External"/><Relationship Id="rId5" Type="http://schemas.openxmlformats.org/officeDocument/2006/relationships/hyperlink" Target="https://www.snomed.org/news-and-events/articles/snomed-academy-nutrition-dietetics-agreement" TargetMode="External"/><Relationship Id="rId4" Type="http://schemas.openxmlformats.org/officeDocument/2006/relationships/hyperlink" Target="https://www.snomed.org/snomed-ct/five-step-briefing" TargetMode="External"/><Relationship Id="rId9" Type="http://schemas.openxmlformats.org/officeDocument/2006/relationships/hyperlink" Target="http://www.langual.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46366B6115821498F44ABDA06810297" ma:contentTypeVersion="16" ma:contentTypeDescription="Ein neues Dokument erstellen." ma:contentTypeScope="" ma:versionID="1715c0d980bea416d476cbe62d1ddf6a">
  <xsd:schema xmlns:xsd="http://www.w3.org/2001/XMLSchema" xmlns:xs="http://www.w3.org/2001/XMLSchema" xmlns:p="http://schemas.microsoft.com/office/2006/metadata/properties" xmlns:ns2="e3281b33-5e35-47b8-941f-e4cf108953ac" xmlns:ns3="1d551d69-6617-46b6-ad2e-6110e151f9ea" targetNamespace="http://schemas.microsoft.com/office/2006/metadata/properties" ma:root="true" ma:fieldsID="e5b40e3d9e6a771deae56420ce44fb43" ns2:_="" ns3:_="">
    <xsd:import namespace="e3281b33-5e35-47b8-941f-e4cf108953ac"/>
    <xsd:import namespace="1d551d69-6617-46b6-ad2e-6110e151f9e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281b33-5e35-47b8-941f-e4cf108953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2375ea7b-1eef-4e91-915e-32e4cb5a9c3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d551d69-6617-46b6-ad2e-6110e151f9ea"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26344646-d1fd-4fc4-9b55-5cfe4cf54d8f}" ma:internalName="TaxCatchAll" ma:showField="CatchAllData" ma:web="1d551d69-6617-46b6-ad2e-6110e151f9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551d69-6617-46b6-ad2e-6110e151f9ea" xsi:nil="true"/>
    <lcf76f155ced4ddcb4097134ff3c332f xmlns="e3281b33-5e35-47b8-941f-e4cf108953a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F71998A-F71E-4750-A78E-D0A31B6AC9CC}"/>
</file>

<file path=customXml/itemProps2.xml><?xml version="1.0" encoding="utf-8"?>
<ds:datastoreItem xmlns:ds="http://schemas.openxmlformats.org/officeDocument/2006/customXml" ds:itemID="{68185EB9-F1EF-44F4-8BB7-CF58D3C9FF71}"/>
</file>

<file path=customXml/itemProps3.xml><?xml version="1.0" encoding="utf-8"?>
<ds:datastoreItem xmlns:ds="http://schemas.openxmlformats.org/officeDocument/2006/customXml" ds:itemID="{F1B33AB3-1481-4958-901F-0306DD8F75E2}"/>
</file>

<file path=docProps/app.xml><?xml version="1.0" encoding="utf-8"?>
<Properties xmlns="http://schemas.openxmlformats.org/officeDocument/2006/extended-properties" xmlns:vt="http://schemas.openxmlformats.org/officeDocument/2006/docPropsVTypes">
  <Template>Normal.dotm</Template>
  <TotalTime>0</TotalTime>
  <Pages>6</Pages>
  <Words>1197</Words>
  <Characters>7545</Characters>
  <Application>Microsoft Office Word</Application>
  <DocSecurity>0</DocSecurity>
  <Lines>62</Lines>
  <Paragraphs>17</Paragraphs>
  <ScaleCrop>false</ScaleCrop>
  <Company>Charité Universitaetsmedizin Berlin</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Vorisek, Carina Nina</dc:creator>
  <cp:keywords/>
  <dc:description/>
  <cp:lastModifiedBy>Vorisek, Carina Nina</cp:lastModifiedBy>
  <cp:revision>1</cp:revision>
  <dcterms:created xsi:type="dcterms:W3CDTF">2022-10-10T10:14:00Z</dcterms:created>
  <dcterms:modified xsi:type="dcterms:W3CDTF">2022-10-10T10:15:00Z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0x010100446366B6115821498F44ABDA06810297</vt:lpwstr>
  </property>
</Properties>
</file>