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numPr>
          <w:ilvl w:val="0"/>
          <w:numId w:val="7"/>
        </w:numPr>
      </w:pPr>
      <w:r>
        <w:t>Definições</w:t>
      </w:r>
    </w:p>
    <w:p>
      <w:pPr>
        <w:pStyle w:val="Normal"/>
      </w:pPr>
      <w:r>
        <w:rPr>
          <w:b w:val="0"/>
        </w:rPr>
        <w:t>Esta Ordem de Serviço, efetiva a partir da última data das assinaturas das partes abaixo (“Data Efetiva da Ordem de Serviço”) aplica-se e está sujeito aos termos do Anexo F - Serviços Profissionais sob Demanda - SOW entre “SFDC” e “Cliente” como definido abaixo.   A SFDC se reserva o direito de rejeitar esta Ordem de Serviço se não for assinada até a Data de Validade fornecida abaixo.</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986"/>
        <w:gridCol w:w="4986"/>
      </w:tblGrid>
      <w:tr>
        <w:tc>
          <w:tcPr>
            <w:tcW w:type="dxa" w:w="4986"/>
          </w:tcPr>
          <w:p>
            <w:r/>
            <w:r>
              <w:rPr>
                <w:b/>
              </w:rPr>
            </w:r>
          </w:p>
        </w:tc>
        <w:tc>
          <w:tcPr>
            <w:tcW w:type="dxa" w:w="4986"/>
          </w:tcPr>
          <w:p>
            <w:r/>
            <w:r>
              <w:rPr>
                <w:b/>
              </w:rPr>
            </w:r>
          </w:p>
        </w:tc>
      </w:tr>
      <w:tr>
        <w:tc>
          <w:tcPr>
            <w:tcW w:type="dxa" w:w="4986"/>
          </w:tcPr>
          <w:p>
            <w:r/>
            <w:r>
              <w:t>“SFDC”</w:t>
            </w:r>
          </w:p>
        </w:tc>
        <w:tc>
          <w:tcPr>
            <w:tcW w:type="dxa" w:w="4986"/>
          </w:tcPr>
          <w:p>
            <w:r/>
            <w:r>
              <w:t>Salesforce Tecnologia Ltda.</w:t>
            </w:r>
          </w:p>
        </w:tc>
      </w:tr>
      <w:tr>
        <w:tc>
          <w:tcPr>
            <w:tcW w:type="dxa" w:w="4986"/>
          </w:tcPr>
          <w:p>
            <w:r/>
            <w:r>
              <w:t>"Cliente"</w:t>
            </w:r>
          </w:p>
        </w:tc>
        <w:tc>
          <w:tcPr>
            <w:tcW w:type="dxa" w:w="4986"/>
          </w:tcPr>
          <w:p>
            <w:r/>
            <w:r>
              <w:t>EMPRESA DE TECNOLOGIA E INFORMACOES DA PREVIDENCIA S.A. - DATAPREV</w:t>
            </w:r>
          </w:p>
        </w:tc>
      </w:tr>
      <w:tr>
        <w:tc>
          <w:tcPr>
            <w:tcW w:type="dxa" w:w="4986"/>
          </w:tcPr>
          <w:p>
            <w:r/>
            <w:r>
              <w:t>Endereço do Cliente</w:t>
            </w:r>
          </w:p>
        </w:tc>
        <w:tc>
          <w:tcPr>
            <w:tcW w:type="dxa" w:w="4986"/>
          </w:tcPr>
          <w:p>
            <w:r/>
            <w:r>
              <w:t>ST DE AUTARQUIAS SUL, QUADRA, 01, BLOCOS E/F - PARTE, BRASÍLIA, DF, 70.070-935, BR</w:t>
            </w:r>
          </w:p>
        </w:tc>
      </w:tr>
      <w:tr>
        <w:tc>
          <w:tcPr>
            <w:tcW w:type="dxa" w:w="4986"/>
          </w:tcPr>
          <w:p>
            <w:r/>
            <w:r>
              <w:t>Gerente de Projetos do Cliente</w:t>
            </w:r>
          </w:p>
        </w:tc>
        <w:tc>
          <w:tcPr>
            <w:tcW w:type="dxa" w:w="4986"/>
          </w:tcPr>
          <w:p>
            <w:r/>
            <w:r>
              <w:t>Saulo Milhomem dos Santos, saulo.dossantos@dataprev.gov.br</w:t>
            </w:r>
          </w:p>
        </w:tc>
      </w:tr>
      <w:tr>
        <w:tc>
          <w:tcPr>
            <w:tcW w:type="dxa" w:w="4986"/>
          </w:tcPr>
          <w:p>
            <w:r/>
            <w:r>
              <w:t>SOW</w:t>
            </w:r>
          </w:p>
        </w:tc>
        <w:tc>
          <w:tcPr>
            <w:tcW w:type="dxa" w:w="4986"/>
          </w:tcPr>
          <w:p>
            <w:r/>
            <w:r>
              <w:t>Anexo F - Serviços Profissionais sob Demanda - SOW</w:t>
            </w:r>
          </w:p>
        </w:tc>
      </w:tr>
      <w:tr>
        <w:tc>
          <w:tcPr>
            <w:tcW w:type="dxa" w:w="4986"/>
          </w:tcPr>
          <w:p>
            <w:r/>
            <w:r>
              <w:t>Ordem de Serviço</w:t>
            </w:r>
          </w:p>
        </w:tc>
        <w:tc>
          <w:tcPr>
            <w:tcW w:type="dxa" w:w="4986"/>
          </w:tcPr>
          <w:p>
            <w:r/>
            <w:r>
              <w:t>OS#008-2026</w:t>
            </w:r>
          </w:p>
        </w:tc>
      </w:tr>
      <w:tr>
        <w:tc>
          <w:tcPr>
            <w:tcW w:type="dxa" w:w="4986"/>
          </w:tcPr>
          <w:p>
            <w:r/>
            <w:r>
              <w:t>Data de Validade da Ordem de Serviço</w:t>
            </w:r>
          </w:p>
        </w:tc>
        <w:tc>
          <w:tcPr>
            <w:tcW w:type="dxa" w:w="4986"/>
          </w:tcPr>
          <w:p>
            <w:r/>
            <w:r>
              <w:t>30/09/2026</w:t>
            </w:r>
          </w:p>
        </w:tc>
      </w:tr>
    </w:tbl>
    <w:p>
      <w:pPr>
        <w:pStyle w:val="Normal"/>
      </w:pPr>
      <w:r>
        <w:rPr>
          <w:b w:val="0"/>
        </w:rPr>
        <w:t>Na hipótese de, ao esgotarem as horas de Serviços Profissionais sob Demanda e/ou valores autorizados sob esta Ordem de Serviço, Serviços Profissionais sob Demanda adicionais sejam necessários para o progresso do projeto, as partes executarão um Pedido(s) de Alteração para continuidade dos Serviços Profissionais sob Demanda.</w:t>
      </w:r>
    </w:p>
    <w:p>
      <w:pPr>
        <w:pStyle w:val="Heading1"/>
        <w:numPr>
          <w:ilvl w:val="0"/>
          <w:numId w:val="7"/>
        </w:numPr>
      </w:pPr>
      <w:r>
        <w:t>Sumário da Ordem de Serviço</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93"/>
        <w:gridCol w:w="2493"/>
        <w:gridCol w:w="2493"/>
        <w:gridCol w:w="2493"/>
      </w:tblGrid>
      <w:tr>
        <w:tc>
          <w:tcPr>
            <w:tcW w:type="dxa" w:w="2493"/>
          </w:tcPr>
          <w:p>
            <w:r/>
            <w:r>
              <w:rPr>
                <w:b/>
              </w:rPr>
              <w:t>Ordem de Serviço</w:t>
            </w:r>
          </w:p>
        </w:tc>
        <w:tc>
          <w:tcPr>
            <w:tcW w:type="dxa" w:w="2493"/>
          </w:tcPr>
          <w:p>
            <w:r/>
            <w:r>
              <w:rPr>
                <w:b/>
              </w:rPr>
              <w:t>Horas Estimadas</w:t>
            </w:r>
          </w:p>
        </w:tc>
        <w:tc>
          <w:tcPr>
            <w:tcW w:type="dxa" w:w="2493"/>
          </w:tcPr>
          <w:p>
            <w:r/>
            <w:r>
              <w:rPr>
                <w:b/>
              </w:rPr>
              <w:t>Valores Estimados de Serviços Profissionais</w:t>
            </w:r>
          </w:p>
        </w:tc>
        <w:tc>
          <w:tcPr>
            <w:tcW w:type="dxa" w:w="2493"/>
          </w:tcPr>
          <w:p>
            <w:r/>
            <w:r>
              <w:rPr>
                <w:b/>
              </w:rPr>
              <w:t>Valores Estimados de Serviços Profissionais</w:t>
            </w:r>
          </w:p>
        </w:tc>
      </w:tr>
      <w:tr>
        <w:tc>
          <w:tcPr>
            <w:tcW w:type="dxa" w:w="2493"/>
          </w:tcPr>
          <w:p>
            <w:r/>
            <w:r>
              <w:t>OS#008-2026</w:t>
            </w:r>
          </w:p>
        </w:tc>
        <w:tc>
          <w:tcPr>
            <w:tcW w:type="dxa" w:w="2493"/>
          </w:tcPr>
          <w:p>
            <w:r/>
            <w:r>
              <w:t>5.000</w:t>
            </w:r>
          </w:p>
        </w:tc>
        <w:tc>
          <w:tcPr>
            <w:tcW w:type="dxa" w:w="2493"/>
          </w:tcPr>
          <w:p>
            <w:r/>
            <w:r>
              <w:t>R$ 3.652.561,00</w:t>
            </w:r>
          </w:p>
        </w:tc>
        <w:tc>
          <w:tcPr>
            <w:tcW w:type="dxa" w:w="2493"/>
          </w:tcPr>
          <w:p>
            <w:r/>
            <w:r>
              <w:t>R$ 3.652.561,00</w:t>
            </w:r>
          </w:p>
        </w:tc>
      </w:tr>
      <w:tr>
        <w:tc>
          <w:tcPr>
            <w:tcW w:type="dxa" w:w="2493"/>
          </w:tcPr>
          <w:p>
            <w:r/>
            <w:r>
              <w:t>Subtotal de Valores Estimados de Serviços Profissionais</w:t>
            </w:r>
          </w:p>
        </w:tc>
        <w:tc>
          <w:tcPr>
            <w:tcW w:type="dxa" w:w="2493"/>
          </w:tcPr>
          <w:p>
            <w:r/>
            <w:r/>
          </w:p>
        </w:tc>
        <w:tc>
          <w:tcPr>
            <w:tcW w:type="dxa" w:w="2493"/>
          </w:tcPr>
          <w:p>
            <w:r/>
            <w:r/>
          </w:p>
        </w:tc>
        <w:tc>
          <w:tcPr>
            <w:tcW w:type="dxa" w:w="2493"/>
          </w:tcPr>
          <w:p>
            <w:r/>
            <w:r>
              <w:t>R$ 3.652.561,00</w:t>
            </w:r>
          </w:p>
        </w:tc>
      </w:tr>
      <w:tr>
        <w:tc>
          <w:tcPr>
            <w:tcW w:type="dxa" w:w="2493"/>
          </w:tcPr>
          <w:p>
            <w:r/>
            <w:r>
              <w:t>Taxa de imposto a partir da data de vigência</w:t>
            </w:r>
          </w:p>
        </w:tc>
        <w:tc>
          <w:tcPr>
            <w:tcW w:type="dxa" w:w="2493"/>
          </w:tcPr>
          <w:p>
            <w:r/>
            <w:r/>
          </w:p>
        </w:tc>
        <w:tc>
          <w:tcPr>
            <w:tcW w:type="dxa" w:w="2493"/>
          </w:tcPr>
          <w:p>
            <w:r/>
            <w:r/>
          </w:p>
        </w:tc>
        <w:tc>
          <w:tcPr>
            <w:tcW w:type="dxa" w:w="2493"/>
          </w:tcPr>
          <w:p>
            <w:r/>
            <w:r>
              <w:t>6,55%</w:t>
            </w:r>
          </w:p>
        </w:tc>
      </w:tr>
      <w:tr>
        <w:tc>
          <w:tcPr>
            <w:tcW w:type="dxa" w:w="2493"/>
          </w:tcPr>
          <w:p>
            <w:r/>
            <w:r>
              <w:t>Imposto Estimado</w:t>
            </w:r>
          </w:p>
        </w:tc>
        <w:tc>
          <w:tcPr>
            <w:tcW w:type="dxa" w:w="2493"/>
          </w:tcPr>
          <w:p>
            <w:r/>
            <w:r/>
          </w:p>
        </w:tc>
        <w:tc>
          <w:tcPr>
            <w:tcW w:type="dxa" w:w="2493"/>
          </w:tcPr>
          <w:p>
            <w:r/>
            <w:r/>
          </w:p>
        </w:tc>
        <w:tc>
          <w:tcPr>
            <w:tcW w:type="dxa" w:w="2493"/>
          </w:tcPr>
          <w:p>
            <w:r/>
            <w:r>
              <w:t>R$ 256.011,49</w:t>
            </w:r>
          </w:p>
        </w:tc>
      </w:tr>
      <w:tr>
        <w:tc>
          <w:tcPr>
            <w:tcW w:type="dxa" w:w="2493"/>
          </w:tcPr>
          <w:p>
            <w:r/>
            <w:r>
              <w:rPr>
                <w:b/>
              </w:rPr>
              <w:t>Total Estimado com Impostos</w:t>
            </w:r>
          </w:p>
        </w:tc>
        <w:tc>
          <w:tcPr>
            <w:tcW w:type="dxa" w:w="2493"/>
          </w:tcPr>
          <w:p>
            <w:r/>
            <w:r/>
          </w:p>
        </w:tc>
        <w:tc>
          <w:tcPr>
            <w:tcW w:type="dxa" w:w="2493"/>
          </w:tcPr>
          <w:p>
            <w:r/>
            <w:r/>
          </w:p>
        </w:tc>
        <w:tc>
          <w:tcPr>
            <w:tcW w:type="dxa" w:w="2493"/>
          </w:tcPr>
          <w:p>
            <w:r/>
            <w:r>
              <w:t>R$ 3.908.572,49</w:t>
            </w:r>
          </w:p>
        </w:tc>
      </w:tr>
    </w:tbl>
    <w:p>
      <w:pPr>
        <w:pStyle w:val="Normal"/>
      </w:pPr>
      <w:r>
        <w:rPr>
          <w:b w:val="0"/>
        </w:rPr>
        <w:t>As despesas de Viagens e Estadia (T&amp;E) estão estimadas em R$ 160.000,00 e não estão incluídas nos valores de Serviços Profissionais acima. As T&amp;Es, quando aplicáveis, serão faturadas separadamente e reembolsadas pelo Cliente de acordo com a política de Viagens e Despesas da Salesforce, mediante aprovação prévia por escrito.</w:t>
      </w:r>
    </w:p>
    <w:p>
      <w:pPr>
        <w:pStyle w:val="Heading1"/>
        <w:numPr>
          <w:ilvl w:val="0"/>
          <w:numId w:val="7"/>
        </w:numPr>
      </w:pPr>
      <w:r>
        <w:t>Descrição da Ordem de Serviço</w:t>
      </w:r>
    </w:p>
    <w:p>
      <w:pPr>
        <w:pStyle w:val="Heading2"/>
        <w:numPr>
          <w:ilvl w:val="1"/>
          <w:numId w:val="7"/>
        </w:numPr>
      </w:pPr>
      <w:r>
        <w:t>Escopo</w:t>
      </w:r>
    </w:p>
    <w:p>
      <w:pPr>
        <w:pStyle w:val="Normal"/>
      </w:pPr>
      <w:r>
        <w:rPr>
          <w:b w:val="0"/>
        </w:rPr>
        <w:t>O Cliente solicitou a execução do seguinte escopo na Ordem de Serviço definida na Seção 1 acima. Esta Ordem de Serviço tem por objeto a implementação do Marketplace do PAT (Programa de Alimentação do Trabalhador), plataforma que operacionaliza a contratação de facilitadoras por beneficiárias, o credenciamento de estabelecimentos, o ciclo de folha e repasse financeiro e a camada de integração corporativa, em conformidade com o Decreto 12.712/2025 e o marco regulatório de entrada em vigor.</w:t>
      </w:r>
    </w:p>
    <w:p>
      <w:pPr>
        <w:pStyle w:val="Heading3"/>
        <w:numPr>
          <w:ilvl w:val="2"/>
          <w:numId w:val="7"/>
        </w:numPr>
      </w:pPr>
      <w:r>
        <w:t>Serviços de Implementação Salesforce — Marketplace do PAT</w:t>
      </w:r>
    </w:p>
    <w:p>
      <w:pPr>
        <w:pStyle w:val="Normal"/>
      </w:pPr>
      <w:r>
        <w:rPr>
          <w:b w:val="0"/>
        </w:rPr>
        <w:t>Sujeito aos termos desta Ordem de Serviço e do Contrato firmado entre a SFDC e o Cliente (ou uma afiliada do Cliente) em 25 de Novembro de 2025, a SFDC fornecerá os Serviços Profissionais sob Demanda estabelecidos abaixo, implementando sobre Sales Cloud e Experience Cloud, com objetos nativos sempre que possível, as capacidades de negócio do Marketplace do PAT mapeadas com a Dataprev na etapa de planejamento do projeto, sobre uma instância Salesforce dedicada e apartada.</w:t>
      </w:r>
    </w:p>
    <w:p>
      <w:pPr>
        <w:pStyle w:val="Normal"/>
      </w:pPr>
      <w:r>
        <w:rPr>
          <w:b/>
        </w:rPr>
        <w:t>Portal e Identidade gov.br</w:t>
      </w:r>
    </w:p>
    <w:p>
      <w:pPr>
        <w:pStyle w:val="Normal"/>
        <w:ind w:left="360"/>
      </w:pPr>
      <w:r>
        <w:t>•  Fundação do portal em Experience Cloud com autenticação gov.br (OpenID Connect), procuração digital e fluxo de “representar empresa”.</w:t>
      </w:r>
    </w:p>
    <w:p>
      <w:pPr>
        <w:pStyle w:val="Normal"/>
        <w:ind w:left="360"/>
      </w:pPr>
      <w:r>
        <w:t>•  Navegação, perfis e controle de acesso da beneficiária e do estabelecimento no portal.</w:t>
      </w:r>
    </w:p>
    <w:p>
      <w:pPr>
        <w:pStyle w:val="Normal"/>
      </w:pPr>
      <w:r>
        <w:rPr>
          <w:b/>
        </w:rPr>
        <w:t>Marketplace de Cotação e Contratação</w:t>
      </w:r>
    </w:p>
    <w:p>
      <w:pPr>
        <w:pStyle w:val="Normal"/>
        <w:ind w:left="360"/>
      </w:pPr>
      <w:r>
        <w:t>•  Cadastro da demanda pela beneficiária como Oportunidade nativa (nº de funcionários, valor, vigência, distribuição por UF, recursos obrigatórios).</w:t>
      </w:r>
    </w:p>
    <w:p>
      <w:pPr>
        <w:pStyle w:val="Normal"/>
        <w:ind w:left="360"/>
      </w:pPr>
      <w:r>
        <w:t>•  Recepção das propostas das facilitadoras como Cotações nativas, exclusivamente via API (a facilitadora não acessa a plataforma).</w:t>
      </w:r>
    </w:p>
    <w:p>
      <w:pPr>
        <w:pStyle w:val="Normal"/>
        <w:ind w:left="360"/>
      </w:pPr>
      <w:r>
        <w:t>•  Tela de comparação de propostas para a beneficiária, com trava de seleção até o fechamento da janela de vigência e máquina de estados até o contrato firmado.</w:t>
      </w:r>
    </w:p>
    <w:p>
      <w:pPr>
        <w:pStyle w:val="Normal"/>
        <w:ind w:left="360"/>
      </w:pPr>
      <w:r>
        <w:t>•  Registro do contrato firmado por upload de arquivo imutável com metadados e versões (aditivos/renovações), sem ferramenta de contract lifecycle management nesta fase.</w:t>
      </w:r>
    </w:p>
    <w:p>
      <w:pPr>
        <w:pStyle w:val="Normal"/>
        <w:ind w:left="360"/>
      </w:pPr>
      <w:r>
        <w:t>•  Termo de aceite pós-contrato com classificação de trabalhadores por faixa salarial por CNPJ e distribuição matriz/filial, integrado ao Novo PAT.</w:t>
      </w:r>
    </w:p>
    <w:p>
      <w:pPr>
        <w:pStyle w:val="Normal"/>
      </w:pPr>
      <w:r>
        <w:rPr>
          <w:b/>
        </w:rPr>
        <w:t>Folha &amp; Financeiro</w:t>
      </w:r>
    </w:p>
    <w:p>
      <w:pPr>
        <w:pStyle w:val="Normal"/>
        <w:ind w:left="360"/>
      </w:pPr>
      <w:r>
        <w:t>•  Recepção da folha da competência por upload (portal ou API), com validação de layout e integridade do arquivo.</w:t>
      </w:r>
    </w:p>
    <w:p>
      <w:pPr>
        <w:pStyle w:val="Normal"/>
        <w:ind w:left="360"/>
      </w:pPr>
      <w:r>
        <w:t>•  Disponibilização da folha para download pela facilitadora e recepção via API do status “processado” e do valor a pagar.</w:t>
      </w:r>
    </w:p>
    <w:p>
      <w:pPr>
        <w:pStyle w:val="Normal"/>
        <w:ind w:left="360"/>
      </w:pPr>
      <w:r>
        <w:t>•  Orquestração da boletagem junto ao gateway externo (conta custódia), recepção do boleto registrado e disponibilização à beneficiária.</w:t>
      </w:r>
    </w:p>
    <w:p>
      <w:pPr>
        <w:pStyle w:val="Normal"/>
        <w:ind w:left="360"/>
      </w:pPr>
      <w:r>
        <w:t>•  Conciliação por casamento a partir das movimentações bancárias recebidas em lote incremental via agendamento no MuleSoft.</w:t>
      </w:r>
    </w:p>
    <w:p>
      <w:pPr>
        <w:pStyle w:val="Normal"/>
        <w:ind w:left="360"/>
      </w:pPr>
      <w:r>
        <w:t>•  Motor de regras de cálculo de split: cálculo do repasse à facilitadora e demais empresas, emissão da boletagem e registro do racional completo (datas, split, ordens de transferência).</w:t>
      </w:r>
    </w:p>
    <w:p>
      <w:pPr>
        <w:pStyle w:val="Normal"/>
      </w:pPr>
      <w:r>
        <w:rPr>
          <w:b w:val="0"/>
        </w:rPr>
        <w:t>Fronteira financeira: o Salesforce é o motor de regras de split (calcula, aplica, emite boletagem, orquestra, concilia e registra o racional). A execução das transações bancárias e a custódia são de responsabilidade exclusiva do gateway externo, fora do escopo Salesforce.</w:t>
      </w:r>
    </w:p>
    <w:p>
      <w:pPr>
        <w:pStyle w:val="Normal"/>
      </w:pPr>
      <w:r>
        <w:rPr>
          <w:b/>
        </w:rPr>
        <w:t>Credenciamento de Estabelecimentos</w:t>
      </w:r>
    </w:p>
    <w:p>
      <w:pPr>
        <w:pStyle w:val="Normal"/>
        <w:ind w:left="360"/>
      </w:pPr>
      <w:r>
        <w:t>•  Cadastro unificado de estabelecimentos via gov.br PJ, mantendo o papel legal das facilitadoras de aprovar e descredenciar.</w:t>
      </w:r>
    </w:p>
    <w:p>
      <w:pPr>
        <w:pStyle w:val="Normal"/>
        <w:ind w:left="360"/>
      </w:pPr>
      <w:r>
        <w:t>•  Esteira de análise do Analista MTE: análise documento a documento, parecer (Deferido / Exigência complementar / Indeferido) e trilha de auditoria.</w:t>
      </w:r>
    </w:p>
    <w:p>
      <w:pPr>
        <w:pStyle w:val="Normal"/>
        <w:ind w:left="360"/>
      </w:pPr>
      <w:r>
        <w:t>•  Fluxo automatizado de validação com transbordo humano para exceções, incluindo renovação e alertas de expiração de documentos e licenças.</w:t>
      </w:r>
    </w:p>
    <w:p>
      <w:pPr>
        <w:pStyle w:val="Normal"/>
      </w:pPr>
      <w:r>
        <w:rPr>
          <w:b/>
        </w:rPr>
        <w:t>Migração e Carga Inicial de Cadastros</w:t>
      </w:r>
    </w:p>
    <w:p>
      <w:pPr>
        <w:pStyle w:val="Normal"/>
        <w:ind w:left="360"/>
      </w:pPr>
      <w:r>
        <w:t>•  Carga inicial de cadastros de beneficiárias, facilitadoras e estabelecimentos a partir do Novo PAT / bases MTE, com foco em qualidade, deduplicação e referências não sensíveis. O Novo PAT permanece como sistema de registro.</w:t>
      </w:r>
    </w:p>
    <w:p>
      <w:pPr>
        <w:pStyle w:val="Normal"/>
      </w:pPr>
      <w:r>
        <w:rPr>
          <w:b/>
        </w:rPr>
        <w:t>Segurança, Residência de Dados e Conformidade</w:t>
      </w:r>
    </w:p>
    <w:p>
      <w:pPr>
        <w:pStyle w:val="Normal"/>
        <w:ind w:left="360"/>
      </w:pPr>
      <w:r>
        <w:t>•  Modelo de dados com referências tokenizadas: CPF e dados sensíveis não persistem na nuvem Salesforce, resolvidos em tempo de execução via API.</w:t>
      </w:r>
    </w:p>
    <w:p>
      <w:pPr>
        <w:pStyle w:val="Normal"/>
        <w:ind w:left="360"/>
      </w:pPr>
      <w:r>
        <w:t>•  Instância Salesforce dedicada e apartada para o MTE/PAT, isolada das demais orgs de clientes da Dataprev.</w:t>
      </w:r>
    </w:p>
    <w:p>
      <w:pPr>
        <w:pStyle w:val="Normal"/>
        <w:ind w:left="360"/>
      </w:pPr>
      <w:r>
        <w:t>•  Observabilidade, trilha de auditoria imutável do acesso a dado sensível e mascaramento de CPF nos logs, em conformidade com a LGPD (Art. 11).</w:t>
      </w:r>
    </w:p>
    <w:p>
      <w:pPr>
        <w:pStyle w:val="Normal"/>
      </w:pPr>
      <w:r>
        <w:rPr>
          <w:b/>
        </w:rPr>
        <w:t>Premissas de Escopo Salesforce</w:t>
      </w:r>
    </w:p>
    <w:p>
      <w:pPr>
        <w:pStyle w:val="Normal"/>
        <w:ind w:left="360"/>
      </w:pPr>
      <w:r>
        <w:t>•  O escopo pode ser limitado pela complexidade dos requisitos técnicos e modelos de dados do Cliente, bem como pela funcionalidade e recursos da Aplicação.</w:t>
      </w:r>
    </w:p>
    <w:p>
      <w:pPr>
        <w:pStyle w:val="Normal"/>
        <w:ind w:left="360"/>
      </w:pPr>
      <w:r>
        <w:t>•  Os recursos padrão serão usados sempre que for razoavelmente possível.</w:t>
      </w:r>
    </w:p>
    <w:p>
      <w:pPr>
        <w:pStyle w:val="Normal"/>
        <w:ind w:left="360"/>
      </w:pPr>
      <w:r>
        <w:t>•  A configuração cliques sem Código será usada sempre que for razoavelmente possível.</w:t>
      </w:r>
    </w:p>
    <w:p>
      <w:pPr>
        <w:pStyle w:val="Normal"/>
        <w:ind w:left="360"/>
      </w:pPr>
      <w:r>
        <w:t>•  Código personalizado será usado somente se a SFDC considerar necessário.</w:t>
      </w:r>
    </w:p>
    <w:p>
      <w:pPr>
        <w:pStyle w:val="Normal"/>
        <w:ind w:left="360"/>
      </w:pPr>
      <w:r>
        <w:t>•  O escopo assume um único idioma e uma única moeda, conforme aplicável.</w:t>
      </w:r>
    </w:p>
    <w:p>
      <w:pPr>
        <w:pStyle w:val="Normal"/>
        <w:ind w:left="360"/>
      </w:pPr>
      <w:r>
        <w:t>•  O Cliente provisionou as licenças necessárias para as Clouds envolvidas na solução; a versão de licença de portal da beneficiária será confirmada em tempo de projeto.</w:t>
      </w:r>
    </w:p>
    <w:p>
      <w:pPr>
        <w:pStyle w:val="Heading3"/>
        <w:numPr>
          <w:ilvl w:val="2"/>
          <w:numId w:val="7"/>
        </w:numPr>
      </w:pPr>
      <w:r>
        <w:t>Serviço de Implementação MuleSoft</w:t>
      </w:r>
    </w:p>
    <w:p>
      <w:pPr>
        <w:pStyle w:val="Normal"/>
      </w:pPr>
      <w:r>
        <w:rPr>
          <w:b w:val="0"/>
        </w:rPr>
        <w:t>Um dos objetivos do projeto com esta OS é estabelecer a camada de conectividade segura e governada necessária para suportar os serviços do Marketplace do PAT, garantindo a interoperabilidade com o ecossistema de dados corporativo. O MuleSoft será implantado on-premise na infraestrutura soberana da Dataprev, atuando como ponto de de-tokenização do CPF dentro do perímetro seguro.</w:t>
      </w:r>
    </w:p>
    <w:p>
      <w:pPr>
        <w:pStyle w:val="Normal"/>
      </w:pPr>
      <w:r>
        <w:rPr>
          <w:b/>
        </w:rPr>
        <w:t>Conectividade e Orquestração de Serviços (API-Led Connectivity)</w:t>
      </w:r>
    </w:p>
    <w:p>
      <w:pPr>
        <w:pStyle w:val="Normal"/>
        <w:ind w:left="360"/>
      </w:pPr>
      <w:r>
        <w:t>•  Implementação de APIs seguindo a abordagem API-Led Connectivity (System, Process e Experience APIs) para conectar os serviços críticos do projeto.</w:t>
      </w:r>
    </w:p>
    <w:p>
      <w:pPr>
        <w:pStyle w:val="Normal"/>
        <w:ind w:left="360"/>
      </w:pPr>
      <w:r>
        <w:t>•  Integração de Identidade (gov.br): orquestração da autenticação e autorização de usuários via gov.br, garantindo acesso seguro ao portal.</w:t>
      </w:r>
    </w:p>
    <w:p>
      <w:pPr>
        <w:pStyle w:val="Normal"/>
        <w:ind w:left="360"/>
      </w:pPr>
      <w:r>
        <w:t>•  Integração com o Novo PAT, gov.br/Geride, CTPS Digital, eSocial, SDC e INIS PJ/Kinis PJ (origem do termo de aceite).</w:t>
      </w:r>
    </w:p>
    <w:p>
      <w:pPr>
        <w:pStyle w:val="Normal"/>
        <w:ind w:left="360"/>
      </w:pPr>
      <w:r>
        <w:t>•  Integração com o gateway/banco custódia: envio da boletagem com split e do valor a pagar; recepção do boleto registrado e das movimentações bancárias em lote incremental via agendamento.</w:t>
      </w:r>
    </w:p>
    <w:p>
      <w:pPr>
        <w:pStyle w:val="Normal"/>
        <w:ind w:left="360"/>
      </w:pPr>
      <w:r>
        <w:t>•  Integração com as APIs das facilitadoras: recepção de Cotações/propostas e devolução de processado + valor, além da exposição de um endpoint de consulta das demandas/leilões abertos na vigência (modelo pull na Fase 1).</w:t>
      </w:r>
    </w:p>
    <w:p>
      <w:pPr>
        <w:pStyle w:val="Normal"/>
        <w:ind w:left="360"/>
      </w:pPr>
      <w:r>
        <w:t>•  API para a adquirente consultar o status de credenciamento do estabelecimento antes de processar transações; validação por CNPJ com client credentials flow, connected app com escopo restrito, validação de token com rate limit e cache.</w:t>
      </w:r>
    </w:p>
    <w:p>
      <w:pPr>
        <w:pStyle w:val="Normal"/>
      </w:pPr>
      <w:r>
        <w:rPr>
          <w:b/>
        </w:rPr>
        <w:t>Premissas do Escopo MuleSoft</w:t>
      </w:r>
    </w:p>
    <w:p>
      <w:pPr>
        <w:pStyle w:val="Normal"/>
        <w:ind w:left="360"/>
      </w:pPr>
      <w:r>
        <w:t>•  Disponibilidade de APIs de origem: o Cliente ou terceiros responsáveis deverão fornecer a documentação técnica (Swagger/OpenAPI), credenciais e ambientes de teste antes do início do desenvolvimento. Como o Novo PAT não dispõe de API hoje, adota-se abordagem mock-first para desbloquear o desenvolvimento.</w:t>
      </w:r>
    </w:p>
    <w:p>
      <w:pPr>
        <w:pStyle w:val="Normal"/>
        <w:ind w:left="360"/>
      </w:pPr>
      <w:r>
        <w:t>•  Infraestrutura e conectividade: o Cliente é responsável pela conectividade de rede (VPN, VPC Peering, whitelisting de IPs) entre o ambiente MuleSoft on-premise e os backends da Dataprev e de terceiros.</w:t>
      </w:r>
    </w:p>
    <w:p>
      <w:pPr>
        <w:pStyle w:val="Normal"/>
        <w:ind w:left="360"/>
      </w:pPr>
      <w:r>
        <w:t>•  Qualidade das APIs: a viabilidade da integração depende da prontidão, qualidade e estabilidade dos pontos de extremidade, de responsabilidade do Cliente.</w:t>
      </w:r>
    </w:p>
    <w:p>
      <w:pPr>
        <w:pStyle w:val="Heading3"/>
        <w:numPr>
          <w:ilvl w:val="2"/>
          <w:numId w:val="7"/>
        </w:numPr>
      </w:pPr>
      <w:r>
        <w:t>Serviço de Implementação Tableau</w:t>
      </w:r>
    </w:p>
    <w:p>
      <w:pPr>
        <w:pStyle w:val="Normal"/>
      </w:pPr>
      <w:r>
        <w:rPr>
          <w:b w:val="0"/>
        </w:rPr>
        <w:t>Um dos objetivos do projeto com esta OS é a implementação de painéis analíticos sobre a instalação Tableau existente do Cliente (Tableau Server/Cloud já provisionado, sem aprovisionamento de infraestrutura), oferecendo visibilidade sobre a operação do Marketplace do PAT. Esta frente é paralela e não integra o caminho crítico do marco regulatório.</w:t>
      </w:r>
    </w:p>
    <w:p>
      <w:pPr>
        <w:pStyle w:val="Normal"/>
      </w:pPr>
      <w:r>
        <w:rPr>
          <w:b/>
        </w:rPr>
        <w:t>Levantamento, Modelagem e Desenvolvimento de Painéis</w:t>
      </w:r>
    </w:p>
    <w:p>
      <w:pPr>
        <w:pStyle w:val="Normal"/>
        <w:ind w:left="360"/>
      </w:pPr>
      <w:r>
        <w:t>•  Workshops com as áreas de negócio e tecnologia do Cliente para mapeamento das necessidades analíticas e definição das métricas e KPIs.</w:t>
      </w:r>
    </w:p>
    <w:p>
      <w:pPr>
        <w:pStyle w:val="Normal"/>
        <w:ind w:left="360"/>
      </w:pPr>
      <w:r>
        <w:t>•  Mapeamento e validação das fontes de dados, majoritariamente objetos nativos do Salesforce PAT já construídos (marketplace, folha/split, credenciamento) via conector Salesforce, admitindo no máximo um blend leve para volumetria histórica.</w:t>
      </w:r>
    </w:p>
    <w:p>
      <w:pPr>
        <w:pStyle w:val="Normal"/>
        <w:ind w:left="360"/>
      </w:pPr>
      <w:r>
        <w:t>•  Desenvolvimento de até 3 painéis, com até 12 componentes no total entre gráficos e tabelas: Visão Negócio (adesão, volume de cotações, contratos firmados, MDR médio, valores repassados); Visão Projeto (saúde da entrega, marcos, backlog, incidentes); Visão MTE (indicadores institucionais e regulatórios).</w:t>
      </w:r>
    </w:p>
    <w:p>
      <w:pPr>
        <w:pStyle w:val="Normal"/>
        <w:ind w:left="360"/>
      </w:pPr>
      <w:r>
        <w:t>•  Segurança por audiência: um modelo de dados com segurança em nível de linha por perfil (user filters) e três layouts de painel.</w:t>
      </w:r>
    </w:p>
    <w:p>
      <w:pPr>
        <w:pStyle w:val="Normal"/>
        <w:ind w:left="360"/>
      </w:pPr>
      <w:r>
        <w:t>•  Testes e validação com o Cliente, treinamento de administradores e usuários-chave e documentação de atualização, filtragem e exportação de dados.</w:t>
      </w:r>
    </w:p>
    <w:p>
      <w:pPr>
        <w:pStyle w:val="Normal"/>
      </w:pPr>
      <w:r>
        <w:rPr>
          <w:b/>
        </w:rPr>
        <w:t>Premissas do Escopo Tableau</w:t>
      </w:r>
    </w:p>
    <w:p>
      <w:pPr>
        <w:pStyle w:val="Normal"/>
        <w:ind w:left="360"/>
      </w:pPr>
      <w:r>
        <w:t>•  O Cliente disponibilizará acesso às fontes de dados e à instalação Tableau existente durante toda a execução do projeto.</w:t>
      </w:r>
    </w:p>
    <w:p>
      <w:pPr>
        <w:pStyle w:val="Normal"/>
        <w:ind w:left="360"/>
      </w:pPr>
      <w:r>
        <w:t>•  Os requisitos analíticos serão levantados e validados em sessões de workshop com as áreas de negócio e tecnologia.</w:t>
      </w:r>
    </w:p>
    <w:p>
      <w:pPr>
        <w:pStyle w:val="Normal"/>
        <w:ind w:left="360"/>
      </w:pPr>
      <w:r>
        <w:t>•  A qualidade e completude dos dados de origem, bem como as licenças da ferramenta de visualização, são de responsabilidade do Cliente.</w:t>
      </w:r>
    </w:p>
    <w:p>
      <w:pPr>
        <w:pStyle w:val="Normal"/>
        <w:ind w:left="360"/>
      </w:pPr>
      <w:r>
        <w:t>•  A habilitação e o acesso da audiência MTE aos painéis são de responsabilidade do Cliente.</w:t>
      </w:r>
    </w:p>
    <w:p>
      <w:pPr>
        <w:pStyle w:val="Heading3"/>
        <w:numPr>
          <w:ilvl w:val="2"/>
          <w:numId w:val="7"/>
        </w:numPr>
      </w:pPr>
      <w:r>
        <w:t>Macro Entregas do Projeto</w:t>
      </w:r>
    </w:p>
    <w:p>
      <w:pPr>
        <w:pStyle w:val="Normal"/>
      </w:pPr>
      <w:r>
        <w:rPr>
          <w:b w:val="0"/>
        </w:rPr>
        <w:t>As macro entregas previstas para esta Ordem de Serviço, sujeitas ao refinamento durante as etapas de Definição e Desenho, são:</w:t>
      </w:r>
    </w:p>
    <w:p>
      <w:pPr>
        <w:pStyle w:val="Normal"/>
        <w:ind w:left="360"/>
      </w:pPr>
      <w:r>
        <w:t>•  Portal do Marketplace do PAT com autenticação gov.br e representação de empresa.</w:t>
      </w:r>
    </w:p>
    <w:p>
      <w:pPr>
        <w:pStyle w:val="Normal"/>
        <w:ind w:left="360"/>
      </w:pPr>
      <w:r>
        <w:t>•  Motor de cotação e contratação (leilão reverso) sobre Sales Cloud com objetos nativos, tela de comparação de propostas e termo de aceite.</w:t>
      </w:r>
    </w:p>
    <w:p>
      <w:pPr>
        <w:pStyle w:val="Normal"/>
        <w:ind w:left="360"/>
      </w:pPr>
      <w:r>
        <w:t>•  Ciclo de folha, boletagem e split financeiro, com registro do racional e fronteira definida com o gateway externo.</w:t>
      </w:r>
    </w:p>
    <w:p>
      <w:pPr>
        <w:pStyle w:val="Normal"/>
        <w:ind w:left="360"/>
      </w:pPr>
      <w:r>
        <w:t>•  Credenciamento unificado de estabelecimentos com esteira de análise MTE, renovação e alertas de expiração.</w:t>
      </w:r>
    </w:p>
    <w:p>
      <w:pPr>
        <w:pStyle w:val="Normal"/>
        <w:ind w:left="360"/>
      </w:pPr>
      <w:r>
        <w:t>•  Camada de integração MuleSoft on-premise (API-led) conectando Novo PAT, gov.br, CTPS Digital, eSocial, INIS PJ, gateway e APIs das facilitadoras e adquirentes.</w:t>
      </w:r>
    </w:p>
    <w:p>
      <w:pPr>
        <w:pStyle w:val="Normal"/>
        <w:ind w:left="360"/>
      </w:pPr>
      <w:r>
        <w:t>•  Migração e carga inicial de cadastros de beneficiárias, facilitadoras e estabelecimentos.</w:t>
      </w:r>
    </w:p>
    <w:p>
      <w:pPr>
        <w:pStyle w:val="Normal"/>
        <w:ind w:left="360"/>
      </w:pPr>
      <w:r>
        <w:t>•  Arquitetura de segurança, residência de dados tokenizada e instância dedicada em conformidade com a LGPD.</w:t>
      </w:r>
    </w:p>
    <w:p>
      <w:pPr>
        <w:pStyle w:val="Normal"/>
        <w:ind w:left="360"/>
      </w:pPr>
      <w:r>
        <w:t>•  Painéis analíticos Tableau (Visão Negócio, Visão Projeto e Visão MTE) sobre a instalação existente.</w:t>
      </w:r>
    </w:p>
    <w:p>
      <w:pPr>
        <w:pStyle w:val="Normal"/>
        <w:ind w:left="360"/>
      </w:pPr>
      <w:r>
        <w:t>•  Plano de gestão de mudança e adoção do programa (comunicação, capacitação e materiais de apoio).</w:t>
      </w:r>
    </w:p>
    <w:p>
      <w:pPr>
        <w:pStyle w:val="Heading3"/>
        <w:numPr>
          <w:ilvl w:val="2"/>
          <w:numId w:val="7"/>
        </w:numPr>
      </w:pPr>
      <w:r>
        <w:t>Evidência e Comprovação de Entrega</w:t>
      </w:r>
    </w:p>
    <w:p>
      <w:pPr>
        <w:pStyle w:val="Normal"/>
      </w:pPr>
      <w:r>
        <w:rPr>
          <w:b w:val="0"/>
        </w:rPr>
        <w:t>Caberá à equipe de Serviços Profissionais da Salesforce, através do Gerente de Projetos, a elaboração e apresentação das evidências técnicas que comprovem a plena operabilidade de seus entregáveis. Como evidência técnica será considerado fotos da sequência de telas que comprovam o funcionamento da solução e uma etapa de demonstração ao requisitante.</w:t>
      </w:r>
    </w:p>
    <w:p>
      <w:pPr>
        <w:pStyle w:val="Normal"/>
      </w:pPr>
      <w:r>
        <w:rPr>
          <w:b w:val="0"/>
        </w:rPr>
        <w:t>Adicionalmente, é mandatória a entrega dos artefatos documentais (incluindo, mas não se limitando a, relatórios de testes e atas de homologação) referentes às funcionalidades mapeadas e entregues dentro do contexto e alcance do escopo descritas na sessão 3 desta Ordem de Serviço. A validação formal destas comprovações constitui condição para o processamento do Aceite Final da Ordem de Serviço.</w:t>
      </w:r>
    </w:p>
    <w:p>
      <w:pPr>
        <w:pStyle w:val="Heading3"/>
        <w:numPr>
          <w:ilvl w:val="2"/>
          <w:numId w:val="7"/>
        </w:numPr>
      </w:pPr>
      <w:r>
        <w:t>Premissas Gerais</w:t>
      </w:r>
    </w:p>
    <w:p>
      <w:pPr>
        <w:pStyle w:val="Normal"/>
      </w:pPr>
      <w:r>
        <w:rPr>
          <w:b w:val="0"/>
        </w:rPr>
        <w:t>Para garantir o sucesso e o cumprimento do cronograma deste SOW, aplicam-se as seguintes premissas:</w:t>
      </w:r>
    </w:p>
    <w:p>
      <w:pPr>
        <w:pStyle w:val="Normal"/>
      </w:pPr>
      <w:r>
        <w:rPr>
          <w:b/>
        </w:rPr>
        <w:t>Premissas e Responsabilidades Gerais</w:t>
      </w:r>
    </w:p>
    <w:p>
      <w:pPr>
        <w:pStyle w:val="Normal"/>
        <w:ind w:left="360"/>
      </w:pPr>
      <w:r>
        <w:t>•  O início de cada sprint de desenvolvimento está condicionado à entrega da documentação técnica (Swagger/OpenAPI) e acessos por parte da Dataprev.</w:t>
      </w:r>
    </w:p>
    <w:p>
      <w:pPr>
        <w:pStyle w:val="Normal"/>
        <w:ind w:left="360"/>
      </w:pPr>
      <w:r>
        <w:t>•  Aceite via Dados Sintéticos: o aceite técnico e o faturamento das etapas de integração e automação podem ser feitos via Mock APIs ou dados simulados, caso a integração real sofra atrasos por parte do cliente ou terceiros.</w:t>
      </w:r>
    </w:p>
    <w:p>
      <w:pPr>
        <w:pStyle w:val="Normal"/>
        <w:ind w:left="360"/>
      </w:pPr>
      <w:r>
        <w:t>•  Governança Executiva: estabelecer um comitê quinzenal de alto nível para destravar impedimentos políticos ou técnicos que fujam da alçada do time de projeto.</w:t>
      </w:r>
    </w:p>
    <w:p>
      <w:pPr>
        <w:pStyle w:val="Normal"/>
        <w:ind w:left="360"/>
      </w:pPr>
      <w:r>
        <w:t>•  O escopo pode ser limitado pela complexidade dos requisitos técnicos e modelos de dados do Cliente, bem como pela funcionalidade e recursos da Aplicação.</w:t>
      </w:r>
    </w:p>
    <w:p>
      <w:pPr>
        <w:pStyle w:val="Normal"/>
        <w:ind w:left="360"/>
      </w:pPr>
      <w:r>
        <w:t>•  Os recursos padrão serão usados sempre que for razoavelmente possível.</w:t>
      </w:r>
    </w:p>
    <w:p>
      <w:pPr>
        <w:pStyle w:val="Normal"/>
        <w:ind w:left="360"/>
      </w:pPr>
      <w:r>
        <w:t>•  A configuração cliques sem Código será usada sempre que for razoavelmente possível.</w:t>
      </w:r>
    </w:p>
    <w:p>
      <w:pPr>
        <w:pStyle w:val="Normal"/>
        <w:ind w:left="360"/>
      </w:pPr>
      <w:r>
        <w:t>•  Código personalizado será usado somente se a SFDC considerar necessário.</w:t>
      </w:r>
    </w:p>
    <w:p>
      <w:pPr>
        <w:pStyle w:val="Normal"/>
        <w:ind w:left="360"/>
      </w:pPr>
      <w:r>
        <w:t>•  O escopo assume um único idioma e uma única moeda, conforme aplicável.</w:t>
      </w:r>
    </w:p>
    <w:p>
      <w:pPr>
        <w:pStyle w:val="Normal"/>
        <w:ind w:left="360"/>
      </w:pPr>
      <w:r>
        <w:t>•  É responsabilidade do Cliente fornecer, até o início da fase de Build (Construção), a massa de dados sintética necessária para o 'Cenário de Referência'. Caso estes dados não sejam fornecidos no prazo, a Salesforce utilizará dados genéricos padrão para demonstrar a funcionalidade técnica, o que será considerado suficiente para o aceite final.</w:t>
      </w:r>
    </w:p>
    <w:p>
      <w:pPr>
        <w:pStyle w:val="Normal"/>
        <w:ind w:left="360"/>
      </w:pPr>
      <w:r>
        <w:t>•  Mitigação do Risco de “Demo Produtiva”: se o cliente não fornecer um caso real, a SFDC não pode ser penalizada por não entregar uma resolução de problema real. A SFDC irá entregar a capacidade de resolver.</w:t>
      </w:r>
    </w:p>
    <w:p>
      <w:pPr>
        <w:pStyle w:val="Normal"/>
        <w:ind w:left="360"/>
      </w:pPr>
      <w:r>
        <w:t>•  Infraestrutura: garantir a conectividade de rede e liberação de firewall para que o ambiente Salesforce/MuleSoft acesse os dados On-Premise.</w:t>
      </w:r>
    </w:p>
    <w:p>
      <w:pPr>
        <w:pStyle w:val="Normal"/>
        <w:ind w:left="360"/>
      </w:pPr>
      <w:r>
        <w:t>•  Aprovação e Credenciamento Governamental: o cliente é responsável por gerenciar o trâmite burocrático junto ao provedor de identidade (gov.br). Estima-se um período considerável para a “Aprovação GOVBR”, sendo uma dependência externa que o cliente deve sanar para permitir a configuração técnica.</w:t>
      </w:r>
    </w:p>
    <w:p>
      <w:pPr>
        <w:pStyle w:val="Normal"/>
        <w:ind w:left="360"/>
      </w:pPr>
      <w:r>
        <w:t>•  Definição e Mapeamento de Atributos: o Cliente deve definir quais dados retornados pelo gov.br serão utilizados para criar ou atualizar o usuário no Salesforce, incluindo o mapeamento de atributos (ex.: CPF, Nome, Email) para os campos dos objetos User e Contact.</w:t>
      </w:r>
    </w:p>
    <w:p>
      <w:pPr>
        <w:pStyle w:val="Normal"/>
        <w:ind w:left="360"/>
      </w:pPr>
      <w:r>
        <w:t>•  Validação do Fluxo de Autenticação (SSO): embora a Salesforce configure o protocolo, o cliente é responsável por validar as regras de negócio associadas ao login. Protocolo SAML 2.0: o cliente deve fornecer os metadados necessários e validar a configuração do Single Sign-On no Experience Cloud.</w:t>
      </w:r>
    </w:p>
    <w:p>
      <w:pPr>
        <w:pStyle w:val="Normal"/>
        <w:ind w:left="360"/>
      </w:pPr>
      <w:r>
        <w:t>•  O Cliente é responsável pela criação, documentação e manutenção das APIs de seus sistemas legados.</w:t>
      </w:r>
    </w:p>
    <w:p>
      <w:pPr>
        <w:pStyle w:val="Normal"/>
        <w:ind w:left="360"/>
      </w:pPr>
      <w:r>
        <w:t>•  Fornecer aos recursos da SFDC o acesso necessário, durante o prazo da SOW, a todas as instâncias necessárias da plataforma para implementação das funcionalidades e casos de uso do projeto.</w:t>
      </w:r>
    </w:p>
    <w:p>
      <w:pPr>
        <w:pStyle w:val="Normal"/>
        <w:ind w:left="360"/>
      </w:pPr>
      <w:r>
        <w:t>•  Disponibilizar os recursos do Cliente durante o prazo da SOW para participação contínua: administrador(es) para acesso ao sistema, especialistas de negócios e responsáveis por realizar os testes de aceitação (UAT).</w:t>
      </w:r>
    </w:p>
    <w:p>
      <w:pPr>
        <w:pStyle w:val="Normal"/>
        <w:ind w:left="360"/>
      </w:pPr>
      <w:r>
        <w:t>•  Licença(s) e Créditos Salesforce Necessários: o Cliente provisionou as licenças e créditos necessários para as Clouds envolvidas na solução, inclusive o licenciamento MuleSoft On-Premise e/ou On-Cloud.</w:t>
      </w:r>
    </w:p>
    <w:p>
      <w:pPr>
        <w:pStyle w:val="Normal"/>
        <w:ind w:left="360"/>
      </w:pPr>
      <w:r>
        <w:t>•  Soberania de Dados (Zero Persistência): nos Serviços Salesforce não persistirão dados sensíveis do cidadão.</w:t>
      </w:r>
    </w:p>
    <w:p>
      <w:pPr>
        <w:pStyle w:val="Normal"/>
        <w:ind w:left="360"/>
      </w:pPr>
      <w:r>
        <w:t>•  Latência: a performance da solução é diretamente dependente do tempo de resposta das APIs do legado. A SFDC não se responsabiliza por lentidão causada pelo backend do cliente.</w:t>
      </w:r>
    </w:p>
    <w:p>
      <w:pPr>
        <w:pStyle w:val="Normal"/>
        <w:ind w:left="360"/>
      </w:pPr>
      <w:r>
        <w:t>•  Público-Alvo Técnico: as sessões de transferência de conhecimento são destinadas exclusivamente a Administradores Salesforce, Desenvolvedores e Arquitetos da Dataprev. Não está incluído treinamento para usuários finais.</w:t>
      </w:r>
    </w:p>
    <w:p>
      <w:pPr>
        <w:pStyle w:val="Normal"/>
        <w:ind w:left="360"/>
      </w:pPr>
      <w:r>
        <w:t>•  Modelo “Train the Trainer”: a SFDC capacitará os multiplicadores (treinadores) do Cliente. O Cliente é responsável por replicar esse treinamento para suas equipes internas, usuários finais e órgãos públicos consumidores.</w:t>
      </w:r>
    </w:p>
    <w:p>
      <w:pPr>
        <w:pStyle w:val="Normal"/>
        <w:ind w:left="360"/>
      </w:pPr>
      <w:r>
        <w:t>•  Pré-requisitos de Conhecimento: recomenda-se que os participantes do Cliente possuam conhecimento fundamental das plataformas Salesforce e MuleSoft. O handover foca nas especificidades da implementação realizada, e não em treinamento genérico de produto.</w:t>
      </w:r>
    </w:p>
    <w:p>
      <w:pPr>
        <w:pStyle w:val="Normal"/>
        <w:ind w:left="360"/>
      </w:pPr>
      <w:r>
        <w:t>•  Idioma: os Serviços Profissionais e as interfaces da solução serão configurados exclusivamente em Português (Brasil).</w:t>
      </w:r>
    </w:p>
    <w:p>
      <w:pPr>
        <w:pStyle w:val="Normal"/>
        <w:ind w:left="360"/>
      </w:pPr>
      <w:r>
        <w:t>•  Virtualidade: os Serviços Profissionais serão entregues de forma 100% virtual/remota, salvo acordo prévio por escrito.</w:t>
      </w:r>
    </w:p>
    <w:p>
      <w:pPr>
        <w:pStyle w:val="Normal"/>
        <w:ind w:left="360"/>
      </w:pPr>
      <w:r>
        <w:t>•  Produtos de Terceiros: a SFDC não se responsabiliza pelo suporte técnico ou manutenção de plataformas de terceiros, como o gateway de pagamento ou a API oficial do WhatsApp (Meta), caso requerida.</w:t>
      </w:r>
    </w:p>
    <w:p>
      <w:pPr>
        <w:pStyle w:val="Normal"/>
        <w:ind w:left="360"/>
      </w:pPr>
      <w:r>
        <w:t>•  Dependência de Terceiro (Gateway): o provedor do gateway de pagamento/custódia é uma dependência externa; atrasos na sua definição ou disponibilização são risco do Cliente para o marco regulatório.</w:t>
      </w:r>
    </w:p>
    <w:p>
      <w:pPr>
        <w:pStyle w:val="Heading3"/>
        <w:numPr>
          <w:ilvl w:val="2"/>
          <w:numId w:val="7"/>
        </w:numPr>
      </w:pPr>
      <w:r>
        <w:t>Exclusões do Escopo Gerais</w:t>
      </w:r>
    </w:p>
    <w:p>
      <w:pPr>
        <w:pStyle w:val="Normal"/>
      </w:pPr>
      <w:r>
        <w:rPr>
          <w:b w:val="0"/>
        </w:rPr>
        <w:t>As seguintes atividades não estão incluídas neste SOW/OS e exigirão um Pedido de Mudança (Change Order) se solicitadas:</w:t>
      </w:r>
    </w:p>
    <w:p>
      <w:pPr>
        <w:pStyle w:val="Normal"/>
        <w:ind w:left="360"/>
      </w:pPr>
      <w:r>
        <w:t>•  Atendimento Inteligente (Agentforce): agente informacional/transacional em WhatsApp/webchat — deferido para onda posterior ao go-live.</w:t>
      </w:r>
    </w:p>
    <w:p>
      <w:pPr>
        <w:pStyle w:val="Normal"/>
        <w:ind w:left="360"/>
      </w:pPr>
      <w:r>
        <w:t>•  Notificação ativa (push) às facilitadoras e a definição do respectivo canal — roadmap futuro.</w:t>
      </w:r>
    </w:p>
    <w:p>
      <w:pPr>
        <w:pStyle w:val="Normal"/>
        <w:ind w:left="360"/>
      </w:pPr>
      <w:r>
        <w:t>•  Ferramenta de contract lifecycle management (validação automática de contrato, aditivos e renovações automatizadas).</w:t>
      </w:r>
    </w:p>
    <w:p>
      <w:pPr>
        <w:pStyle w:val="Normal"/>
        <w:ind w:left="360"/>
      </w:pPr>
      <w:r>
        <w:t>•  Persistência das linhas da folha em objeto da plataforma (Fase 1 mantém apenas cabeçalho/competência).</w:t>
      </w:r>
    </w:p>
    <w:p>
      <w:pPr>
        <w:pStyle w:val="Normal"/>
        <w:ind w:left="360"/>
      </w:pPr>
      <w:r>
        <w:t>•  Execução das transações bancárias e custódia — responsabilidade do gateway externo.</w:t>
      </w:r>
    </w:p>
    <w:p>
      <w:pPr>
        <w:pStyle w:val="Normal"/>
        <w:ind w:left="360"/>
      </w:pPr>
      <w:r>
        <w:t>•  Configuração de aplicativo móvel.</w:t>
      </w:r>
    </w:p>
    <w:p>
      <w:pPr>
        <w:pStyle w:val="Normal"/>
        <w:ind w:left="360"/>
      </w:pPr>
      <w:r>
        <w:t>•  Serviços de gerenciamento de alterações não descritos nesta OS.</w:t>
      </w:r>
    </w:p>
    <w:p>
      <w:pPr>
        <w:pStyle w:val="Normal"/>
        <w:ind w:left="360"/>
      </w:pPr>
      <w:r>
        <w:t>•  Migração de dados legados além da carga inicial de cadastros descrita no escopo.</w:t>
      </w:r>
    </w:p>
    <w:p>
      <w:pPr>
        <w:pStyle w:val="Normal"/>
        <w:ind w:left="360"/>
      </w:pPr>
      <w:r>
        <w:t>•  Execução de treinamentos presenciais ou em sala de aula para grandes grupos ou usuários finais.</w:t>
      </w:r>
    </w:p>
    <w:p>
      <w:pPr>
        <w:pStyle w:val="Normal"/>
        <w:ind w:left="360"/>
      </w:pPr>
      <w:r>
        <w:t>•  Desenvolvimento de pipelines de ingestão ou transformação de dados (ETL/ELT) e modelos preditivos/machine learning não previstos nesta OS.</w:t>
      </w:r>
    </w:p>
    <w:p>
      <w:pPr>
        <w:pStyle w:val="Normal"/>
        <w:ind w:left="360"/>
      </w:pPr>
      <w:r>
        <w:t>•  Suporte operacional continuado (“Sustentação” ou “AMS”) após o término do período de Handover (Hypercare não contratado nesta OS).</w:t>
      </w:r>
    </w:p>
    <w:p>
      <w:pPr>
        <w:pStyle w:val="Normal"/>
        <w:ind w:left="360"/>
      </w:pPr>
      <w:r>
        <w:t>•  Atrasos na implantação causados pelo Cliente não serão responsabilidade da SFDC.</w:t>
      </w:r>
    </w:p>
    <w:p>
      <w:pPr>
        <w:pStyle w:val="Normal"/>
        <w:ind w:left="360"/>
      </w:pPr>
      <w:r>
        <w:t>•  Qualquer trabalho não especificado nesta OS é considerado fora de escopo.</w:t>
      </w:r>
    </w:p>
    <w:p>
      <w:pPr>
        <w:pStyle w:val="Heading2"/>
        <w:numPr>
          <w:ilvl w:val="1"/>
          <w:numId w:val="7"/>
        </w:numPr>
      </w:pPr>
      <w:r>
        <w:t>Valores Estimados de Serviços</w:t>
      </w:r>
    </w:p>
    <w:p>
      <w:pPr>
        <w:pStyle w:val="Normal"/>
      </w:pPr>
      <w:r>
        <w:rPr>
          <w:b w:val="0"/>
        </w:rPr>
        <w:t>As horas nesta proposta foram estimadas com base nas informações disponíveis no momento de sua elaboração. Durante a fase inicial de planejamento e desenho da solução, essas estimativas serão detalhadas e validadas em conjunto entre as partes. Caso sejam identificadas necessidades de ajuste em escopo ou esforço, as revisões correspondentes serão discutidas e formalmente acordadas antes de iniciar a implementação.</w:t>
      </w:r>
    </w:p>
    <w:p>
      <w:pPr>
        <w:pStyle w:val="Normal"/>
      </w:pPr>
      <w:r>
        <w:rPr>
          <w:b w:val="0"/>
        </w:rPr>
        <w:t>Os valores dos Serviços Profissionais sob Demanda para execução desta Ordem de Serviço estão especificados abaixo:</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986"/>
        <w:gridCol w:w="4986"/>
      </w:tblGrid>
      <w:tr>
        <w:tc>
          <w:tcPr>
            <w:tcW w:type="dxa" w:w="4986"/>
          </w:tcPr>
          <w:p>
            <w:r/>
            <w:r>
              <w:rPr>
                <w:b/>
              </w:rPr>
              <w:t>Descrição</w:t>
            </w:r>
          </w:p>
        </w:tc>
        <w:tc>
          <w:tcPr>
            <w:tcW w:type="dxa" w:w="4986"/>
          </w:tcPr>
          <w:p>
            <w:r/>
            <w:r>
              <w:rPr>
                <w:b/>
              </w:rPr>
              <w:t>Valor</w:t>
            </w:r>
          </w:p>
        </w:tc>
      </w:tr>
      <w:tr>
        <w:tc>
          <w:tcPr>
            <w:tcW w:type="dxa" w:w="4986"/>
          </w:tcPr>
          <w:p>
            <w:r/>
            <w:r>
              <w:t>Subtotal de Valores Estimados de Serviços Profissionais</w:t>
            </w:r>
          </w:p>
        </w:tc>
        <w:tc>
          <w:tcPr>
            <w:tcW w:type="dxa" w:w="4986"/>
          </w:tcPr>
          <w:p>
            <w:r/>
            <w:r>
              <w:t>R$ 3.652.561,00</w:t>
            </w:r>
          </w:p>
        </w:tc>
      </w:tr>
      <w:tr>
        <w:tc>
          <w:tcPr>
            <w:tcW w:type="dxa" w:w="4986"/>
          </w:tcPr>
          <w:p>
            <w:r/>
            <w:r>
              <w:t>Taxa de imposto a partir da data de vigência</w:t>
            </w:r>
          </w:p>
        </w:tc>
        <w:tc>
          <w:tcPr>
            <w:tcW w:type="dxa" w:w="4986"/>
          </w:tcPr>
          <w:p>
            <w:r/>
            <w:r>
              <w:t>6,55%</w:t>
            </w:r>
          </w:p>
        </w:tc>
      </w:tr>
      <w:tr>
        <w:tc>
          <w:tcPr>
            <w:tcW w:type="dxa" w:w="4986"/>
          </w:tcPr>
          <w:p>
            <w:r/>
            <w:r>
              <w:t>Imposto Estimado</w:t>
            </w:r>
          </w:p>
        </w:tc>
        <w:tc>
          <w:tcPr>
            <w:tcW w:type="dxa" w:w="4986"/>
          </w:tcPr>
          <w:p>
            <w:r/>
            <w:r>
              <w:t>R$ 256.011,49</w:t>
            </w:r>
          </w:p>
        </w:tc>
      </w:tr>
      <w:tr>
        <w:tc>
          <w:tcPr>
            <w:tcW w:type="dxa" w:w="4986"/>
          </w:tcPr>
          <w:p>
            <w:r/>
            <w:r>
              <w:rPr>
                <w:b/>
              </w:rPr>
              <w:t>Total Estimado com Impostos</w:t>
            </w:r>
          </w:p>
        </w:tc>
        <w:tc>
          <w:tcPr>
            <w:tcW w:type="dxa" w:w="4986"/>
          </w:tcPr>
          <w:p>
            <w:r/>
            <w:r>
              <w:t>R$ 3.908.572,49</w:t>
            </w:r>
          </w:p>
        </w:tc>
      </w:tr>
    </w:tbl>
    <w:p>
      <w:pPr>
        <w:pStyle w:val="Heading2"/>
        <w:numPr>
          <w:ilvl w:val="1"/>
          <w:numId w:val="7"/>
        </w:numPr>
      </w:pPr>
      <w:r>
        <w:t>Estimativas de duração dos Serviços Profissionais sob Demanda</w:t>
      </w:r>
    </w:p>
    <w:p>
      <w:pPr>
        <w:pStyle w:val="Normal"/>
      </w:pPr>
      <w:r>
        <w:rPr>
          <w:b w:val="0"/>
        </w:rPr>
        <w:t>O projeto foi estimado com a duração de até 17 semanas a partir do engajamento dos recursos e início do projeto. A frente de painéis analíticos (Tableau) é paralela e fora do caminho crítico do marco regulatório.</w:t>
      </w:r>
    </w:p>
    <w:p>
      <w:pPr>
        <w:pStyle w:val="Normal"/>
      </w:pPr>
      <w:r>
        <w:rPr>
          <w:b w:val="0"/>
        </w:rPr>
        <w:t>A tabela abaixo representa o esforço estimado em horas do projeto por tipo de Serviço Profissional sob Demanda:</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94"/>
        <w:gridCol w:w="1994"/>
        <w:gridCol w:w="1994"/>
        <w:gridCol w:w="1994"/>
        <w:gridCol w:w="1994"/>
      </w:tblGrid>
      <w:tr>
        <w:tc>
          <w:tcPr>
            <w:tcW w:type="dxa" w:w="1994"/>
          </w:tcPr>
          <w:p>
            <w:r/>
            <w:r>
              <w:rPr>
                <w:b/>
              </w:rPr>
              <w:t>Tipo de Serviço</w:t>
            </w:r>
          </w:p>
        </w:tc>
        <w:tc>
          <w:tcPr>
            <w:tcW w:type="dxa" w:w="1994"/>
          </w:tcPr>
          <w:p>
            <w:r/>
            <w:r>
              <w:rPr>
                <w:b/>
              </w:rPr>
              <w:t>Horas Estimadas</w:t>
            </w:r>
          </w:p>
        </w:tc>
        <w:tc>
          <w:tcPr>
            <w:tcW w:type="dxa" w:w="1994"/>
          </w:tcPr>
          <w:p>
            <w:r/>
            <w:r>
              <w:rPr>
                <w:b/>
              </w:rPr>
              <w:t>Preço por Serviços Profissionais</w:t>
            </w:r>
          </w:p>
        </w:tc>
        <w:tc>
          <w:tcPr>
            <w:tcW w:type="dxa" w:w="1994"/>
          </w:tcPr>
          <w:p>
            <w:r/>
            <w:r>
              <w:rPr>
                <w:b/>
              </w:rPr>
              <w:t>Valor Consolidado de Tributos</w:t>
            </w:r>
          </w:p>
        </w:tc>
        <w:tc>
          <w:tcPr>
            <w:tcW w:type="dxa" w:w="1994"/>
          </w:tcPr>
          <w:p>
            <w:r/>
            <w:r>
              <w:rPr>
                <w:b/>
              </w:rPr>
              <w:t>Valor Bruto Estimado</w:t>
            </w:r>
          </w:p>
        </w:tc>
      </w:tr>
      <w:tr>
        <w:tc>
          <w:tcPr>
            <w:tcW w:type="dxa" w:w="1994"/>
          </w:tcPr>
          <w:p>
            <w:r/>
            <w:r>
              <w:t>Implementação Salesforce — Marketplace do PAT</w:t>
            </w:r>
          </w:p>
        </w:tc>
        <w:tc>
          <w:tcPr>
            <w:tcW w:type="dxa" w:w="1994"/>
          </w:tcPr>
          <w:p>
            <w:r/>
            <w:r>
              <w:t>4.140</w:t>
            </w:r>
          </w:p>
        </w:tc>
        <w:tc>
          <w:tcPr>
            <w:tcW w:type="dxa" w:w="1994"/>
          </w:tcPr>
          <w:p>
            <w:r/>
            <w:r>
              <w:t>R$ 3.031.597,20</w:t>
            </w:r>
          </w:p>
        </w:tc>
        <w:tc>
          <w:tcPr>
            <w:tcW w:type="dxa" w:w="1994"/>
          </w:tcPr>
          <w:p>
            <w:r/>
            <w:r>
              <w:t>R$ 212.487,54</w:t>
            </w:r>
          </w:p>
        </w:tc>
        <w:tc>
          <w:tcPr>
            <w:tcW w:type="dxa" w:w="1994"/>
          </w:tcPr>
          <w:p>
            <w:r/>
            <w:r>
              <w:t>R$ 3.244.084,74</w:t>
            </w:r>
          </w:p>
        </w:tc>
      </w:tr>
      <w:tr>
        <w:tc>
          <w:tcPr>
            <w:tcW w:type="dxa" w:w="1994"/>
          </w:tcPr>
          <w:p>
            <w:r/>
            <w:r>
              <w:t>Implementação MuleSoft</w:t>
            </w:r>
          </w:p>
        </w:tc>
        <w:tc>
          <w:tcPr>
            <w:tcW w:type="dxa" w:w="1994"/>
          </w:tcPr>
          <w:p>
            <w:r/>
            <w:r>
              <w:t>700</w:t>
            </w:r>
          </w:p>
        </w:tc>
        <w:tc>
          <w:tcPr>
            <w:tcW w:type="dxa" w:w="1994"/>
          </w:tcPr>
          <w:p>
            <w:r/>
            <w:r>
              <w:t>R$ 513.959,00</w:t>
            </w:r>
          </w:p>
        </w:tc>
        <w:tc>
          <w:tcPr>
            <w:tcW w:type="dxa" w:w="1994"/>
          </w:tcPr>
          <w:p>
            <w:r/>
            <w:r>
              <w:t>R$ 36.023,88</w:t>
            </w:r>
          </w:p>
        </w:tc>
        <w:tc>
          <w:tcPr>
            <w:tcW w:type="dxa" w:w="1994"/>
          </w:tcPr>
          <w:p>
            <w:r/>
            <w:r>
              <w:t>R$ 549.982,88</w:t>
            </w:r>
          </w:p>
        </w:tc>
      </w:tr>
      <w:tr>
        <w:tc>
          <w:tcPr>
            <w:tcW w:type="dxa" w:w="1994"/>
          </w:tcPr>
          <w:p>
            <w:r/>
            <w:r>
              <w:t>Implementação Tableau</w:t>
            </w:r>
          </w:p>
        </w:tc>
        <w:tc>
          <w:tcPr>
            <w:tcW w:type="dxa" w:w="1994"/>
          </w:tcPr>
          <w:p>
            <w:r/>
            <w:r>
              <w:t>160</w:t>
            </w:r>
          </w:p>
        </w:tc>
        <w:tc>
          <w:tcPr>
            <w:tcW w:type="dxa" w:w="1994"/>
          </w:tcPr>
          <w:p>
            <w:r/>
            <w:r>
              <w:t>R$ 107.004,80</w:t>
            </w:r>
          </w:p>
        </w:tc>
        <w:tc>
          <w:tcPr>
            <w:tcW w:type="dxa" w:w="1994"/>
          </w:tcPr>
          <w:p>
            <w:r/>
            <w:r>
              <w:t>R$ 7.500,07</w:t>
            </w:r>
          </w:p>
        </w:tc>
        <w:tc>
          <w:tcPr>
            <w:tcW w:type="dxa" w:w="1994"/>
          </w:tcPr>
          <w:p>
            <w:r/>
            <w:r>
              <w:t>R$ 114.504,87</w:t>
            </w:r>
          </w:p>
        </w:tc>
      </w:tr>
      <w:tr>
        <w:tc>
          <w:tcPr>
            <w:tcW w:type="dxa" w:w="1994"/>
          </w:tcPr>
          <w:p>
            <w:r/>
            <w:r>
              <w:rPr>
                <w:b/>
              </w:rPr>
              <w:t>TOTAL</w:t>
            </w:r>
          </w:p>
        </w:tc>
        <w:tc>
          <w:tcPr>
            <w:tcW w:type="dxa" w:w="1994"/>
          </w:tcPr>
          <w:p>
            <w:r/>
            <w:r>
              <w:t>5.000</w:t>
            </w:r>
          </w:p>
        </w:tc>
        <w:tc>
          <w:tcPr>
            <w:tcW w:type="dxa" w:w="1994"/>
          </w:tcPr>
          <w:p>
            <w:r/>
            <w:r>
              <w:t>R$ 3.652.561,00</w:t>
            </w:r>
          </w:p>
        </w:tc>
        <w:tc>
          <w:tcPr>
            <w:tcW w:type="dxa" w:w="1994"/>
          </w:tcPr>
          <w:p>
            <w:r/>
            <w:r>
              <w:t>R$ 256.011,49</w:t>
            </w:r>
          </w:p>
        </w:tc>
        <w:tc>
          <w:tcPr>
            <w:tcW w:type="dxa" w:w="1994"/>
          </w:tcPr>
          <w:p>
            <w:r/>
            <w:r>
              <w:t>R$ 3.908.572,49</w:t>
            </w:r>
          </w:p>
        </w:tc>
      </w:tr>
    </w:tbl>
    <w:p>
      <w:pPr>
        <w:pStyle w:val="Heading2"/>
        <w:numPr>
          <w:ilvl w:val="1"/>
          <w:numId w:val="7"/>
        </w:numPr>
      </w:pPr>
      <w:r>
        <w:t>Escopo de atuação dos Recursos ou Perfis Técnicos Salesforce</w:t>
      </w:r>
    </w:p>
    <w:p>
      <w:pPr>
        <w:pStyle w:val="Normal"/>
      </w:pPr>
      <w:r>
        <w:rPr>
          <w:b w:val="0"/>
        </w:rPr>
        <w:t>Segue a descrição dos perfis técnicos de Serviços Profissionais Salesforce presentes neste projeto, independentemente do contexto da Cloud específica no projeto.</w:t>
      </w:r>
    </w:p>
    <w:p>
      <w:pPr>
        <w:pStyle w:val="Normal"/>
      </w:pPr>
      <w:r>
        <w:rPr>
          <w:b/>
        </w:rPr>
        <w:t xml:space="preserve">Senior Project Manager (Gerente de Projetos Sênior): </w:t>
      </w:r>
      <w:r>
        <w:t>Responsável pela condução integral do engajamento, pela governança de prazos, escopo e riscos e pelo relacionamento com o Cliente, assegurando a entrega dentro do cronograma acordado e a articulação do comitê executivo quinzenal.</w:t>
      </w:r>
    </w:p>
    <w:p>
      <w:pPr>
        <w:pStyle w:val="Normal"/>
      </w:pPr>
      <w:r>
        <w:rPr>
          <w:b/>
        </w:rPr>
        <w:t>Principais Atividades:</w:t>
      </w:r>
    </w:p>
    <w:p>
      <w:pPr>
        <w:pStyle w:val="Normal"/>
        <w:ind w:left="360"/>
      </w:pPr>
      <w:r>
        <w:t>•  Planejamento, acompanhamento e controle do cronograma, escopo, orçamento de horas e qualidade do projeto.</w:t>
      </w:r>
    </w:p>
    <w:p>
      <w:pPr>
        <w:pStyle w:val="Normal"/>
        <w:ind w:left="360"/>
      </w:pPr>
      <w:r>
        <w:t>•  Gestão de riscos, impedimentos e dependências externas (gov.br, gateway, terceiros), escalando ao comitê executivo quando necessário.</w:t>
      </w:r>
    </w:p>
    <w:p>
      <w:pPr>
        <w:pStyle w:val="Normal"/>
        <w:ind w:left="360"/>
      </w:pPr>
      <w:r>
        <w:t>•  Coordenação das cerimônias ágeis, dos pontos de verificação formais e das evidências de entrega para o Aceite.</w:t>
      </w:r>
    </w:p>
    <w:p>
      <w:pPr>
        <w:pStyle w:val="Normal"/>
        <w:ind w:left="360"/>
      </w:pPr>
      <w:r>
        <w:t>•  Gestão do processo de controle de mudanças e dos Pedidos de Alteração, quando aplicável.</w:t>
      </w:r>
    </w:p>
    <w:p>
      <w:pPr>
        <w:pStyle w:val="Normal"/>
      </w:pPr>
      <w:r>
        <w:rPr>
          <w:b/>
        </w:rPr>
        <w:t xml:space="preserve">Senior Solution Architect: </w:t>
      </w:r>
      <w:r>
        <w:t>Atua como o elo estratégico entre os requisitos de negócio do Cliente e a solução técnica, responsável pelo desenho funcional da arquitetura, pela condução do processo de descoberta e pela garantia de que a solução entregue valor tangível e esteja alinhada aos objetivos organizacionais.</w:t>
      </w:r>
    </w:p>
    <w:p>
      <w:pPr>
        <w:pStyle w:val="Normal"/>
      </w:pPr>
      <w:r>
        <w:rPr>
          <w:b/>
        </w:rPr>
        <w:t>Principais Atividades:</w:t>
      </w:r>
    </w:p>
    <w:p>
      <w:pPr>
        <w:pStyle w:val="Normal"/>
        <w:ind w:left="360"/>
      </w:pPr>
      <w:r>
        <w:t>•  Condução do processo de descoberta e levantamento de requisitos funcionais e não funcionais, traduzindo as necessidades do negócio em uma arquitetura de solução coerente e aderente às capacidades do Salesforce, MuleSoft e Tableau.</w:t>
      </w:r>
    </w:p>
    <w:p>
      <w:pPr>
        <w:pStyle w:val="Normal"/>
        <w:ind w:left="360"/>
      </w:pPr>
      <w:r>
        <w:t>•  Desenho dos fluxos de negócio e definição do modelo de solução ponta a ponta, assegurando o alinhamento entre as áreas de negócio e tecnologia do Cliente e a equipe de implementação.</w:t>
      </w:r>
    </w:p>
    <w:p>
      <w:pPr>
        <w:pStyle w:val="Normal"/>
        <w:ind w:left="360"/>
      </w:pPr>
      <w:r>
        <w:t>•  Validação de que os componentes da solução atendem aos requisitos funcionais acordados, garantindo rastreabilidade entre as decisões de design e os objetivos estratégicos do projeto.</w:t>
      </w:r>
    </w:p>
    <w:p>
      <w:pPr>
        <w:pStyle w:val="Normal"/>
        <w:ind w:left="360"/>
      </w:pPr>
      <w:r>
        <w:t>•  Identificação e gestão de riscos funcionais e de escopo, propondo alternativas viáveis e orientando o Cliente na priorização de entregas com base em valor e complexidade.</w:t>
      </w:r>
    </w:p>
    <w:p>
      <w:pPr>
        <w:pStyle w:val="Normal"/>
        <w:ind w:left="360"/>
      </w:pPr>
      <w:r>
        <w:t>•  Suporte à definição da estratégia de adoção e governança da solução, assegurando que os processos e fluxos implementados sejam sustentáveis e evoluíveis pelo time do Cliente no longo prazo.</w:t>
      </w:r>
    </w:p>
    <w:p>
      <w:pPr>
        <w:pStyle w:val="Normal"/>
      </w:pPr>
      <w:r>
        <w:rPr>
          <w:b/>
        </w:rPr>
        <w:t xml:space="preserve">Senior Technical Architect (Arquiteto Técnico Líder): </w:t>
      </w:r>
      <w:r>
        <w:t>Atua como a autoridade técnica do projeto, responsável pela governança, pelo desenho da arquitetura e pela garantia de que a solução seja escalável, segura e performática.</w:t>
      </w:r>
    </w:p>
    <w:p>
      <w:pPr>
        <w:pStyle w:val="Normal"/>
      </w:pPr>
      <w:r>
        <w:rPr>
          <w:b/>
        </w:rPr>
        <w:t>Principais Atividades:</w:t>
      </w:r>
    </w:p>
    <w:p>
      <w:pPr>
        <w:pStyle w:val="Normal"/>
        <w:ind w:left="360"/>
      </w:pPr>
      <w:r>
        <w:t>•  Definição da arquitetura de solução ponta a ponta, estabelecendo os padrões de integração entre o Salesforce, MuleSoft, Tableau e os sistemas do Cliente.</w:t>
      </w:r>
    </w:p>
    <w:p>
      <w:pPr>
        <w:pStyle w:val="Normal"/>
        <w:ind w:left="360"/>
      </w:pPr>
      <w:r>
        <w:t>•  Supervisão técnica para assegurar o cumprimento dos requisitos não funcionais, como alta disponibilidade, tempo de resposta e capacidade de processamento (volumetria massiva).</w:t>
      </w:r>
    </w:p>
    <w:p>
      <w:pPr>
        <w:pStyle w:val="Normal"/>
        <w:ind w:left="360"/>
      </w:pPr>
      <w:r>
        <w:t>•  Validação das estratégias de segurança, residência e privacidade de dados em conformidade com as normas governamentais e melhores práticas da Salesforce.</w:t>
      </w:r>
    </w:p>
    <w:p>
      <w:pPr>
        <w:pStyle w:val="Normal"/>
        <w:ind w:left="360"/>
      </w:pPr>
      <w:r>
        <w:t>•  Mitigação de riscos técnicos complexos e orientação do time de desenvolvimento para assegurar a longevidade e manutenção da solução.</w:t>
      </w:r>
    </w:p>
    <w:p>
      <w:pPr>
        <w:pStyle w:val="Normal"/>
      </w:pPr>
      <w:r>
        <w:rPr>
          <w:b/>
        </w:rPr>
        <w:t xml:space="preserve">Technical Consultant (Consultor Técnico / Desenvolvedor Sênior): </w:t>
      </w:r>
      <w:r>
        <w:t>Responsável pela materialização técnica da solução, atuando na implementação direta dos requisitos e traduzindo as regras de negócio em componentes de software funcionais e seguros dentro da plataforma Salesforce.</w:t>
      </w:r>
    </w:p>
    <w:p>
      <w:pPr>
        <w:pStyle w:val="Normal"/>
      </w:pPr>
      <w:r>
        <w:rPr>
          <w:b/>
        </w:rPr>
        <w:t>Principais Atividades:</w:t>
      </w:r>
    </w:p>
    <w:p>
      <w:pPr>
        <w:pStyle w:val="Normal"/>
        <w:ind w:left="360"/>
      </w:pPr>
      <w:r>
        <w:t>•  Desenvolvimento e configuração de componentes (Apex, LWC, Flows) necessários para a operabilidade da solução.</w:t>
      </w:r>
    </w:p>
    <w:p>
      <w:pPr>
        <w:pStyle w:val="Normal"/>
        <w:ind w:left="360"/>
      </w:pPr>
      <w:r>
        <w:t>•  Implementação das chamadas de integração e manipulação de dados para leitura e escrita nos sistemas legados, assegurando a integridade transacional.</w:t>
      </w:r>
    </w:p>
    <w:p>
      <w:pPr>
        <w:pStyle w:val="Normal"/>
        <w:ind w:left="360"/>
      </w:pPr>
      <w:r>
        <w:t>•  Aplicação das diretrizes de segurança no código e configurações, garantindo a proteção de dados.</w:t>
      </w:r>
    </w:p>
    <w:p>
      <w:pPr>
        <w:pStyle w:val="Normal"/>
        <w:ind w:left="360"/>
      </w:pPr>
      <w:r>
        <w:t>•  Execução de testes unitários e de integração para validar a robustez dos fluxos antes da etapa de QA.</w:t>
      </w:r>
    </w:p>
    <w:p>
      <w:pPr>
        <w:pStyle w:val="Normal"/>
      </w:pPr>
      <w:r>
        <w:rPr>
          <w:b/>
        </w:rPr>
        <w:t xml:space="preserve">Developer (Desenvolvedor): </w:t>
      </w:r>
      <w:r>
        <w:t>Responsável pela construção dos componentes da solução sob a orientação dos arquitetos e consultores técnicos, materializando as histórias de usuário priorizadas em cada sprint.</w:t>
      </w:r>
    </w:p>
    <w:p>
      <w:pPr>
        <w:pStyle w:val="Normal"/>
      </w:pPr>
      <w:r>
        <w:rPr>
          <w:b/>
        </w:rPr>
        <w:t>Principais Atividades:</w:t>
      </w:r>
    </w:p>
    <w:p>
      <w:pPr>
        <w:pStyle w:val="Normal"/>
        <w:ind w:left="360"/>
      </w:pPr>
      <w:r>
        <w:t>•  Desenvolvimento de componentes de configuração e código (Apex, LWC, Flows) conforme os padrões de arquitetura definidos.</w:t>
      </w:r>
    </w:p>
    <w:p>
      <w:pPr>
        <w:pStyle w:val="Normal"/>
        <w:ind w:left="360"/>
      </w:pPr>
      <w:r>
        <w:t>•  Implementação de integrações e automações do marketplace, folha e credenciamento.</w:t>
      </w:r>
    </w:p>
    <w:p>
      <w:pPr>
        <w:pStyle w:val="Normal"/>
        <w:ind w:left="360"/>
      </w:pPr>
      <w:r>
        <w:t>•  Execução de testes unitários e correção de defeitos identificados nas revisões e no ciclo de QA.</w:t>
      </w:r>
    </w:p>
    <w:p>
      <w:pPr>
        <w:pStyle w:val="Normal"/>
        <w:ind w:left="360"/>
      </w:pPr>
      <w:r>
        <w:t>•  Elaboração da documentação técnica dos componentes desenvolvidos.</w:t>
      </w:r>
    </w:p>
    <w:p>
      <w:pPr>
        <w:pStyle w:val="Normal"/>
      </w:pPr>
      <w:r>
        <w:rPr>
          <w:b/>
        </w:rPr>
        <w:t xml:space="preserve">Quality Assurance Consultant (Consultor de Qualidade): </w:t>
      </w:r>
      <w:r>
        <w:t>Responsável pela garantia de qualidade da solução, atuando como verificação independente da conformidade dos entregáveis com os critérios de aceitação, com atuação intensificada nas janelas de estabilização e homologação.</w:t>
      </w:r>
    </w:p>
    <w:p>
      <w:pPr>
        <w:pStyle w:val="Normal"/>
      </w:pPr>
      <w:r>
        <w:rPr>
          <w:b/>
        </w:rPr>
        <w:t>Principais Atividades:</w:t>
      </w:r>
    </w:p>
    <w:p>
      <w:pPr>
        <w:pStyle w:val="Normal"/>
        <w:ind w:left="360"/>
      </w:pPr>
      <w:r>
        <w:t>•  Definição da estratégia e do plano de testes, incluindo casos de teste funcionais e de integração.</w:t>
      </w:r>
    </w:p>
    <w:p>
      <w:pPr>
        <w:pStyle w:val="Normal"/>
        <w:ind w:left="360"/>
      </w:pPr>
      <w:r>
        <w:t>•  Execução de ciclos de teste e registro de defeitos, apoiando a coordenação dos testes integrados de sistema e do UAT.</w:t>
      </w:r>
    </w:p>
    <w:p>
      <w:pPr>
        <w:pStyle w:val="Normal"/>
        <w:ind w:left="360"/>
      </w:pPr>
      <w:r>
        <w:t>•  Validação da conformidade dos entregáveis com os critérios de aceitação acordados antes da demonstração ao Cliente.</w:t>
      </w:r>
    </w:p>
    <w:p>
      <w:pPr>
        <w:pStyle w:val="Normal"/>
        <w:ind w:left="360"/>
      </w:pPr>
      <w:r>
        <w:t>•  Apoio à validação de requisitos não funcionais relevantes ao escopo (integridade transacional, mascaramento de dados sensíveis).</w:t>
      </w:r>
    </w:p>
    <w:p>
      <w:pPr>
        <w:pStyle w:val="Normal"/>
      </w:pPr>
      <w:r>
        <w:rPr>
          <w:b/>
        </w:rPr>
        <w:t xml:space="preserve">Experience Architect (Arquiteto de Experiência): </w:t>
      </w:r>
      <w:r>
        <w:t>Responsável pelo desenho da experiência do usuário nos canais digitais do Marketplace do PAT, garantindo jornadas fluidas para beneficiárias, estabelecimentos e analistas.</w:t>
      </w:r>
    </w:p>
    <w:p>
      <w:pPr>
        <w:pStyle w:val="Normal"/>
      </w:pPr>
      <w:r>
        <w:rPr>
          <w:b/>
        </w:rPr>
        <w:t>Principais Atividades:</w:t>
      </w:r>
    </w:p>
    <w:p>
      <w:pPr>
        <w:pStyle w:val="Normal"/>
        <w:ind w:left="360"/>
      </w:pPr>
      <w:r>
        <w:t>•  Mapeamento e detalhamento das jornadas do usuário no portal (Experience Cloud) e nas telas de comparação de propostas e credenciamento.</w:t>
      </w:r>
    </w:p>
    <w:p>
      <w:pPr>
        <w:pStyle w:val="Normal"/>
        <w:ind w:left="360"/>
      </w:pPr>
      <w:r>
        <w:t>•  Definição dos padrões de navegação, usabilidade e acessibilidade aplicáveis, alinhados à identidade visual do Cliente.</w:t>
      </w:r>
    </w:p>
    <w:p>
      <w:pPr>
        <w:pStyle w:val="Normal"/>
        <w:ind w:left="360"/>
      </w:pPr>
      <w:r>
        <w:t>•  Prototipação e validação das interfaces com as áreas de negócio.</w:t>
      </w:r>
    </w:p>
    <w:p>
      <w:pPr>
        <w:pStyle w:val="Normal"/>
        <w:ind w:left="360"/>
      </w:pPr>
      <w:r>
        <w:t>•  Suporte à equipe de desenvolvimento na implementação fiel do desenho de experiência.</w:t>
      </w:r>
    </w:p>
    <w:p>
      <w:pPr>
        <w:pStyle w:val="Normal"/>
      </w:pPr>
      <w:r>
        <w:rPr>
          <w:b/>
        </w:rPr>
        <w:t xml:space="preserve">Analytics - Technical Consultant (Consultor Técnico de Analytics / Tableau): </w:t>
      </w:r>
      <w:r>
        <w:t>Responsável pela implementação da frente de painéis analíticos sobre a instalação Tableau existente, do levantamento de métricas à publicação dos painéis com segurança por audiência.</w:t>
      </w:r>
    </w:p>
    <w:p>
      <w:pPr>
        <w:pStyle w:val="Normal"/>
      </w:pPr>
      <w:r>
        <w:rPr>
          <w:b/>
        </w:rPr>
        <w:t>Principais Atividades:</w:t>
      </w:r>
    </w:p>
    <w:p>
      <w:pPr>
        <w:pStyle w:val="Normal"/>
        <w:ind w:left="360"/>
      </w:pPr>
      <w:r>
        <w:t>•  Levantamento de requisitos analíticos, definição do catálogo de métricas e KPIs e priorização dos componentes.</w:t>
      </w:r>
    </w:p>
    <w:p>
      <w:pPr>
        <w:pStyle w:val="Normal"/>
        <w:ind w:left="360"/>
      </w:pPr>
      <w:r>
        <w:t>•  Conexão às fontes de dados (objetos nativos do Salesforce PAT via conector Salesforce; blend leve quando necessário) e modelagem de dados de suporte.</w:t>
      </w:r>
    </w:p>
    <w:p>
      <w:pPr>
        <w:pStyle w:val="Normal"/>
        <w:ind w:left="360"/>
      </w:pPr>
      <w:r>
        <w:t>•  Desenvolvimento dos painéis (Visão Negócio, Visão Projeto e Visão MTE) e configuração da segurança em nível de linha por perfil.</w:t>
      </w:r>
    </w:p>
    <w:p>
      <w:pPr>
        <w:pStyle w:val="Normal"/>
        <w:ind w:left="360"/>
      </w:pPr>
      <w:r>
        <w:t>•  Testes, validação com o Cliente e treinamento de administradores e usuários-chave na navegação e interpretação dos painéis.</w:t>
      </w:r>
    </w:p>
    <w:p>
      <w:pPr>
        <w:pStyle w:val="Normal"/>
      </w:pPr>
      <w:r>
        <w:rPr>
          <w:b/>
        </w:rPr>
        <w:t xml:space="preserve">MuleSoft Technical Architect (Arquiteto Técnico MuleSoft): </w:t>
      </w:r>
      <w:r>
        <w:t>Responsável pela arquitetura da camada de integração API-led on-premise, pelos padrões de conectividade, segurança e governança de APIs e pela aderência às exigências de soberania de dados.</w:t>
      </w:r>
    </w:p>
    <w:p>
      <w:pPr>
        <w:pStyle w:val="Normal"/>
      </w:pPr>
      <w:r>
        <w:rPr>
          <w:b/>
        </w:rPr>
        <w:t>Principais Atividades:</w:t>
      </w:r>
    </w:p>
    <w:p>
      <w:pPr>
        <w:pStyle w:val="Normal"/>
        <w:ind w:left="360"/>
      </w:pPr>
      <w:r>
        <w:t>•  Definição da arquitetura API-led (System, Process e Experience APIs) e dos padrões de segurança e governança de APIs.</w:t>
      </w:r>
    </w:p>
    <w:p>
      <w:pPr>
        <w:pStyle w:val="Normal"/>
        <w:ind w:left="360"/>
      </w:pPr>
      <w:r>
        <w:t>•  Desenho das integrações com Novo PAT, gov.br, CTPS Digital, eSocial, INIS PJ, gateway e APIs de facilitadoras e adquirentes.</w:t>
      </w:r>
    </w:p>
    <w:p>
      <w:pPr>
        <w:pStyle w:val="Normal"/>
        <w:ind w:left="360"/>
      </w:pPr>
      <w:r>
        <w:t>•  Definição do ponto de de-tokenização do CPF dentro do perímetro soberano e das estratégias de mock-first.</w:t>
      </w:r>
    </w:p>
    <w:p>
      <w:pPr>
        <w:pStyle w:val="Normal"/>
        <w:ind w:left="360"/>
      </w:pPr>
      <w:r>
        <w:t>•  Supervisão técnica da equipe de integração e validação da performance e resiliência das APIs.</w:t>
      </w:r>
    </w:p>
    <w:p>
      <w:pPr>
        <w:pStyle w:val="Normal"/>
      </w:pPr>
      <w:r>
        <w:rPr>
          <w:b/>
        </w:rPr>
        <w:t xml:space="preserve">MuleSoft Technical Consultant (Consultor Técnico MuleSoft): </w:t>
      </w:r>
      <w:r>
        <w:t>Responsável pela implementação das APIs e fluxos de integração definidos pela arquitetura MuleSoft, assegurando a conectividade segura entre a plataforma e os sistemas do ecossistema.</w:t>
      </w:r>
    </w:p>
    <w:p>
      <w:pPr>
        <w:pStyle w:val="Normal"/>
      </w:pPr>
      <w:r>
        <w:rPr>
          <w:b/>
        </w:rPr>
        <w:t>Principais Atividades:</w:t>
      </w:r>
    </w:p>
    <w:p>
      <w:pPr>
        <w:pStyle w:val="Normal"/>
        <w:ind w:left="360"/>
      </w:pPr>
      <w:r>
        <w:t>•  Desenvolvimento e configuração das APIs (System, Process e Experience) e dos fluxos de orquestração.</w:t>
      </w:r>
    </w:p>
    <w:p>
      <w:pPr>
        <w:pStyle w:val="Normal"/>
        <w:ind w:left="360"/>
      </w:pPr>
      <w:r>
        <w:t>•  Implementação das integrações de identidade (gov.br), do ciclo financeiro (gateway) e da recepção/consulta das facilitadoras.</w:t>
      </w:r>
    </w:p>
    <w:p>
      <w:pPr>
        <w:pStyle w:val="Normal"/>
        <w:ind w:left="360"/>
      </w:pPr>
      <w:r>
        <w:t>•  Configuração da validação de credenciamento por CNPJ (client credentials flow, connected app, rate limit e cache).</w:t>
      </w:r>
    </w:p>
    <w:p>
      <w:pPr>
        <w:pStyle w:val="Normal"/>
        <w:ind w:left="360"/>
      </w:pPr>
      <w:r>
        <w:t>•  Execução de testes de integração, tratamento de erros e documentação das APIs implementadas.</w:t>
      </w:r>
    </w:p>
    <w:p>
      <w:pPr>
        <w:pStyle w:val="Heading1"/>
        <w:numPr>
          <w:ilvl w:val="0"/>
          <w:numId w:val="7"/>
        </w:numPr>
      </w:pPr>
      <w:r>
        <w:t>Pagamento</w:t>
      </w:r>
    </w:p>
    <w:p>
      <w:pPr>
        <w:pStyle w:val="Normal"/>
      </w:pPr>
      <w:r>
        <w:rPr>
          <w:b w:val="0"/>
        </w:rPr>
        <w:t>É necessário um Pedido de Compra (“PO”) para a compra ou pagamento dos produtos neste SOW?</w:t>
      </w:r>
    </w:p>
    <w:p>
      <w:pPr>
        <w:pStyle w:val="Normal"/>
      </w:pPr>
      <w:r>
        <w:rPr>
          <w:b w:val="0"/>
        </w:rPr>
        <w:t>Sim.</w:t>
      </w:r>
    </w:p>
    <w:p>
      <w:pPr>
        <w:pStyle w:val="Normal"/>
      </w:pPr>
      <w:r>
        <w:rPr>
          <w:b w:val="0"/>
        </w:rPr>
        <w:t>O Cliente exige um Pedido de Compra (“PO”) para a compra ou para o pagamento dos Serviços Profissionais nesta Ordem de Serviço. Todos os Honorários são cobrados por horas efetivamente trabalhadas, que serão faturadas mensalmente e pagáveis de acordo com os termos do Contrato. As T&amp;Es, quando aplicáveis, serão faturadas separadamente e reembolsadas conforme a política da Salesforce.</w:t>
      </w:r>
    </w:p>
    <w:p>
      <w:pPr>
        <w:pStyle w:val="Heading1"/>
        <w:numPr>
          <w:ilvl w:val="0"/>
          <w:numId w:val="7"/>
        </w:numPr>
      </w:pPr>
      <w:r>
        <w:t>Assinaturas</w:t>
      </w:r>
    </w:p>
    <w:p>
      <w:pPr>
        <w:pStyle w:val="Normal"/>
      </w:pPr>
      <w:r>
        <w:rPr>
          <w:b w:val="0"/>
        </w:rPr>
        <w:t>Esta Ordem de Serviço pode ser assinada em contrapartidas, cada uma das quais será considerada como original.  EM TESTEMUNHO DO QUE, as partes fizeram com que esta Ordem de Serviço fosse executada por seus representantes devidamente autorizados, conforme identificado abaixo.</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94"/>
        <w:gridCol w:w="1994"/>
        <w:gridCol w:w="1994"/>
        <w:gridCol w:w="1994"/>
        <w:gridCol w:w="1994"/>
      </w:tblGrid>
      <w:tr>
        <w:tc>
          <w:tcPr>
            <w:tcW w:type="dxa" w:w="1994"/>
          </w:tcPr>
          <w:p>
            <w:r/>
            <w:r>
              <w:rPr>
                <w:b/>
              </w:rPr>
              <w:t>Cliente</w:t>
            </w:r>
          </w:p>
        </w:tc>
        <w:tc>
          <w:tcPr>
            <w:tcW w:type="dxa" w:w="1994"/>
          </w:tcPr>
          <w:p>
            <w:r/>
            <w:r>
              <w:rPr>
                <w:b/>
              </w:rPr>
            </w:r>
          </w:p>
        </w:tc>
        <w:tc>
          <w:tcPr>
            <w:tcW w:type="dxa" w:w="1994"/>
          </w:tcPr>
          <w:p>
            <w:r/>
            <w:r>
              <w:rPr>
                <w:b/>
              </w:rPr>
            </w:r>
          </w:p>
        </w:tc>
        <w:tc>
          <w:tcPr>
            <w:tcW w:type="dxa" w:w="1994"/>
          </w:tcPr>
          <w:p>
            <w:r/>
            <w:r>
              <w:rPr>
                <w:b/>
              </w:rPr>
              <w:t>SFDC</w:t>
            </w:r>
          </w:p>
        </w:tc>
        <w:tc>
          <w:tcPr>
            <w:tcW w:type="dxa" w:w="1994"/>
          </w:tcPr>
          <w:p>
            <w:r/>
            <w:r>
              <w:rPr>
                <w:b/>
              </w:rPr>
            </w:r>
          </w:p>
        </w:tc>
      </w:tr>
      <w:tr>
        <w:tc>
          <w:tcPr>
            <w:tcW w:type="dxa" w:w="1994"/>
          </w:tcPr>
          <w:p>
            <w:r/>
            <w:r>
              <w:t>Assinatura de Autorização</w:t>
            </w:r>
          </w:p>
        </w:tc>
        <w:tc>
          <w:tcPr>
            <w:tcW w:type="dxa" w:w="1994"/>
          </w:tcPr>
          <w:p>
            <w:r/>
            <w:r/>
          </w:p>
        </w:tc>
        <w:tc>
          <w:tcPr>
            <w:tcW w:type="dxa" w:w="1994"/>
          </w:tcPr>
          <w:p>
            <w:r/>
            <w:r/>
          </w:p>
        </w:tc>
        <w:tc>
          <w:tcPr>
            <w:tcW w:type="dxa" w:w="1994"/>
          </w:tcPr>
          <w:p>
            <w:r/>
            <w:r>
              <w:t>Assinatura de Autorização</w:t>
            </w:r>
          </w:p>
        </w:tc>
        <w:tc>
          <w:tcPr>
            <w:tcW w:type="dxa" w:w="1994"/>
          </w:tcPr>
          <w:p>
            <w:r/>
            <w:r/>
          </w:p>
        </w:tc>
      </w:tr>
      <w:tr>
        <w:tc>
          <w:tcPr>
            <w:tcW w:type="dxa" w:w="1994"/>
          </w:tcPr>
          <w:p>
            <w:r/>
            <w:r>
              <w:t>Nome</w:t>
            </w:r>
          </w:p>
        </w:tc>
        <w:tc>
          <w:tcPr>
            <w:tcW w:type="dxa" w:w="1994"/>
          </w:tcPr>
          <w:p>
            <w:r/>
            <w:r/>
          </w:p>
        </w:tc>
        <w:tc>
          <w:tcPr>
            <w:tcW w:type="dxa" w:w="1994"/>
          </w:tcPr>
          <w:p>
            <w:r/>
            <w:r/>
          </w:p>
        </w:tc>
        <w:tc>
          <w:tcPr>
            <w:tcW w:type="dxa" w:w="1994"/>
          </w:tcPr>
          <w:p>
            <w:r/>
            <w:r>
              <w:t>Nome</w:t>
            </w:r>
          </w:p>
        </w:tc>
        <w:tc>
          <w:tcPr>
            <w:tcW w:type="dxa" w:w="1994"/>
          </w:tcPr>
          <w:p>
            <w:r/>
            <w:r/>
          </w:p>
        </w:tc>
      </w:tr>
      <w:tr>
        <w:tc>
          <w:tcPr>
            <w:tcW w:type="dxa" w:w="1994"/>
          </w:tcPr>
          <w:p>
            <w:r/>
            <w:r>
              <w:t>Título</w:t>
            </w:r>
          </w:p>
        </w:tc>
        <w:tc>
          <w:tcPr>
            <w:tcW w:type="dxa" w:w="1994"/>
          </w:tcPr>
          <w:p>
            <w:r/>
            <w:r/>
          </w:p>
        </w:tc>
        <w:tc>
          <w:tcPr>
            <w:tcW w:type="dxa" w:w="1994"/>
          </w:tcPr>
          <w:p>
            <w:r/>
            <w:r/>
          </w:p>
        </w:tc>
        <w:tc>
          <w:tcPr>
            <w:tcW w:type="dxa" w:w="1994"/>
          </w:tcPr>
          <w:p>
            <w:r/>
            <w:r>
              <w:t>Título</w:t>
            </w:r>
          </w:p>
        </w:tc>
        <w:tc>
          <w:tcPr>
            <w:tcW w:type="dxa" w:w="1994"/>
          </w:tcPr>
          <w:p>
            <w:r/>
            <w:r/>
          </w:p>
        </w:tc>
      </w:tr>
      <w:tr>
        <w:tc>
          <w:tcPr>
            <w:tcW w:type="dxa" w:w="1994"/>
          </w:tcPr>
          <w:p>
            <w:r/>
            <w:r>
              <w:t>Data</w:t>
            </w:r>
          </w:p>
        </w:tc>
        <w:tc>
          <w:tcPr>
            <w:tcW w:type="dxa" w:w="1994"/>
          </w:tcPr>
          <w:p>
            <w:r/>
            <w:r/>
          </w:p>
        </w:tc>
        <w:tc>
          <w:tcPr>
            <w:tcW w:type="dxa" w:w="1994"/>
          </w:tcPr>
          <w:p>
            <w:r/>
            <w:r/>
          </w:p>
        </w:tc>
        <w:tc>
          <w:tcPr>
            <w:tcW w:type="dxa" w:w="1994"/>
          </w:tcPr>
          <w:p>
            <w:r/>
            <w:r>
              <w:t>Data</w:t>
            </w:r>
          </w:p>
        </w:tc>
        <w:tc>
          <w:tcPr>
            <w:tcW w:type="dxa" w:w="1994"/>
          </w:tcPr>
          <w:p>
            <w:r/>
            <w:r/>
          </w:p>
        </w:tc>
      </w:tr>
    </w:tbl>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134" w:top="851" w:left="1134" w:right="1134" w:header="314" w:footer="3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tabs>
        <w:tab w:val="center" w:leader="none" w:pos="4680"/>
        <w:tab w:val="right" w:leader="none" w:pos="9720"/>
      </w:tabs>
      <w:jc w:val="center"/>
      <w:rPr>
        <w:sz w:val="18"/>
        <w:szCs w:val="18"/>
      </w:rPr>
    </w:pPr>
    <w:r w:rsidDel="00000000" w:rsidR="00000000" w:rsidRPr="00000000">
      <w:rPr>
        <w:b w:val="1"/>
        <w:bCs w:val="1"/>
        <w:sz w:val="16"/>
        <w:szCs w:val="16"/>
        <w:rtl w:val="0"/>
      </w:rPr>
      <w:t xml:space="preserve">Página </w:t>
    </w:r>
    <w:r w:rsidDel="00000000" w:rsidR="00000000" w:rsidRPr="00000000">
      <w:rPr>
        <w:b w:val="1"/>
        <w:bCs w:val="1"/>
        <w:sz w:val="16"/>
        <w:szCs w:val="16"/>
      </w:rPr>
      <w:fldChar w:fldCharType="begin"/>
      <w:instrText xml:space="preserve">PAGE</w:instrText>
      <w:fldChar w:fldCharType="separate"/>
      <w:fldChar w:fldCharType="end"/>
    </w:r>
    <w:r w:rsidDel="00000000" w:rsidR="00000000" w:rsidRPr="00000000">
      <w:rPr>
        <w:b w:val="1"/>
        <w:bCs w:val="1"/>
        <w:sz w:val="16"/>
        <w:szCs w:val="16"/>
        <w:rtl w:val="0"/>
      </w:rPr>
      <w:t xml:space="preserve"> de </w:t>
    </w:r>
    <w:r w:rsidDel="00000000" w:rsidR="00000000" w:rsidRPr="00000000">
      <w:rPr>
        <w:b w:val="1"/>
        <w:bCs w:val="1"/>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D9">
    <w:pPr>
      <w:tabs>
        <w:tab w:val="center" w:leader="none" w:pos="4680"/>
        <w:tab w:val="right" w:leader="none" w:pos="9720"/>
      </w:tabs>
      <w:rPr>
        <w:b w:val="1"/>
        <w:bCs w:val="1"/>
        <w:color w:val="ff0000"/>
        <w:sz w:val="12"/>
        <w:szCs w:val="12"/>
      </w:rPr>
    </w:pPr>
    <w:r w:rsidDel="00000000" w:rsidR="00000000" w:rsidRPr="00000000">
      <w:rPr>
        <w:rtl w:val="0"/>
      </w:rPr>
    </w:r>
  </w:p>
  <w:p w:rsidR="00000000" w:rsidDel="00000000" w:rsidP="00000000" w:rsidRDefault="00000000" w:rsidRPr="00000000" w14:paraId="000001DA">
    <w:pPr>
      <w:tabs>
        <w:tab w:val="center" w:leader="none" w:pos="4680"/>
        <w:tab w:val="right" w:leader="none" w:pos="10440"/>
      </w:tabs>
      <w:ind w:right="26"/>
      <w:rPr/>
    </w:pPr>
    <w:r w:rsidDel="00000000" w:rsidR="00000000" w:rsidRPr="00000000">
      <w:rPr>
        <w:b w:val="1"/>
        <w:bCs w:val="1"/>
        <w:color w:val="ff0000"/>
        <w:sz w:val="12"/>
        <w:szCs w:val="12"/>
        <w:rtl w:val="0"/>
      </w:rPr>
      <w:t xml:space="preserve">Aviso de Confidencialidade.</w:t>
    </w:r>
    <w:r w:rsidDel="00000000" w:rsidR="00000000" w:rsidRPr="00000000">
      <w:rPr>
        <w:color w:val="ff0000"/>
        <w:sz w:val="12"/>
        <w:szCs w:val="12"/>
        <w:rtl w:val="0"/>
      </w:rPr>
      <w:t xml:space="preserve"> </w:t>
    </w:r>
    <w:r w:rsidDel="00000000" w:rsidR="00000000" w:rsidRPr="00000000">
      <w:rPr>
        <w:b w:val="1"/>
        <w:bCs w:val="1"/>
        <w:color w:val="ff0000"/>
        <w:sz w:val="12"/>
        <w:szCs w:val="12"/>
        <w:rtl w:val="0"/>
      </w:rPr>
      <w:t xml:space="preserve"> </w:t>
    </w:r>
    <w:r w:rsidDel="00000000" w:rsidR="00000000" w:rsidRPr="00000000">
      <w:rPr>
        <w:sz w:val="12"/>
        <w:szCs w:val="12"/>
        <w:rtl w:val="0"/>
      </w:rPr>
      <w:t xml:space="preserve">Este documento é de propriedade da salesforce.com e Informações Confidenciais. Nem este documento nem seu conteúdo podem ser revelados ou divulgados a pessoas não autorizadas ou enviados para fora da instituição acima mencionada sem a permissão prévia da Salesforce, Inc.</w:t>
    </w:r>
    <w:r w:rsidDel="00000000" w:rsidR="00000000" w:rsidRPr="00000000">
      <w:rPr>
        <w:b w:val="1"/>
        <w:bCs w:val="1"/>
        <w:color w:val="ff0000"/>
        <w:sz w:val="12"/>
        <w:szCs w:val="12"/>
        <w:rtl w:val="0"/>
      </w:rPr>
      <w:t xml:space="preserve"> </w:t>
    </w:r>
    <w:r w:rsidDel="00000000" w:rsidR="00000000" w:rsidRPr="00000000">
      <w:rPr>
        <w:color w:val="ff0000"/>
        <w:sz w:val="12"/>
        <w:szCs w:val="12"/>
        <w:rtl w:val="0"/>
      </w:rPr>
      <w:tab/>
    </w:r>
    <w:r w:rsidDel="00000000" w:rsidR="00000000" w:rsidRPr="00000000">
      <w:rPr>
        <w:sz w:val="12"/>
        <w:szCs w:val="12"/>
        <w:rtl w:val="0"/>
      </w:rPr>
      <w:t xml:space="preserve">© 2015-2022 Salesforce, Inc. Todos os direitos reservados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tabs>
        <w:tab w:val="center" w:leader="none" w:pos="4680"/>
        <w:tab w:val="right" w:leader="none" w:pos="9720"/>
      </w:tabs>
      <w:jc w:val="center"/>
      <w:rPr/>
    </w:pPr>
    <w:r w:rsidDel="00000000" w:rsidR="00000000" w:rsidRPr="00000000">
      <w:rPr>
        <w:b w:val="1"/>
        <w:bCs w:val="1"/>
        <w:sz w:val="16"/>
        <w:szCs w:val="16"/>
        <w:rtl w:val="0"/>
      </w:rPr>
      <w:t xml:space="preserve">Página </w:t>
    </w:r>
    <w:r w:rsidDel="00000000" w:rsidR="00000000" w:rsidRPr="00000000">
      <w:rPr>
        <w:b w:val="1"/>
        <w:bCs w:val="1"/>
        <w:sz w:val="16"/>
        <w:szCs w:val="16"/>
      </w:rPr>
      <w:fldChar w:fldCharType="begin"/>
      <w:instrText xml:space="preserve">PAGE</w:instrText>
      <w:fldChar w:fldCharType="separate"/>
      <w:fldChar w:fldCharType="end"/>
    </w:r>
    <w:r w:rsidDel="00000000" w:rsidR="00000000" w:rsidRPr="00000000">
      <w:rPr>
        <w:b w:val="1"/>
        <w:bCs w:val="1"/>
        <w:sz w:val="16"/>
        <w:szCs w:val="16"/>
        <w:rtl w:val="0"/>
      </w:rPr>
      <w:t xml:space="preserve"> de </w:t>
    </w:r>
    <w:r w:rsidDel="00000000" w:rsidR="00000000" w:rsidRPr="00000000">
      <w:rPr>
        <w:b w:val="1"/>
        <w:bCs w:val="1"/>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DC">
    <w:pPr>
      <w:tabs>
        <w:tab w:val="center" w:leader="none" w:pos="4680"/>
        <w:tab w:val="right" w:leader="none" w:pos="9720"/>
      </w:tabs>
      <w:rPr>
        <w:b w:val="1"/>
        <w:bCs w:val="1"/>
        <w:color w:val="ff0000"/>
        <w:sz w:val="12"/>
        <w:szCs w:val="12"/>
      </w:rPr>
    </w:pPr>
    <w:r w:rsidDel="00000000" w:rsidR="00000000" w:rsidRPr="00000000">
      <w:rPr>
        <w:rtl w:val="0"/>
      </w:rPr>
    </w:r>
  </w:p>
  <w:p w:rsidR="00000000" w:rsidDel="00000000" w:rsidP="00000000" w:rsidRDefault="00000000" w:rsidRPr="00000000" w14:paraId="000001DD">
    <w:pPr>
      <w:tabs>
        <w:tab w:val="center" w:leader="none" w:pos="4680"/>
        <w:tab w:val="right" w:leader="none" w:pos="10440"/>
      </w:tabs>
      <w:ind w:right="26"/>
      <w:rPr/>
    </w:pPr>
    <w:r w:rsidDel="00000000" w:rsidR="00000000" w:rsidRPr="00000000">
      <w:rPr>
        <w:b w:val="1"/>
        <w:bCs w:val="1"/>
        <w:color w:val="ff0000"/>
        <w:sz w:val="12"/>
        <w:szCs w:val="12"/>
        <w:rtl w:val="0"/>
      </w:rPr>
      <w:t xml:space="preserve">Aviso de Confidencialidade.</w:t>
    </w:r>
    <w:r w:rsidDel="00000000" w:rsidR="00000000" w:rsidRPr="00000000">
      <w:rPr>
        <w:color w:val="ff0000"/>
        <w:sz w:val="12"/>
        <w:szCs w:val="12"/>
        <w:rtl w:val="0"/>
      </w:rPr>
      <w:t xml:space="preserve"> </w:t>
    </w:r>
    <w:r w:rsidDel="00000000" w:rsidR="00000000" w:rsidRPr="00000000">
      <w:rPr>
        <w:b w:val="1"/>
        <w:bCs w:val="1"/>
        <w:color w:val="ff0000"/>
        <w:sz w:val="12"/>
        <w:szCs w:val="12"/>
        <w:rtl w:val="0"/>
      </w:rPr>
      <w:t xml:space="preserve"> </w:t>
    </w:r>
    <w:r w:rsidDel="00000000" w:rsidR="00000000" w:rsidRPr="00000000">
      <w:rPr>
        <w:sz w:val="12"/>
        <w:szCs w:val="12"/>
        <w:rtl w:val="0"/>
      </w:rPr>
      <w:t xml:space="preserve">Este documento é de propriedade da salesforce.com e Informações Confidenciais. Nem este documento nem seu conteúdo podem ser revelados ou divulgados a pessoas não autorizadas ou enviados para fora da instituição acima mencionada sem a permissão prévia da Salesforce, Inc.</w:t>
    </w:r>
    <w:r w:rsidDel="00000000" w:rsidR="00000000" w:rsidRPr="00000000">
      <w:rPr>
        <w:b w:val="1"/>
        <w:bCs w:val="1"/>
        <w:color w:val="ff0000"/>
        <w:sz w:val="12"/>
        <w:szCs w:val="12"/>
        <w:rtl w:val="0"/>
      </w:rPr>
      <w:t xml:space="preserve"> </w:t>
    </w:r>
    <w:r w:rsidDel="00000000" w:rsidR="00000000" w:rsidRPr="00000000">
      <w:rPr>
        <w:color w:val="ff0000"/>
        <w:sz w:val="12"/>
        <w:szCs w:val="12"/>
        <w:rtl w:val="0"/>
      </w:rPr>
      <w:tab/>
    </w:r>
    <w:r w:rsidDel="00000000" w:rsidR="00000000" w:rsidRPr="00000000">
      <w:rPr>
        <w:sz w:val="12"/>
        <w:szCs w:val="12"/>
        <w:rtl w:val="0"/>
      </w:rPr>
      <w:t xml:space="preserve">© 2015-2022 Salesforce, Inc. Todos os direitos reservados</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Lines w:val="1"/>
      <w:pBdr>
        <w:top w:color="000000" w:space="1" w:sz="6" w:val="single"/>
        <w:left w:space="0" w:sz="0" w:val="nil"/>
        <w:bottom w:space="0" w:sz="0" w:val="nil"/>
        <w:right w:space="0" w:sz="0" w:val="nil"/>
        <w:between w:space="0" w:sz="0" w:val="nil"/>
      </w:pBdr>
      <w:tabs>
        <w:tab w:val="center" w:leader="none" w:pos="4320"/>
        <w:tab w:val="right" w:leader="none" w:pos="8640"/>
      </w:tabs>
      <w:spacing w:after="240" w:before="120" w:lineRule="auto"/>
      <w:rPr>
        <w:smallCaps w:val="1"/>
        <w:color w:val="000000"/>
        <w:sz w:val="15"/>
        <w:szCs w:val="15"/>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pBdr>
        <w:top w:space="0" w:sz="0" w:val="nil"/>
        <w:left w:space="0" w:sz="0" w:val="nil"/>
        <w:bottom w:space="0" w:sz="0" w:val="nil"/>
        <w:right w:space="0" w:sz="0" w:val="nil"/>
        <w:between w:space="0" w:sz="0" w:val="nil"/>
      </w:pBdr>
      <w:tabs>
        <w:tab w:val="center" w:leader="none" w:pos="4320"/>
        <w:tab w:val="right" w:leader="none" w:pos="8640"/>
      </w:tabs>
      <w:rPr>
        <w:color w:val="000000"/>
        <w:sz w:val="15"/>
        <w:szCs w:val="15"/>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pBdr>
        <w:top w:space="0" w:sz="0" w:val="nil"/>
        <w:left w:space="0" w:sz="0" w:val="nil"/>
        <w:bottom w:space="0" w:sz="0" w:val="nil"/>
        <w:right w:space="0" w:sz="0" w:val="nil"/>
        <w:between w:space="0" w:sz="0" w:val="nil"/>
      </w:pBdr>
      <w:tabs>
        <w:tab w:val="center" w:leader="none" w:pos="4320"/>
        <w:tab w:val="right" w:leader="none" w:pos="8640"/>
      </w:tabs>
      <w:rPr>
        <w:color w:val="000000"/>
        <w:sz w:val="6"/>
        <w:szCs w:val="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4674870</wp:posOffset>
          </wp:positionH>
          <wp:positionV relativeFrom="paragraph">
            <wp:posOffset>-23784</wp:posOffset>
          </wp:positionV>
          <wp:extent cx="1649730" cy="350567"/>
          <wp:effectExtent b="0" l="0" r="0" t="0"/>
          <wp:wrapNone/>
          <wp:docPr descr="https://lh5.googleusercontent.com/4RvkrcjYhbVxf8g60qnFFZe9OPAN-S4FeGroP4DG8jPvnuTEQAm_WEmS4sWjFuR6nCpeH7vWBqG6B4DYVKfg9eBX6dnHz6efwNr_ZYaqWmORasJu3iKVG2s3RARQLQHB1Xvg0PnE6_I" id="2" name="image1.png"/>
          <a:graphic>
            <a:graphicData uri="http://schemas.openxmlformats.org/drawingml/2006/picture">
              <pic:pic>
                <pic:nvPicPr>
                  <pic:cNvPr descr="https://lh5.googleusercontent.com/4RvkrcjYhbVxf8g60qnFFZe9OPAN-S4FeGroP4DG8jPvnuTEQAm_WEmS4sWjFuR6nCpeH7vWBqG6B4DYVKfg9eBX6dnHz6efwNr_ZYaqWmORasJu3iKVG2s3RARQLQHB1Xvg0PnE6_I" id="0" name="image1.png"/>
                  <pic:cNvPicPr preferRelativeResize="0"/>
                </pic:nvPicPr>
                <pic:blipFill>
                  <a:blip r:embed="rId1"/>
                  <a:srcRect b="0" l="0" r="0" t="0"/>
                  <a:stretch>
                    <a:fillRect/>
                  </a:stretch>
                </pic:blipFill>
                <pic:spPr>
                  <a:xfrm>
                    <a:off x="0" y="0"/>
                    <a:ext cx="1649730" cy="350567"/>
                  </a:xfrm>
                  <a:prstGeom prst="rect"/>
                  <a:ln/>
                </pic:spPr>
              </pic:pic>
            </a:graphicData>
          </a:graphic>
        </wp:anchor>
      </w:drawing>
    </w:r>
  </w:p>
  <w:p w:rsidR="00000000" w:rsidDel="00000000" w:rsidP="00000000" w:rsidRDefault="00000000" w:rsidRPr="00000000" w14:paraId="000001D6">
    <w:pPr>
      <w:pBdr>
        <w:top w:space="0" w:sz="0" w:val="nil"/>
        <w:left w:space="0" w:sz="0" w:val="nil"/>
        <w:bottom w:space="0" w:sz="0" w:val="nil"/>
        <w:right w:space="0" w:sz="0" w:val="nil"/>
        <w:between w:space="0" w:sz="0" w:val="nil"/>
      </w:pBdr>
      <w:tabs>
        <w:tab w:val="center" w:leader="none" w:pos="4320"/>
        <w:tab w:val="right" w:leader="none" w:pos="8640"/>
      </w:tabs>
      <w:jc w:val="center"/>
      <w:rPr>
        <w:b w:val="1"/>
        <w:bCs w:val="1"/>
        <w:color w:val="000000"/>
        <w:sz w:val="32"/>
        <w:szCs w:val="32"/>
      </w:rPr>
    </w:pPr>
    <w:r w:rsidDel="00000000" w:rsidR="00000000" w:rsidRPr="00000000">
      <w:rPr>
        <w:b w:val="1"/>
        <w:bCs w:val="1"/>
        <w:color w:val="000000"/>
        <w:sz w:val="32"/>
        <w:szCs w:val="32"/>
        <w:rtl w:val="0"/>
      </w:rPr>
      <w:t xml:space="preserve">Ordem de Serviço</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pBdr>
        <w:top w:space="0" w:sz="0" w:val="nil"/>
        <w:left w:space="0" w:sz="0" w:val="nil"/>
        <w:bottom w:space="0" w:sz="0" w:val="nil"/>
        <w:right w:space="0" w:sz="0" w:val="nil"/>
        <w:between w:space="0" w:sz="0" w:val="nil"/>
      </w:pBdr>
      <w:tabs>
        <w:tab w:val="center" w:leader="none" w:pos="4320"/>
        <w:tab w:val="right" w:leader="none" w:pos="8640"/>
      </w:tabs>
      <w:rPr>
        <w:color w:val="000000"/>
        <w:sz w:val="15"/>
        <w:szCs w:val="15"/>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lvl>
    <w:lvl w:ilvl="1">
      <w:start w:val="1"/>
      <w:numFmt w:val="decimal"/>
      <w:lvlText w:val="%1.%2."/>
      <w:lvlJc w:val="left"/>
      <w:pPr>
        <w:ind w:left="0" w:firstLine="0"/>
      </w:pPr>
      <w:rPr/>
    </w:lvl>
    <w:lvl w:ilvl="2">
      <w:start w:val="1"/>
      <w:numFmt w:val="decimal"/>
      <w:lvlText w:val="%1.%2.%3."/>
      <w:lvlJc w:val="left"/>
      <w:pPr>
        <w:ind w:left="0" w:firstLine="720"/>
      </w:pPr>
      <w:rPr/>
    </w:lvl>
    <w:lvl w:ilvl="3">
      <w:start w:val="1"/>
      <w:numFmt w:val="decimal"/>
      <w:lvlText w:val="%1.%2.%3.%4"/>
      <w:lvlJc w:val="left"/>
      <w:pPr>
        <w:ind w:left="1080" w:hanging="3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pt_BR"/>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24"/>
      <w:szCs w:val="24"/>
    </w:rPr>
  </w:style>
  <w:style w:type="paragraph" w:styleId="Heading2">
    <w:name w:val="heading 2"/>
    <w:basedOn w:val="Normal"/>
    <w:next w:val="Normal"/>
    <w:pPr>
      <w:keepNext w:val="1"/>
      <w:spacing w:before="240" w:lineRule="auto"/>
      <w:ind w:left="1440" w:hanging="360"/>
    </w:pPr>
    <w:rPr>
      <w:b w:val="1"/>
      <w:bCs w:val="1"/>
    </w:rPr>
  </w:style>
  <w:style w:type="paragraph" w:styleId="Heading3">
    <w:name w:val="heading 3"/>
    <w:basedOn w:val="Normal"/>
    <w:next w:val="Normal"/>
    <w:pPr>
      <w:keepNext w:val="1"/>
      <w:spacing w:after="120" w:before="240" w:lineRule="auto"/>
      <w:ind w:left="2160" w:hanging="360"/>
    </w:pPr>
    <w:rPr>
      <w:b w:val="1"/>
      <w:bCs w:val="1"/>
    </w:rPr>
  </w:style>
  <w:style w:type="paragraph" w:styleId="Heading4">
    <w:name w:val="heading 4"/>
    <w:basedOn w:val="Normal"/>
    <w:next w:val="Normal"/>
    <w:pPr>
      <w:keepNext w:val="1"/>
      <w:tabs>
        <w:tab w:val="left" w:leader="none" w:pos="1440"/>
      </w:tabs>
      <w:spacing w:after="60" w:before="240" w:lineRule="auto"/>
      <w:ind w:left="2880" w:hanging="360"/>
    </w:pPr>
    <w:rPr>
      <w:rFonts w:ascii="Cambria" w:cs="Cambria" w:eastAsia="Cambria" w:hAnsi="Cambria"/>
      <w:b w:val="1"/>
      <w:bCs w:val="1"/>
      <w:i w:val="1"/>
      <w:iCs w:val="1"/>
      <w:color w:val="070c10"/>
    </w:rPr>
  </w:style>
  <w:style w:type="paragraph" w:styleId="Heading5">
    <w:name w:val="heading 5"/>
    <w:basedOn w:val="Normal"/>
    <w:next w:val="Normal"/>
    <w:pPr>
      <w:keepLines w:val="1"/>
      <w:spacing w:after="120" w:lineRule="auto"/>
    </w:pPr>
    <w:rPr>
      <w:b w:val="1"/>
      <w:bCs w:val="1"/>
      <w:i w:val="1"/>
      <w:iCs w:val="1"/>
      <w:sz w:val="18"/>
      <w:szCs w:val="18"/>
    </w:rPr>
  </w:style>
  <w:style w:type="paragraph" w:styleId="Heading6">
    <w:name w:val="heading 6"/>
    <w:basedOn w:val="Normal"/>
    <w:next w:val="Normal"/>
    <w:pPr>
      <w:spacing w:after="240" w:before="240" w:lineRule="auto"/>
    </w:pPr>
    <w:rPr>
      <w:i w:val="1"/>
      <w:iCs w:val="1"/>
      <w:sz w:val="22"/>
      <w:szCs w:val="22"/>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CommentText">
    <w:name w:val="annotation text"/>
    <w:basedOn w:val="Normal"/>
  </w:style>
  <w:style w:type="paragraph" w:styleId="Subtitle">
    <w:name w:val="Subtitle"/>
    <w:basedOn w:val="Normal"/>
    <w:next w:val="Normal"/>
    <w:pPr>
      <w:keepNext w:val="1"/>
      <w:keepLines w:val="1"/>
      <w:pBdr>
        <w:bottom w:space="0" w:sz="0" w:val="nil"/>
      </w:pBdr>
      <w:spacing w:after="2640" w:before="360" w:lineRule="auto"/>
      <w:ind w:left="5760"/>
      <w:jc w:val="right"/>
    </w:pPr>
    <w:rPr>
      <w:color w:val="000000"/>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gov.br" TargetMode="Externa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BI6knY+yGdlju/ZOyVsK7KHMtg==">CgMxLjAaHwoBMBIaChgICVIUChJ0YWJsZS5zaHVuYXdhOG8xM2QyCGguZ2pkZ3hzMgppZC4zMGowemxsMg5oLnlpbmMyenhjeDJjMDIOaC5sOHZwdjZ4OXFlczAyDmgua3J6bW5hZTJkOHRzMgloLjN6bnlzaDc4AHIhMXpqZ2dfcGRVN1dQNHVQN2NJZFp6bXRkNHhreVlwZEhX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