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32D60"/>
          <w:sz w:val="48"/>
        </w:rPr>
        <w:t>STATEMENT OF WORK (SOW)</w:t>
      </w:r>
    </w:p>
    <w:p>
      <w:pPr>
        <w:jc w:val="center"/>
      </w:pPr>
      <w:r>
        <w:rPr>
          <w:color w:val="0070D2"/>
          <w:sz w:val="26"/>
        </w:rPr>
        <w:t>Salesforce Professional Services</w:t>
      </w:r>
    </w:p>
    <w:p/>
    <w:p>
      <w:pPr>
        <w:jc w:val="center"/>
      </w:pPr>
      <w:r>
        <w:rPr>
          <w:b/>
          <w:color w:val="032D60"/>
          <w:sz w:val="36"/>
        </w:rPr>
        <w:t>CLARO BRASIL — CPQ Design</w:t>
      </w:r>
    </w:p>
    <w:p>
      <w:pPr>
        <w:jc w:val="center"/>
      </w:pPr>
      <w:r>
        <w:rPr>
          <w:color w:val="54698D"/>
          <w:sz w:val="24"/>
        </w:rPr>
        <w:t>Desenho de Catálogo Unificado e Estrutura de CPQ</w:t>
        <w:br/>
        <w:t>Salesforce Communications Cloud (EPC · BRE · Order Management)</w:t>
      </w:r>
    </w:p>
    <w:p/>
    <w:p>
      <w:pPr>
        <w:jc w:val="center"/>
      </w:pPr>
      <w:r>
        <w:rPr>
          <w:i/>
          <w:color w:val="54698D"/>
          <w:sz w:val="22"/>
        </w:rPr>
        <w:t>Modelo de Engajamento: Fixed Fee — Baseado em Outcomes (4 Outcomes)</w:t>
        <w:br/>
        <w:t>Entregas: 4 outcomes em cadência quinzenal · Fluxo de caixa em ~2 meses</w:t>
        <w:br/>
        <w:t>Região: LATAM — Brasil</w:t>
      </w:r>
    </w:p>
    <w:p/>
    <w:p>
      <w:pPr>
        <w:jc w:val="center"/>
      </w:pPr>
      <w:r>
        <w:rPr>
          <w:color w:val="54698D"/>
          <w:sz w:val="18"/>
        </w:rPr>
        <w:t>Versão 1.0 (Rascunho) · Confidencial</w:t>
      </w:r>
    </w:p>
    <w:p>
      <w:r>
        <w:br w:type="page"/>
      </w:r>
    </w:p>
    <w:p>
      <w:pPr>
        <w:pStyle w:val="Heading1"/>
      </w:pPr>
      <w:r>
        <w:rPr>
          <w:color w:val="032D60"/>
          <w:sz w:val="30"/>
        </w:rPr>
        <w:t>1. Visão Geral</w:t>
      </w:r>
    </w:p>
    <w:p>
      <w:pPr>
        <w:pStyle w:val="Heading2"/>
      </w:pPr>
      <w:r>
        <w:rPr>
          <w:color w:val="0070D2"/>
          <w:sz w:val="25"/>
        </w:rPr>
        <w:t>1.1 Introdução</w:t>
      </w:r>
    </w:p>
    <w:p>
      <w:r>
        <w:rPr>
          <w:b w:val="0"/>
          <w:i w:val="0"/>
          <w:sz w:val="21"/>
        </w:rPr>
        <w:t>Este Statement of Work ("SOW") descreve os serviços profissionais ("Serviços") a serem prestados pela Salesforce ("SFDC") ao Cliente ("Claro Brasil"), sob os termos do Master Subscription Agreement (ou contrato equivalente vigente) firmado entre as partes. O objetivo do engajamento é o desenho da estrutura de Catálogo Unificado e da lógica de CPQ na Salesforce Communications Cloud, traduzindo as regras de negócio, ofertas, planos e serviços técnicos da Claro Brasil em um modelo de dados estruturado que habilite venda ágil, cross-sell e up-sell, substituindo matrizes customizadas legadas por capacidades nativas (EPC/BRE).</w:t>
      </w:r>
    </w:p>
    <w:p>
      <w:pPr>
        <w:pStyle w:val="Heading2"/>
      </w:pPr>
      <w:r>
        <w:rPr>
          <w:color w:val="0070D2"/>
          <w:sz w:val="25"/>
        </w:rPr>
        <w:t>1.2 Dados do Cliente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032D60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192"/>
            <w:shd w:val="clear" w:color="auto" w:fill="032D60"/>
          </w:tcPr>
          <w:p>
            <w:r/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Cliente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Claro Brasil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Responsável por Contratos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 preencher]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Contato de Faturamento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 preencher]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Contato de Envio / Projeto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 preencher]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CNPJ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 preencher]</w:t>
            </w:r>
          </w:p>
        </w:tc>
      </w:tr>
    </w:tbl>
    <w:p>
      <w:pPr>
        <w:pStyle w:val="Heading2"/>
      </w:pPr>
      <w:r>
        <w:rPr>
          <w:color w:val="0070D2"/>
          <w:sz w:val="25"/>
        </w:rPr>
        <w:t>1.3 Dados SFDC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032D60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192"/>
            <w:shd w:val="clear" w:color="auto" w:fill="032D60"/>
          </w:tcPr>
          <w:p>
            <w:r/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Entidade Legal SFDC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Salesforce (entidade contratante LATAM)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Contato de Vendas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Nelson Stebulaitis Filho — Services Sales Solution Manager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Região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LATAM — Brasil</w:t>
            </w:r>
          </w:p>
        </w:tc>
      </w:tr>
    </w:tbl>
    <w:p>
      <w:pPr>
        <w:pStyle w:val="Heading2"/>
      </w:pPr>
      <w:r>
        <w:rPr>
          <w:color w:val="0070D2"/>
          <w:sz w:val="25"/>
        </w:rPr>
        <w:t>1.4 Definições</w:t>
      </w:r>
    </w:p>
    <w:p>
      <w:r>
        <w:rPr>
          <w:b/>
          <w:color w:val="032D60"/>
        </w:rPr>
        <w:t xml:space="preserve">"Contrato" </w:t>
      </w:r>
      <w:r>
        <w:t>significa o Contrato de Serviços Profissionais disponível em https://www.salesforce.com/company/legal/agreements.</w:t>
      </w:r>
    </w:p>
    <w:p>
      <w:r>
        <w:rPr>
          <w:b/>
          <w:color w:val="032D60"/>
        </w:rPr>
        <w:t xml:space="preserve">"Aplicação" </w:t>
      </w:r>
      <w:r>
        <w:t>significa qualquer serviço online, baseado na web e componentes on-premises offline disponibilizados pela SFDC ou qualquer Afiliada da SFDC ao Cliente sob um contrato separado em vigor entre o Cliente e a SFDC ou qualquer Afiliada da SFDC.</w:t>
      </w:r>
    </w:p>
    <w:p>
      <w:r>
        <w:rPr>
          <w:b/>
          <w:color w:val="032D60"/>
        </w:rPr>
        <w:t xml:space="preserve">"Pedido de Alteração" </w:t>
      </w:r>
      <w:r>
        <w:t>é uma emenda formal a esta SOW gerada pela SFDC e assinada por ambas as partes.</w:t>
      </w:r>
    </w:p>
    <w:p>
      <w:r>
        <w:rPr>
          <w:b/>
          <w:color w:val="032D60"/>
        </w:rPr>
        <w:t xml:space="preserve">"Data de Vigência" </w:t>
      </w:r>
      <w:r>
        <w:t>será a última das respectivas datas de assinaturas desta SOW pelas partes e do recebimento da PO, se exigido pelo Cliente ou pela SFDC.</w:t>
      </w:r>
    </w:p>
    <w:p>
      <w:r>
        <w:rPr>
          <w:b/>
          <w:color w:val="032D60"/>
        </w:rPr>
        <w:t xml:space="preserve">"Honorários" </w:t>
      </w:r>
      <w:r>
        <w:t>significam os honorários de Serviços Profissionais de acordo com o desempenho desta SOW.</w:t>
      </w:r>
    </w:p>
    <w:p>
      <w:r>
        <w:rPr>
          <w:b/>
          <w:color w:val="032D60"/>
        </w:rPr>
        <w:t xml:space="preserve">"Prazo da SOW" </w:t>
      </w:r>
      <w:r>
        <w:t>significa a duração do desempenho dos Serviços Profissionais de acordo com esta SOW e qualquer Pedido de Alteração.</w:t>
      </w:r>
    </w:p>
    <w:p>
      <w:r>
        <w:rPr>
          <w:b/>
          <w:color w:val="032D60"/>
        </w:rPr>
        <w:t xml:space="preserve">"T&amp;E" </w:t>
      </w:r>
      <w:r>
        <w:t>significa todas as despesas relacionadas com viagens e outras despesas, incluindo, mas não se limitando ao transporte, quilometragem e despesas razoáveis desembolsadas, incorridas pela SFDC na execução dos Serviços Profissionais.</w:t>
      </w:r>
    </w:p>
    <w:p>
      <w:r>
        <w:br w:type="page"/>
      </w:r>
    </w:p>
    <w:p>
      <w:pPr>
        <w:pStyle w:val="Heading1"/>
      </w:pPr>
      <w:r>
        <w:rPr>
          <w:color w:val="032D60"/>
          <w:sz w:val="30"/>
        </w:rPr>
        <w:t>2. Escopo</w:t>
      </w:r>
    </w:p>
    <w:p>
      <w:pPr>
        <w:pStyle w:val="Heading2"/>
      </w:pPr>
      <w:r>
        <w:rPr>
          <w:color w:val="0070D2"/>
          <w:sz w:val="25"/>
        </w:rPr>
        <w:t>2.1 Histórico e Objetivo</w:t>
      </w:r>
    </w:p>
    <w:p>
      <w:r>
        <w:rPr>
          <w:b w:val="0"/>
          <w:i w:val="0"/>
          <w:sz w:val="21"/>
        </w:rPr>
        <w:t>A Claro Brasil, maior operadora de telecomunicações do país, opera cinco linhas de negócio (Móvel, TV, Banda Larga, Fixo e Aparelhos) com catálogos e regras de precificação mantidos em matrizes customizadas legadas. Esta fragmentação eleva o time-to-market (TTM) de novas ofertas e dificulta a venda de combos multi-LOB. Este engajamento — de natureza exclusivamente de DESIGN (não implementação produtiva) — visa desenhar, na Communications Cloud, um modelo de catálogo unificado de duas camadas (Produto Comercial + Produto Técnico/CFS), regras de CPQ (elegibilidade, compatibilidade e precificação via BRE) e o padrão de decomposição de pedidos para os sistemas legados, validado por uma Prova de Conceito (PoC) funcional. Esta seção 2.1 é informativa e descreve os objetivos de negócio em alto nível.</w:t>
      </w:r>
    </w:p>
    <w:p>
      <w:pPr>
        <w:pStyle w:val="Heading3"/>
      </w:pPr>
      <w:r>
        <w:rPr>
          <w:color w:val="54698D"/>
          <w:sz w:val="22"/>
        </w:rPr>
        <w:t>Objetivos de Negócio (KPIs-alvo)</w:t>
      </w:r>
    </w:p>
    <w:p>
      <w:pPr>
        <w:pStyle w:val="ListBullet"/>
        <w:ind w:left="360"/>
      </w:pPr>
      <w:r>
        <w:t>Redução de 45% no TTM de lançamento de ofertas (horizonte de 12 meses).</w:t>
      </w:r>
    </w:p>
    <w:p>
      <w:pPr>
        <w:pStyle w:val="ListBullet"/>
        <w:ind w:left="360"/>
      </w:pPr>
      <w:r>
        <w:t>100% das ofertas (até 20 por LOB) mapeadas no EPC ao final da fase de design.</w:t>
      </w:r>
    </w:p>
    <w:p>
      <w:pPr>
        <w:pStyle w:val="ListBullet"/>
        <w:ind w:left="360"/>
      </w:pPr>
      <w:r>
        <w:t>100% das regras de precificação modeladas via BRE — zero matrizes customizadas.</w:t>
      </w:r>
    </w:p>
    <w:p>
      <w:pPr>
        <w:pStyle w:val="ListBullet"/>
        <w:ind w:left="360"/>
      </w:pPr>
      <w:r>
        <w:t>Erro de payload de Order Management (OM) → 0% na PoC.</w:t>
      </w:r>
    </w:p>
    <w:p>
      <w:pPr>
        <w:pStyle w:val="ListBullet"/>
        <w:ind w:left="360"/>
      </w:pPr>
      <w:r>
        <w:t>Resposta de elegibilidade por CEP em menos de 2 segundos.</w:t>
      </w:r>
    </w:p>
    <w:p>
      <w:pPr>
        <w:pStyle w:val="ListBullet"/>
        <w:ind w:left="360"/>
      </w:pPr>
      <w:r>
        <w:t>Redução de 30% no abandono de carrinho por incompatibilidade.</w:t>
      </w:r>
    </w:p>
    <w:p>
      <w:pPr>
        <w:pStyle w:val="ListBullet"/>
        <w:ind w:left="360"/>
      </w:pPr>
      <w:r>
        <w:t>Aumento de 15% no ticket médio por combo multi-LOB (6 meses pós go-live).</w:t>
      </w:r>
    </w:p>
    <w:p>
      <w:pPr>
        <w:pStyle w:val="Heading2"/>
      </w:pPr>
      <w:r>
        <w:rPr>
          <w:color w:val="0070D2"/>
          <w:sz w:val="25"/>
        </w:rPr>
        <w:t>2.2 Serviços de Implementação — Communications Cloud (Design)</w:t>
      </w:r>
    </w:p>
    <w:p>
      <w:r>
        <w:rPr>
          <w:b w:val="0"/>
          <w:i/>
          <w:sz w:val="21"/>
        </w:rPr>
        <w:t>Os Serviços a seguir compõem a fase de Design da Communications Cloud (SFI — Industries / Communications Cloud Expert Services, ref. SLL 1.2.21 / 2.3.10). Todos os entregáveis são de natureza de desenho e prova de conceito.</w:t>
      </w:r>
    </w:p>
    <w:p>
      <w:pPr>
        <w:pStyle w:val="Heading3"/>
      </w:pPr>
      <w:r>
        <w:rPr>
          <w:color w:val="54698D"/>
          <w:sz w:val="22"/>
        </w:rPr>
        <w:t>2.2.1 Modelagem do Catálogo de Produtos (EPC — TM Forum SID)</w:t>
      </w:r>
    </w:p>
    <w:p>
      <w:pPr>
        <w:pStyle w:val="ListBullet"/>
        <w:ind w:left="360"/>
      </w:pPr>
      <w:r>
        <w:t>Modelagem das 5 Linhas de Negócio (Móvel, TV, Banda Larga, Fixo e Aparelhos).</w:t>
      </w:r>
    </w:p>
    <w:p>
      <w:pPr>
        <w:pStyle w:val="ListBullet"/>
        <w:ind w:left="360"/>
      </w:pPr>
      <w:r>
        <w:t>Até ~100 produtos comerciais (até 20 por LOB) mais SVAs e adicionais.</w:t>
      </w:r>
    </w:p>
    <w:p>
      <w:pPr>
        <w:pStyle w:val="ListBullet"/>
        <w:ind w:left="360"/>
      </w:pPr>
      <w:r>
        <w:t>Duas camadas: Commercial Product (o que o cliente compra) e Technical Product / CFS (o que é ativado na rede).</w:t>
      </w:r>
    </w:p>
    <w:p>
      <w:pPr>
        <w:pStyle w:val="ListBullet"/>
        <w:ind w:left="360"/>
      </w:pPr>
      <w:r>
        <w:t>Definição do melhor product template (Object Type vs. Product Specification).</w:t>
      </w:r>
    </w:p>
    <w:p>
      <w:pPr>
        <w:pStyle w:val="ListBullet"/>
        <w:ind w:left="360"/>
      </w:pPr>
      <w:r>
        <w:t>Revisão da estrutura de Catalogs para melhor experiência de prateleira.</w:t>
      </w:r>
    </w:p>
    <w:p>
      <w:pPr>
        <w:pStyle w:val="ListBullet"/>
        <w:ind w:left="360"/>
      </w:pPr>
      <w:r>
        <w:t>Até 5 promoções/descontos avaliados (Fidelidade, sazonais, promoção por Node).</w:t>
      </w:r>
    </w:p>
    <w:p>
      <w:pPr>
        <w:pStyle w:val="Heading3"/>
      </w:pPr>
      <w:r>
        <w:rPr>
          <w:color w:val="54698D"/>
          <w:sz w:val="22"/>
        </w:rPr>
        <w:t>2.2.2 Atributos e Cardinalidade</w:t>
      </w:r>
    </w:p>
    <w:p>
      <w:pPr>
        <w:pStyle w:val="ListBullet"/>
        <w:ind w:left="360"/>
      </w:pPr>
      <w:r>
        <w:t>Mapeamento de características por produto (velocidade, franquia, minutos).</w:t>
      </w:r>
    </w:p>
    <w:p>
      <w:pPr>
        <w:pStyle w:val="ListBullet"/>
        <w:ind w:left="360"/>
      </w:pPr>
      <w:r>
        <w:t>Estrutura de obrigatório / opcional / padrão (ex.: decodificador obrigatório no plano TV).</w:t>
      </w:r>
    </w:p>
    <w:p>
      <w:pPr>
        <w:pStyle w:val="ListBullet"/>
        <w:ind w:left="360"/>
      </w:pPr>
      <w:r>
        <w:t>Uso de Product e Offering Specification conforme o padrão TM Forum.</w:t>
      </w:r>
    </w:p>
    <w:p>
      <w:pPr>
        <w:pStyle w:val="Heading3"/>
      </w:pPr>
      <w:r>
        <w:rPr>
          <w:color w:val="54698D"/>
          <w:sz w:val="22"/>
        </w:rPr>
        <w:t>2.2.3 Regras de CPQ — Elegibilidade, Compatibilidade e Precificação</w:t>
      </w:r>
    </w:p>
    <w:p>
      <w:pPr>
        <w:pStyle w:val="ListBullet"/>
        <w:ind w:left="360"/>
      </w:pPr>
      <w:r>
        <w:t>Elegibilidade: quem pode comprar (ex.: Fibra 1GB apenas para CEP com viabilidade técnica).</w:t>
      </w:r>
    </w:p>
    <w:p>
      <w:pPr>
        <w:pStyle w:val="ListBullet"/>
        <w:ind w:left="360"/>
      </w:pPr>
      <w:r>
        <w:t>Compatibilidade: bloqueios e dependências cruzadas (planos antigos × nova tecnologia).</w:t>
      </w:r>
    </w:p>
    <w:p>
      <w:pPr>
        <w:pStyle w:val="ListBullet"/>
        <w:ind w:left="360"/>
      </w:pPr>
      <w:r>
        <w:t>Precificação: recorrente (mensalidade) + não-recorrente (instalação), fidelidade 12 meses, descontos escalonados/promocionais.</w:t>
      </w:r>
    </w:p>
    <w:p>
      <w:pPr>
        <w:pStyle w:val="ListBullet"/>
        <w:ind w:left="360"/>
      </w:pPr>
      <w:r>
        <w:t>Business Rules Engine (BRE) / Expression Sets substituindo as matrizes customizadas legadas de cálculo de preços.</w:t>
      </w:r>
    </w:p>
    <w:p>
      <w:pPr>
        <w:pStyle w:val="Heading3"/>
      </w:pPr>
      <w:r>
        <w:rPr>
          <w:color w:val="54698D"/>
          <w:sz w:val="22"/>
        </w:rPr>
        <w:t>2.2.4 Decomposição de Pedidos (Order Management)</w:t>
      </w:r>
    </w:p>
    <w:p>
      <w:pPr>
        <w:pStyle w:val="ListBullet"/>
        <w:ind w:left="360"/>
      </w:pPr>
      <w:r>
        <w:t>Desenho de como o produto comercial vendido se decompõe em ordens técnicas para os sistemas legados.</w:t>
      </w:r>
    </w:p>
    <w:p>
      <w:pPr>
        <w:pStyle w:val="ListBullet"/>
        <w:ind w:left="360"/>
      </w:pPr>
      <w:r>
        <w:t>Ex.: combo Internet + TV → ordem de campo (instalar modem) + ordem lógica (liberar sinal de TV).</w:t>
      </w:r>
    </w:p>
    <w:p>
      <w:r>
        <w:rPr>
          <w:i/>
          <w:color w:val="54698D"/>
        </w:rPr>
        <w:t>Nota: O redesenho do fluxo completo de orquestração está FORA do escopo (ver 2.4.2).</w:t>
      </w:r>
    </w:p>
    <w:p>
      <w:pPr>
        <w:pStyle w:val="Heading3"/>
      </w:pPr>
      <w:r>
        <w:rPr>
          <w:color w:val="54698D"/>
          <w:sz w:val="22"/>
        </w:rPr>
        <w:t>2.2.5 Prova de Conceito (PoC) Funcional</w:t>
      </w:r>
    </w:p>
    <w:p>
      <w:pPr>
        <w:pStyle w:val="ListBullet"/>
        <w:ind w:left="360"/>
      </w:pPr>
      <w:r>
        <w:t>1 oferta por linha de negócio configurada e testada no CPQ nativo (5 PoCs).</w:t>
      </w:r>
    </w:p>
    <w:p>
      <w:pPr>
        <w:pStyle w:val="ListBullet"/>
        <w:ind w:left="360"/>
      </w:pPr>
      <w:r>
        <w:t>Inclui: prateleira, carrinho e decomposição de pedido.</w:t>
      </w:r>
    </w:p>
    <w:p>
      <w:pPr>
        <w:pStyle w:val="ListBullet"/>
        <w:ind w:left="360"/>
      </w:pPr>
      <w:r>
        <w:t>Pré-requisito: Sandbox funcional provisionada pela Claro (ver 2.4.1).</w:t>
      </w:r>
    </w:p>
    <w:p>
      <w:pPr>
        <w:pStyle w:val="Heading3"/>
      </w:pPr>
      <w:r>
        <w:rPr>
          <w:color w:val="54698D"/>
          <w:sz w:val="22"/>
        </w:rPr>
        <w:t>2.2.6 Knowledge Transfer (KT)</w:t>
      </w:r>
    </w:p>
    <w:p>
      <w:pPr>
        <w:pStyle w:val="ListBullet"/>
        <w:ind w:left="360"/>
      </w:pPr>
      <w:r>
        <w:t>Workshops para as equipes de TI e de Negócios apresentando o modelo proposto e a PoC.</w:t>
      </w:r>
    </w:p>
    <w:p>
      <w:pPr>
        <w:pStyle w:val="Heading2"/>
      </w:pPr>
      <w:r>
        <w:rPr>
          <w:color w:val="0070D2"/>
          <w:sz w:val="25"/>
        </w:rPr>
        <w:t>2.3 Outcomes do Engajamento (Base de Entrega)</w:t>
      </w:r>
    </w:p>
    <w:p>
      <w:r>
        <w:rPr>
          <w:b w:val="0"/>
          <w:i w:val="0"/>
          <w:sz w:val="21"/>
        </w:rPr>
        <w:t>Este engajamento é estruturado e faturado com base em 4 (quatro) outcomes, entregues em cadência quinzenal. Cada outcome possui critério de aceite objetivo; o aceite formal de cada outcome dispara a parcela correspondente (ver Seção 4). Este é o núcleo do modelo Fixed Fee baseado em outcomes.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"/>
            <w:shd w:val="clear" w:color="auto" w:fill="032D60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04"/>
            <w:shd w:val="clear" w:color="auto" w:fill="032D60"/>
          </w:tcPr>
          <w:p>
            <w:r/>
            <w:r>
              <w:rPr>
                <w:b/>
                <w:color w:val="FFFFFF"/>
                <w:sz w:val="19"/>
              </w:rPr>
              <w:t>Outcome (entrega)</w:t>
            </w:r>
          </w:p>
        </w:tc>
        <w:tc>
          <w:tcPr>
            <w:tcW w:type="dxa" w:w="1584"/>
            <w:shd w:val="clear" w:color="auto" w:fill="032D60"/>
          </w:tcPr>
          <w:p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3312"/>
            <w:shd w:val="clear" w:color="auto" w:fill="032D60"/>
          </w:tcPr>
          <w:p>
            <w:r/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2304"/>
            <w:shd w:val="clear" w:color="auto" w:fill="032D60"/>
          </w:tcPr>
          <w:p>
            <w:r/>
            <w:r>
              <w:rPr>
                <w:b/>
                <w:color w:val="FFFFFF"/>
                <w:sz w:val="19"/>
              </w:rPr>
              <w:t>Critério de Aceite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Detalhamento Funcional das Ofertas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F1 — Imersão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Documentação dos workshops de Discovery: detalhamento funcional das ofertas/produtos existentes por LOB (com TI e Negócios).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Documento de detalhamento funcional revisado e aceito por TI e Negócios.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Product Model Blueprint (PMB)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F2 — Modelagem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Diagrama visual completo da árvore de produtos (comercial + técnica/CFS) no EPC + especificação de elegibilidade, compatibilidade e precificação via Motor de Regras.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PMB e recomendações de regras aprovados pelos Product Owners das 5 LOBs.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Sandbox Configurada (PoC Funcional)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F3 — Build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1 oferta por LOB com carrinho CPQ, validações e payloads de decomposição OM funcionais (prateleira + carrinho + decomposição).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Demonstração da PoC validada em Sandbox (UAT assinado pela Claro).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Relatório Final + KT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F4 — Transferência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Relatório final do projeto, PoC funcional validada e gravações dos workshops de transferência de conhecimento (TI + Negócios).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Entrega do Relatório Final e conclusão dos workshops de KT.</w:t>
            </w:r>
          </w:p>
        </w:tc>
      </w:tr>
    </w:tbl>
    <w:p>
      <w:pPr>
        <w:pStyle w:val="Heading2"/>
      </w:pPr>
      <w:r>
        <w:rPr>
          <w:color w:val="0070D2"/>
          <w:sz w:val="25"/>
        </w:rPr>
        <w:t>2.4 Premissas e Exclusões de Escopo</w:t>
      </w:r>
    </w:p>
    <w:p>
      <w:pPr>
        <w:pStyle w:val="Heading3"/>
      </w:pPr>
      <w:r>
        <w:rPr>
          <w:color w:val="54698D"/>
          <w:sz w:val="22"/>
        </w:rPr>
        <w:t>2.4.1 Premissas de Escopo</w:t>
      </w:r>
    </w:p>
    <w:p>
      <w:r>
        <w:rPr>
          <w:b/>
          <w:color w:val="032D60"/>
        </w:rPr>
        <w:t xml:space="preserve">Cláusula de IA (condição do prazo/valor de 8 semanas): </w:t>
      </w:r>
      <w:r>
        <w:t>O prazo de 8 semanas e o valor correspondente estão condicionados ao consentimento formal e explícito da Claro Brasil quanto à aplicação e uso de ferramentas de IA pela SFDC na execução dos Serviços. Na ausência deste consentimento, aplica-se o cenário de 12 semanas (ver Seção 4.1).</w:t>
      </w:r>
    </w:p>
    <w:p>
      <w:pPr>
        <w:pStyle w:val="ListBullet"/>
        <w:ind w:left="360"/>
      </w:pPr>
      <w:r>
        <w:t>O volume total de ofertas avaliadas não excederá 100 itens complexos (até 20 por LOB) e 5 promoções.</w:t>
      </w:r>
    </w:p>
    <w:p>
      <w:pPr>
        <w:pStyle w:val="ListBullet"/>
        <w:ind w:left="360"/>
      </w:pPr>
      <w:r>
        <w:t>A modelagem proposta, baseada em capacidades nativas declarativas, eliminará a necessidade de customizações em código.</w:t>
      </w:r>
    </w:p>
    <w:p>
      <w:pPr>
        <w:pStyle w:val="ListBullet"/>
        <w:ind w:left="360"/>
      </w:pPr>
      <w:r>
        <w:t>O barramento corporativo possui estabilidade e capacidade técnica para receber mensagens assíncronas de OM.</w:t>
      </w:r>
    </w:p>
    <w:p>
      <w:pPr>
        <w:pStyle w:val="ListBullet"/>
        <w:ind w:left="360"/>
      </w:pPr>
      <w:r>
        <w:t>O cronograma é orientado a entregáveis — extensões dependem de aprovação formal via Pedido de Mudança.</w:t>
      </w:r>
    </w:p>
    <w:p>
      <w:pPr>
        <w:pStyle w:val="ListBullet"/>
        <w:ind w:left="360"/>
      </w:pPr>
      <w:r>
        <w:t>As regras de precificação vigentes serão fornecidas em formato legível no início da Fase 2.</w:t>
      </w:r>
    </w:p>
    <w:p>
      <w:pPr>
        <w:pStyle w:val="ListBullet"/>
        <w:ind w:left="360"/>
      </w:pPr>
      <w:r>
        <w:t>A Claro Brasil provisionará uma Sandbox funcional da Communications Cloud antes do início da Fase 3 (PoC Build) — pré-requisito inegociável.</w:t>
      </w:r>
    </w:p>
    <w:p>
      <w:pPr>
        <w:pStyle w:val="ListBullet"/>
        <w:ind w:left="360"/>
      </w:pPr>
      <w:r>
        <w:t>A Claro disponibilizará Product Owners com autonomia de aprovação por LOB durante a Fase 1.</w:t>
      </w:r>
    </w:p>
    <w:p>
      <w:pPr>
        <w:pStyle w:val="ListBullet"/>
        <w:ind w:left="360"/>
      </w:pPr>
      <w:r>
        <w:t>A Claro fornecerá amostras das matrizes de elegibilidade/precificação atuais (planilhas ou diagramas lógicos).</w:t>
      </w:r>
    </w:p>
    <w:p>
      <w:pPr>
        <w:pStyle w:val="ListBullet"/>
        <w:ind w:left="360"/>
      </w:pPr>
      <w:r>
        <w:t>Documentação técnica (Swagger/OpenAPI/WSDL) das APIs de Billing, OSS/BSS e Georreferenciamento entregue no início da Fase 1; documentação não fornecida até o início da Imersão é risco de extensão de escopo.</w:t>
      </w:r>
    </w:p>
    <w:p>
      <w:pPr>
        <w:pStyle w:val="ListBullet"/>
        <w:ind w:left="360"/>
      </w:pPr>
      <w:r>
        <w:t>Os Serviços são executados prioritariamente de forma remota, salvo workshops presenciais previamente acordados (sujeitos a T&amp;E).</w:t>
      </w:r>
    </w:p>
    <w:p>
      <w:pPr>
        <w:pStyle w:val="Heading3"/>
      </w:pPr>
      <w:r>
        <w:rPr>
          <w:color w:val="54698D"/>
          <w:sz w:val="22"/>
        </w:rPr>
        <w:t>2.4.2 Exclusões de Escopo</w:t>
      </w:r>
    </w:p>
    <w:p>
      <w:pPr>
        <w:pStyle w:val="ListBullet"/>
        <w:ind w:left="360"/>
      </w:pPr>
      <w:r>
        <w:t>Implementação em produção (go-live) — este SOW cobre exclusivamente a fase de Design e PoC.</w:t>
      </w:r>
    </w:p>
    <w:p>
      <w:pPr>
        <w:pStyle w:val="ListBullet"/>
        <w:ind w:left="360"/>
      </w:pPr>
      <w:r>
        <w:t>Redesenho do fluxo de orquestração pós-decomposição de Order Management.</w:t>
      </w:r>
    </w:p>
    <w:p>
      <w:pPr>
        <w:pStyle w:val="ListBullet"/>
        <w:ind w:left="360"/>
      </w:pPr>
      <w:r>
        <w:t>Customizações em código Apex / hooks em métodos nativos.</w:t>
      </w:r>
    </w:p>
    <w:p>
      <w:pPr>
        <w:pStyle w:val="ListBullet"/>
        <w:ind w:left="360"/>
      </w:pPr>
      <w:r>
        <w:t>PoC da modelagem sobre customizações no CPQ nativo ou legadas.</w:t>
      </w:r>
    </w:p>
    <w:p>
      <w:pPr>
        <w:pStyle w:val="ListBullet"/>
        <w:ind w:left="360"/>
      </w:pPr>
      <w:r>
        <w:t>Saneamento e carga massiva de dados históricos (Installed Base).</w:t>
      </w:r>
    </w:p>
    <w:p>
      <w:pPr>
        <w:pStyle w:val="ListBullet"/>
        <w:ind w:left="360"/>
      </w:pPr>
      <w:r>
        <w:t>Integração de canais de venda adicionais.</w:t>
      </w:r>
    </w:p>
    <w:p>
      <w:pPr>
        <w:pStyle w:val="ListBullet"/>
        <w:ind w:left="360"/>
      </w:pPr>
      <w:r>
        <w:t>Integrações produtivas com Billing e OSS/BSS (apenas o padrão de decomposição é desenhado).</w:t>
      </w:r>
    </w:p>
    <w:p>
      <w:pPr>
        <w:pStyle w:val="ListBullet"/>
        <w:ind w:left="360"/>
      </w:pPr>
      <w:r>
        <w:t>Serviços de gestão de aplicação (AMS) pós-projeto.</w:t>
      </w:r>
    </w:p>
    <w:p>
      <w:pPr>
        <w:pStyle w:val="ListBullet"/>
        <w:ind w:left="360"/>
      </w:pPr>
      <w:r>
        <w:t>Fornecimento de licenças Salesforce (objeto de cotação/Order Form separado).</w:t>
      </w:r>
    </w:p>
    <w:p>
      <w:r>
        <w:br w:type="page"/>
      </w:r>
    </w:p>
    <w:p>
      <w:pPr>
        <w:pStyle w:val="Heading1"/>
      </w:pPr>
      <w:r>
        <w:rPr>
          <w:color w:val="032D60"/>
          <w:sz w:val="30"/>
        </w:rPr>
        <w:t>3. Metodologia e Cronograma</w:t>
      </w:r>
    </w:p>
    <w:p>
      <w:pPr>
        <w:pStyle w:val="Heading2"/>
      </w:pPr>
      <w:r>
        <w:rPr>
          <w:color w:val="0070D2"/>
          <w:sz w:val="25"/>
        </w:rPr>
        <w:t>3.1 Cronograma</w:t>
      </w:r>
    </w:p>
    <w:p>
      <w:r>
        <w:rPr>
          <w:b w:val="0"/>
          <w:i w:val="0"/>
          <w:sz w:val="21"/>
        </w:rPr>
        <w:t>O engajamento é entregue em 4 outcomes com previsibilidade de entrega a cada 2 (duas) semanas, resultando em um horizonte de execução de aproximadamente 2 meses (~8 semanas). A cadência quinzenal define os marcos de aceite e o fluxo de caixa (ver Seção 4).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032D60"/>
          </w:tcPr>
          <w:p>
            <w:r/>
            <w:r>
              <w:rPr>
                <w:b/>
                <w:color w:val="FFFFFF"/>
                <w:sz w:val="19"/>
              </w:rPr>
              <w:t>Marco</w:t>
            </w:r>
          </w:p>
        </w:tc>
        <w:tc>
          <w:tcPr>
            <w:tcW w:type="dxa" w:w="5616"/>
            <w:shd w:val="clear" w:color="auto" w:fill="032D60"/>
          </w:tcPr>
          <w:p>
            <w:r/>
            <w:r>
              <w:rPr>
                <w:b/>
                <w:color w:val="FFFFFF"/>
                <w:sz w:val="19"/>
              </w:rPr>
              <w:t>Outcome (entrega da fase)</w:t>
            </w:r>
          </w:p>
        </w:tc>
        <w:tc>
          <w:tcPr>
            <w:tcW w:type="dxa" w:w="2736"/>
            <w:shd w:val="clear" w:color="auto" w:fill="032D60"/>
          </w:tcPr>
          <w:p>
            <w:r/>
            <w:r>
              <w:rPr>
                <w:b/>
                <w:color w:val="FFFFFF"/>
                <w:sz w:val="19"/>
              </w:rPr>
              <w:t>Prazo (a partir do kickoff)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M1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Outcome 1 — Detalhamento Funcional das Ofertas (F1 Imersão)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Semana 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M2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Outcome 2 — Product Model Blueprint (PMB) (F2 Modelagem)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Semana 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M3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Outcome 3 — Sandbox Configurada / PoC Funcional (F3 Build)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Semana 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M4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Outcome 4 — Relatório Final + KT (F4 Transferência)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Semana 8</w:t>
            </w:r>
          </w:p>
        </w:tc>
      </w:tr>
    </w:tbl>
    <w:p>
      <w:r>
        <w:rPr>
          <w:b w:val="0"/>
          <w:i/>
          <w:sz w:val="19"/>
        </w:rPr>
        <w:t>As datas específicas serão confirmadas no kickoff. As atividades de discovery, modelagem, build de PoC e KT (metodologia PS, 3.2) são conduzidas dentro desta cadência quinzenal. Atrasos em premissas de responsabilidade do Cliente (Seção 6) podem impactar o cronograma e serão tratados via Pedido de Alteração.</w:t>
      </w:r>
    </w:p>
    <w:p>
      <w:pPr>
        <w:pStyle w:val="Heading2"/>
      </w:pPr>
      <w:r>
        <w:rPr>
          <w:color w:val="0070D2"/>
          <w:sz w:val="25"/>
        </w:rPr>
        <w:t>3.2 Metodologia dos Serviços de Implementação Salesforce</w:t>
      </w:r>
    </w:p>
    <w:p>
      <w:r>
        <w:rPr>
          <w:b w:val="0"/>
          <w:i w:val="0"/>
          <w:sz w:val="21"/>
        </w:rPr>
        <w:t>A Salesforce utiliza a Metodologia de Serviços Profissionais Salesforce ("MSPS") para executar os Serviços de Implementação. A MSPS envolve quatro etapas: Definição (Define), Desenho (Design), Entrega (Deliver) e Implantação (Deploy). Essa metodologia é adaptável e ajustada para atender as necessidades únicas de cada cliente, incorporando ambos os princípios waterfall e agile. A estrutura escolhida depende das necessidades do Cliente, da natureza do engajamento e das recomendações da SFDC sobre melhores práticas. Durante as etapas de Definição e Desenho, a SFDC e o Cliente acordarão quanto à abordagem planejada, incluindo como o escopo será gerenciado.</w:t>
      </w:r>
    </w:p>
    <w:p>
      <w:r>
        <w:rPr>
          <w:b w:val="0"/>
          <w:i w:val="0"/>
          <w:sz w:val="21"/>
        </w:rPr>
        <w:t>Como parte da MSPS: a SFDC e o Cliente documentarão a funcionalidade de Aplicação configurada desejada como uma lista de necessidades funcionais por tipo de usuário ("Histórias de Usuário"); o desenvolvimento será feito em uma série de incrementos regulares ("Sprints"); as revisões de desenvolvimento são realizadas mediante a conclusão de cada Sprint; e a priorização contínua da História de Usuário, conforme mutuamente acordado por escrito (e-mail suficiente) entre o Proprietário do Produto do Cliente e a SFDC, ditará o conteúdo final da Aplicação configurada. Como consequência, o escopo preciso não pode ser integralmente determinado no início dos Serviços de Implementação.</w:t>
      </w:r>
    </w:p>
    <w:p>
      <w:pPr>
        <w:pStyle w:val="Heading3"/>
      </w:pPr>
      <w:r>
        <w:rPr>
          <w:color w:val="54698D"/>
          <w:sz w:val="22"/>
        </w:rPr>
        <w:t>Etapas de Definição e Desenho</w:t>
      </w:r>
    </w:p>
    <w:p>
      <w:r>
        <w:rPr>
          <w:b w:val="0"/>
          <w:i w:val="0"/>
          <w:sz w:val="21"/>
        </w:rPr>
        <w:t>Durante as etapas de Definição e Desenho, a SFDC inicia o projeto e colaborativamente estabelece as metas e objetivos de resultados de negócio do Cliente, define como o projeto será gerenciado e o plano de execução (escopo, recursos, cronograma, orçamento e quality assurance), e estabelece a arquitetura em alto nível necessária para iniciar a etapa de Entrega. A SFDC coordenará, de forma sequencial, as reuniões de Alinhamento do Time de Projeto, Kickoff e Alinhamento da Metodologia, Arquitetura Técnica e Análise de Integração e Preparação da Construção.</w:t>
      </w:r>
    </w:p>
    <w:p>
      <w:r>
        <w:rPr>
          <w:b w:val="0"/>
          <w:i w:val="0"/>
          <w:sz w:val="19"/>
        </w:rPr>
        <w:t>Entregáveis: Documentos de Planejamento (PMP, Cronograma de Referência, Desenho da Solução em Alto-Nível, Garantia de Qualidade e Planos de Testes) e Documentos de Desenho (matriz de perfil de usuário, desenho do modelo de objeto, mapa de história e backlog do produto), que uma vez aprovados governam o escopo, cronograma, orçamento e entregáveis.</w:t>
      </w:r>
    </w:p>
    <w:p>
      <w:pPr>
        <w:pStyle w:val="Heading3"/>
      </w:pPr>
      <w:r>
        <w:rPr>
          <w:color w:val="54698D"/>
          <w:sz w:val="22"/>
        </w:rPr>
        <w:t>Etapa de Entrega</w:t>
      </w:r>
    </w:p>
    <w:p>
      <w:r>
        <w:rPr>
          <w:b w:val="0"/>
          <w:i w:val="0"/>
          <w:sz w:val="21"/>
        </w:rPr>
        <w:t>Na etapa de Entrega, a SFDC configura, desenvolve e testa a Aplicação em uma série de Sprints baseados no backlog do produto das Histórias de Usuário e nos Documentos de Planejamento e Desenho. A SFDC realizará o teste unitário e criará casos de teste para validar a conformidade com o critério de aceitação. O Cliente é responsável por conduzir os Testes Integrados de Sistema (SIT) e os Testes de Aceitação de Usuário (UAT) e por fornecer feedback e aceitação, com apoio da SFDC. Entregáveis: Aplicação Configurada e Conclusão do UAT.</w:t>
      </w:r>
    </w:p>
    <w:p>
      <w:pPr>
        <w:pStyle w:val="Heading3"/>
      </w:pPr>
      <w:r>
        <w:rPr>
          <w:color w:val="54698D"/>
          <w:sz w:val="22"/>
        </w:rPr>
        <w:t>Etapa de Implantação</w:t>
      </w:r>
    </w:p>
    <w:p>
      <w:r>
        <w:rPr>
          <w:b w:val="0"/>
          <w:i w:val="0"/>
          <w:sz w:val="21"/>
        </w:rPr>
        <w:t>Neste engajamento de Design/PoC, a etapa de Implantação consolida o design final e a validação da PoC em Sandbox. A migração para ambiente produtivo (go-live) está fora do escopo (ver 2.4.2). Entregáveis: Plano de Implantação (abordagem de referência), Documentação de Histórias de Usuário/Backlog do Produto e Documentação da Aplicação configurada.</w:t>
      </w:r>
    </w:p>
    <w:p>
      <w:pPr>
        <w:pStyle w:val="Heading2"/>
      </w:pPr>
      <w:r>
        <w:rPr>
          <w:color w:val="0070D2"/>
          <w:sz w:val="25"/>
        </w:rPr>
        <w:t>3.3 Aceitação</w:t>
      </w:r>
    </w:p>
    <w:p>
      <w:r>
        <w:rPr>
          <w:b w:val="0"/>
          <w:i w:val="0"/>
          <w:sz w:val="21"/>
        </w:rPr>
        <w:t>Após a conclusão de cada Entregável, a SFDC enviará uma cópia completa de tal Entregável ao Cliente e, a pedido, demonstrará sua funcionalidade. O Cliente é responsável por revisar e testar todos os Entregáveis de acordo com os critérios de aceitação e planos de teste mutuamente acordados por escrito. O Cliente fornecerá notificação por escrito de aceitação; a falha em rejeitar um Entregável será considerada aceitação. Caso o Cliente determine, em julgamento razoável e de boa-fé, que um Entregável não satisfaz os critérios de aceitação, deverá notificar a SFDC por escrito dentro de dez (10) dias úteis após o envio, especificando as deficiências em detalhes. A SFDC empregará esforços comercialmente razoáveis para corrigir e reapresentar o Entregável, e o Cliente terá novos dez (10) dias úteis para reavaliação. A aceitação de Histórias de Usuário é um processo iterativo: o Cliente as aceita formalmente via aplicativo de rastreamento ou por escrito (e-mail aceitável); não havendo aceite nem rejeição, serão consideradas aceitas no primeiro dos dez (10) dias úteis após a demonstração ou dois (2) dias úteis após o término da Sprint em que foram concluídas.</w:t>
      </w:r>
    </w:p>
    <w:p>
      <w:r>
        <w:br w:type="page"/>
      </w:r>
    </w:p>
    <w:p>
      <w:pPr>
        <w:pStyle w:val="Heading1"/>
      </w:pPr>
      <w:r>
        <w:rPr>
          <w:color w:val="032D60"/>
          <w:sz w:val="30"/>
        </w:rPr>
        <w:t>4. Honorários</w:t>
      </w:r>
    </w:p>
    <w:p>
      <w:pPr>
        <w:pStyle w:val="Heading2"/>
      </w:pPr>
      <w:r>
        <w:rPr>
          <w:color w:val="0070D2"/>
          <w:sz w:val="25"/>
        </w:rPr>
        <w:t>4.1 Honorários — Taxa Fixa com Base em Marcos (Fixed Fee / Outcome-Based)</w:t>
      </w:r>
    </w:p>
    <w:p>
      <w:r>
        <w:rPr>
          <w:b w:val="0"/>
          <w:i w:val="0"/>
          <w:sz w:val="21"/>
        </w:rPr>
        <w:t>Os Serviços Profissionais são prestados com base em uma taxa fixa (Fixed Fee), atrelada à entrega de 4 (quatro) marcos/outcomes — não T&amp;M (Tempo &amp; Materiais). Um Pedido de Mudança pode ser necessário se houver alterações no escopo do projeto, recursos, cronograma, marcos, entregas, complexidade ou designação de um novo gerente de projeto do Cliente. A SFDC faturará ao Cliente após a aceitação de cada marco. T&amp;E e impostos efetivos e razoáveis, se aplicável, serão faturados conforme os termos do Contrato.</w:t>
      </w:r>
    </w:p>
    <w:p>
      <w:r>
        <w:rPr>
          <w:b/>
          <w:i w:val="0"/>
          <w:sz w:val="21"/>
        </w:rPr>
        <w:t>Como as 4 entregas têm esforço e duração equivalentes (2 semanas cada), o valor é dividido em 4 parcelas iguais (25% cada), gerando fluxo de caixa previsível em ~2 meses. Os valores abaixo refletem o cenário de 8 semanas com uso de IA (ver premissa da Cláusula de IA em 2.4.1).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736"/>
            <w:shd w:val="clear" w:color="auto" w:fill="032D60"/>
          </w:tcPr>
          <w:p>
            <w:r/>
            <w:r>
              <w:rPr>
                <w:b/>
                <w:color w:val="FFFFFF"/>
                <w:sz w:val="19"/>
              </w:rPr>
              <w:t>Marco / Outcome</w:t>
            </w:r>
          </w:p>
        </w:tc>
        <w:tc>
          <w:tcPr>
            <w:tcW w:type="dxa" w:w="2736"/>
            <w:shd w:val="clear" w:color="auto" w:fill="032D60"/>
          </w:tcPr>
          <w:p>
            <w:r/>
            <w:r>
              <w:rPr>
                <w:b/>
                <w:color w:val="FFFFFF"/>
                <w:sz w:val="19"/>
              </w:rPr>
              <w:t>Critério de Aceite</w:t>
            </w:r>
          </w:p>
        </w:tc>
        <w:tc>
          <w:tcPr>
            <w:tcW w:type="dxa" w:w="1584"/>
            <w:shd w:val="clear" w:color="auto" w:fill="032D60"/>
          </w:tcPr>
          <w:p>
            <w:r/>
            <w:r>
              <w:rPr>
                <w:b/>
                <w:color w:val="FFFFFF"/>
                <w:sz w:val="19"/>
              </w:rPr>
              <w:t>Preço estimado (BRL)</w:t>
            </w:r>
          </w:p>
        </w:tc>
        <w:tc>
          <w:tcPr>
            <w:tcW w:type="dxa" w:w="1584"/>
            <w:shd w:val="clear" w:color="auto" w:fill="032D60"/>
          </w:tcPr>
          <w:p>
            <w:r/>
            <w:r>
              <w:rPr>
                <w:b/>
                <w:color w:val="FFFFFF"/>
                <w:sz w:val="19"/>
              </w:rPr>
              <w:t>Tributos estimados (BRL)</w:t>
            </w:r>
          </w:p>
        </w:tc>
        <w:tc>
          <w:tcPr>
            <w:tcW w:type="dxa" w:w="1584"/>
            <w:shd w:val="clear" w:color="auto" w:fill="032D60"/>
          </w:tcPr>
          <w:p>
            <w:r/>
            <w:r>
              <w:rPr>
                <w:b/>
                <w:color w:val="FFFFFF"/>
                <w:sz w:val="19"/>
              </w:rPr>
              <w:t>Valor Bruto (BRL)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M1 — Detalhamento Funcional das Ofertas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Documento funcional aceito por TI e Negócios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R$ 160.854,16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R$ 11.274,42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R$ 172.128,58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M2 — Product Model Blueprint (PMB)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PMB + regras aprovados pelos POs das 5 LOBs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R$ 160.854,16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R$ 11.274,42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R$ 172.128,58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M3 — Sandbox Configurada (PoC)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PoC validada em Sandbox (UAT assinado)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R$ 160.854,16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R$ 11.274,42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R$ 172.128,58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M4 — Relatório Final + KT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Relatório Final entregue e KT concluído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R$ 160.854,16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R$ 11.274,43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R$ 172.128,59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R$ 643.416,64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R$ 45.097,69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R$ 688.514,33</w:t>
            </w:r>
          </w:p>
        </w:tc>
      </w:tr>
    </w:tbl>
    <w:p>
      <w:r>
        <w:rPr>
          <w:b w:val="0"/>
          <w:i/>
          <w:sz w:val="19"/>
        </w:rPr>
        <w:t>*A SFDC apresentará os requisitos desenvolvidos, e o Cliente confirmará a aceitação com base nos critérios estabelecidos em até 10 (dez) dias. Estimativa não vinculativa: valores finais confirmados na assinatura. Moeda: BRL. Fator fiscal aplicado: Preço estimado = Valor Bruto × 0,9345 (Tributos = 6,55%).</w:t>
      </w:r>
    </w:p>
    <w:p>
      <w:r>
        <w:rPr>
          <w:b w:val="0"/>
          <w:i/>
          <w:sz w:val="19"/>
        </w:rPr>
        <w:t>Cenário alternativo (sem Cláusula de IA — 12 semanas): Valor Bruto total de R$ 1.032.770,47 (com impostos), conforme ROM. Neste caso, os marcos e parcelas serão reajustados no Pedido de Mudança correspondente.</w:t>
      </w:r>
    </w:p>
    <w:p>
      <w:pPr>
        <w:pStyle w:val="Heading2"/>
      </w:pPr>
      <w:r>
        <w:rPr>
          <w:color w:val="0070D2"/>
          <w:sz w:val="25"/>
        </w:rPr>
        <w:t>4.2 Despesas de Viagem e Estadia (T&amp;E)</w:t>
      </w:r>
    </w:p>
    <w:p>
      <w:r>
        <w:rPr>
          <w:b w:val="0"/>
          <w:i w:val="0"/>
          <w:sz w:val="21"/>
        </w:rPr>
        <w:t>Eventuais despesas de T&amp;E (workshops presenciais) serão faturadas ao custo, mediante aprovação prévia por escrito do Cliente, e não estão incluídas no Fixed Fee.</w:t>
      </w:r>
    </w:p>
    <w:p>
      <w:pPr>
        <w:pStyle w:val="Heading2"/>
      </w:pPr>
      <w:r>
        <w:rPr>
          <w:color w:val="0070D2"/>
          <w:sz w:val="25"/>
        </w:rPr>
        <w:t>4.3 Informações Fiscais do Cliente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032D60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192"/>
            <w:shd w:val="clear" w:color="auto" w:fill="032D60"/>
          </w:tcPr>
          <w:p>
            <w:r/>
            <w:r>
              <w:rPr>
                <w:b/>
                <w:color w:val="FFFFFF"/>
                <w:sz w:val="19"/>
              </w:rPr>
              <w:t>Informação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Razão Social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Claro Brasil — [A preencher]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CNPJ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 preencher]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Isenção Fiscal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 preencher, se aplicável]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Moeda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BRL (R$)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Tributos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Estimados em 6,55% sobre o valor bruto (fator 0,9345)</w:t>
            </w:r>
          </w:p>
        </w:tc>
      </w:tr>
    </w:tbl>
    <w:p>
      <w:pPr>
        <w:pStyle w:val="Heading2"/>
      </w:pPr>
      <w:r>
        <w:rPr>
          <w:color w:val="0070D2"/>
          <w:sz w:val="25"/>
        </w:rPr>
        <w:t>4.4 Requisitos de Ordem de Compra (PO)</w:t>
      </w:r>
    </w:p>
    <w:p>
      <w:r>
        <w:rPr>
          <w:b w:val="0"/>
          <w:i w:val="0"/>
          <w:sz w:val="21"/>
        </w:rPr>
        <w:t>Caso o Cliente exija PO para faturamento, esta deverá ser fornecida antes do início dos Serviços. A ausência de PO não isenta o Cliente das obrigações de pagamento previstas neste SOW.</w:t>
      </w:r>
    </w:p>
    <w:p>
      <w:r>
        <w:br w:type="page"/>
      </w:r>
    </w:p>
    <w:p>
      <w:pPr>
        <w:pStyle w:val="Heading1"/>
      </w:pPr>
      <w:r>
        <w:rPr>
          <w:color w:val="032D60"/>
          <w:sz w:val="30"/>
        </w:rPr>
        <w:t>5. Recursos da SFDC</w:t>
      </w:r>
    </w:p>
    <w:p>
      <w:pPr>
        <w:pStyle w:val="Heading2"/>
      </w:pPr>
      <w:r>
        <w:rPr>
          <w:color w:val="0070D2"/>
          <w:sz w:val="25"/>
        </w:rPr>
        <w:t>5.1 Alterações de Pessoal/Horas</w:t>
      </w:r>
    </w:p>
    <w:p>
      <w:r>
        <w:rPr>
          <w:b w:val="0"/>
          <w:i w:val="0"/>
          <w:sz w:val="21"/>
        </w:rPr>
        <w:t>Desde que o valor total não exceda o Fixed Fee estimado na Seção 4, um Pedido de Alteração não é necessário se o Gerente de Projeto da SFDC realocar esforço entre as funções para atender aos Serviços Profissionais e ao escopo definido na Seção 2.</w:t>
      </w:r>
    </w:p>
    <w:p>
      <w:pPr>
        <w:pStyle w:val="Heading2"/>
      </w:pPr>
      <w:r>
        <w:rPr>
          <w:color w:val="0070D2"/>
          <w:sz w:val="25"/>
        </w:rPr>
        <w:t>5.2 Trabalhos Faturáveis</w:t>
      </w:r>
    </w:p>
    <w:p>
      <w:r>
        <w:rPr>
          <w:b w:val="0"/>
          <w:i w:val="0"/>
          <w:sz w:val="21"/>
        </w:rPr>
        <w:t>Todos os trabalhos conduzidos por recursos sob esta SOW são considerados Serviços Profissionais faturáveis e não estão relacionados a serviços habilitados fornecidos por programas SFDC (por exemplo, Suporte ao Produto, Sucesso do Cliente etc.). O Cliente submeterá os casos de suporte técnico em geral à equipe de suporte da Salesforce associada ao uso dos serviços online do Cliente. A SFDC não executará tarefas gerais de suporte técnico sob esta SOW.</w:t>
      </w:r>
    </w:p>
    <w:p>
      <w:pPr>
        <w:pStyle w:val="Heading2"/>
      </w:pPr>
      <w:r>
        <w:rPr>
          <w:color w:val="0070D2"/>
          <w:sz w:val="25"/>
        </w:rPr>
        <w:t>5.3 Proficiência</w:t>
      </w:r>
    </w:p>
    <w:p>
      <w:r>
        <w:rPr>
          <w:b w:val="0"/>
          <w:i w:val="0"/>
          <w:sz w:val="21"/>
        </w:rPr>
        <w:t>A SFDC proverá proficiência exclusivamente na Aplicação e não garante que os recursos sejam proficientes em outras linguagens de programação ou plataformas.</w:t>
      </w:r>
    </w:p>
    <w:p>
      <w:pPr>
        <w:pStyle w:val="Heading2"/>
      </w:pPr>
      <w:r>
        <w:rPr>
          <w:color w:val="0070D2"/>
          <w:sz w:val="25"/>
        </w:rPr>
        <w:t>5.4 Horário Fora do Expediente</w:t>
      </w:r>
    </w:p>
    <w:p>
      <w:r>
        <w:rPr>
          <w:b w:val="0"/>
          <w:i w:val="0"/>
          <w:sz w:val="21"/>
        </w:rPr>
        <w:t>Os Serviços Profissionais serão realizados durante o horário comercial normal (de segunda a sexta-feira, das 8h30 às 17h30 no fuso horário do local onde está localizado o recurso de Serviços Profissionais), salvo acordo em contrário por escrito entre as partes (e-mail é suficiente), excluindo feriados. Programação de trabalho fora desse horário comercial normal ("Trabalho fora do horário comercial") requer considerações sobre o pessoal e precisa ser planejada com pelo menos 20 (vinte) dias úteis de antecedência da necessidade.</w:t>
      </w:r>
    </w:p>
    <w:p>
      <w:pPr>
        <w:pStyle w:val="Heading2"/>
      </w:pPr>
      <w:r>
        <w:rPr>
          <w:color w:val="0070D2"/>
          <w:sz w:val="25"/>
        </w:rPr>
        <w:t>5.5 Alocação dos Recursos SFDC</w:t>
      </w:r>
    </w:p>
    <w:p>
      <w:r>
        <w:rPr>
          <w:b w:val="0"/>
          <w:i w:val="0"/>
          <w:sz w:val="21"/>
        </w:rPr>
        <w:t>Os recursos dos Serviços Profissionais serão alocados de acordo com um plano de alocação mutuamente acordado no início do engajamento. Desde que envie uma notificação prévia com 2 (duas) semanas de antecedência à SFDC, o Cliente poderá solicitar alterações ao plano de alocação. Caso o Cliente solicite alterações com notificação prévia inferior a 2 (duas) semanas, a continuidade dos recursos da SFDC não poderá ser garantida e a SFDC poderá faturar o Cliente pelas horas planejadas e quaisquer custos não reembolsáveis (ex.: T&amp;E) relativos àquelas 2 (duas) semanas. Exemplos de alterações incluem, sem limitação: mudança da data de início do projeto; atrasos ou suspensão das atividades do projeto; redução da alocação de recursos; e extensão desta SOW além da data final do engajamento.</w:t>
      </w:r>
    </w:p>
    <w:p>
      <w:pPr>
        <w:pStyle w:val="Heading2"/>
      </w:pPr>
      <w:r>
        <w:rPr>
          <w:color w:val="0070D2"/>
          <w:sz w:val="25"/>
        </w:rPr>
        <w:t>5.6 Consentimento para o Uso de Subcontratados e Subprocessadores Aprovados</w:t>
      </w:r>
    </w:p>
    <w:p>
      <w:r>
        <w:rPr>
          <w:b w:val="0"/>
          <w:i w:val="0"/>
          <w:sz w:val="21"/>
        </w:rPr>
        <w:t>A SFDC será responsável pela execução dos Serviços Profissionais por seu pessoal, incluindo subcontratados (se houver), exceto conforme de outra forma aqui especificado. O Cliente concorda, ao assinar esta SOW, que a SFDC poderá utilizar subcontratados para a execução dos Serviços Profissionais. Caso o Cliente forneça à SFDC acesso a Dados Pessoais, o Cliente concorda que o pessoal da SFDC e suas Afiliadas poderão processar tais Dados Pessoais mediante o uso de ferramentas de terceiros baseadas na nuvem listadas na documentação de subprocessadores da Salesforce a partir da Data de Vigência. Para os fins desta SOW, Dados Pessoais significam informações eletrônicas relativas a uma pessoa física identificada ou identificável, fornecidas à SFDC para a execução dos Serviços Profissionais.</w:t>
      </w:r>
    </w:p>
    <w:p>
      <w:r>
        <w:br w:type="page"/>
      </w:r>
    </w:p>
    <w:p>
      <w:pPr>
        <w:pStyle w:val="Heading1"/>
      </w:pPr>
      <w:r>
        <w:rPr>
          <w:color w:val="032D60"/>
          <w:sz w:val="30"/>
        </w:rPr>
        <w:t>6. Responsabilidades do Cliente</w:t>
      </w:r>
    </w:p>
    <w:p>
      <w:r>
        <w:rPr>
          <w:b w:val="0"/>
          <w:i w:val="0"/>
          <w:sz w:val="21"/>
        </w:rPr>
        <w:t>A SFDC espera executar as atividades descritas nesta SOW como um fluxo ininterrupto de trabalho. O desempenho tempestivo dos Serviços Profissionais requer colaboração contínua entre a SFDC e o Cliente. O Cliente é responsável por determinadas tarefas importantes, contribuições e revisões em tempo hábil para permitir que a SFDC execute suas obrigações. Atrasos causados pelo Cliente podem resultar em encargos adicionais pelo tempo do recurso e a SFDC não será responsável por atrasos ou danos decorrentes do descumprimento do Cliente de suas obrigações.</w:t>
      </w:r>
    </w:p>
    <w:p>
      <w:pPr>
        <w:pStyle w:val="Heading2"/>
      </w:pPr>
      <w:r>
        <w:rPr>
          <w:color w:val="0070D2"/>
          <w:sz w:val="25"/>
        </w:rPr>
        <w:t>6.1 Cooperação do Cliente</w:t>
      </w:r>
    </w:p>
    <w:p>
      <w:r>
        <w:rPr>
          <w:b w:val="0"/>
          <w:i w:val="0"/>
          <w:sz w:val="21"/>
        </w:rPr>
        <w:t>O Cliente cooperará com a SFDC na execução dos Serviços Profissionais, incluindo, sem limitação:</w:t>
      </w:r>
    </w:p>
    <w:p>
      <w:pPr>
        <w:pStyle w:val="ListBullet"/>
        <w:ind w:left="360"/>
      </w:pPr>
      <w:r>
        <w:t>Determinar prazos e cronogramas de recursos mutuamente aceitáveis com a equipe de implementação da SFDC.</w:t>
      </w:r>
    </w:p>
    <w:p>
      <w:pPr>
        <w:pStyle w:val="ListBullet"/>
        <w:ind w:left="360"/>
      </w:pPr>
      <w:r>
        <w:t>Entregar em tempo hábil as garantias e demais obrigações do Cliente exigidas por esta SOW.</w:t>
      </w:r>
    </w:p>
    <w:p>
      <w:pPr>
        <w:pStyle w:val="ListBullet"/>
        <w:ind w:left="360"/>
      </w:pPr>
      <w:r>
        <w:t>Responder prontamente às consultas da SFDC e fornecer informações, dados e feedback completos, precisos e tempestivos.</w:t>
      </w:r>
    </w:p>
    <w:p>
      <w:pPr>
        <w:pStyle w:val="ListBullet"/>
        <w:ind w:left="360"/>
      </w:pPr>
      <w:r>
        <w:t>Colaborar para mitigar riscos, escalar e resolver problemas rapidamente e priorizar esforços para cumprir os prazos acordados.</w:t>
      </w:r>
    </w:p>
    <w:p>
      <w:pPr>
        <w:pStyle w:val="ListBullet"/>
        <w:ind w:left="360"/>
      </w:pPr>
      <w:r>
        <w:t>Participar de reuniões semanais de status (Gerente de Projeto e Proprietário do Produto do Cliente + Gerente de Projeto/Engajamento da SFDC).</w:t>
      </w:r>
    </w:p>
    <w:p>
      <w:pPr>
        <w:pStyle w:val="ListBullet"/>
        <w:ind w:left="360"/>
      </w:pPr>
      <w:r>
        <w:t>Participar de reunião mensal do Comitê de Direção (Steering Committee) entre os executivos responsáveis e gerentes de projeto de ambas as partes.</w:t>
      </w:r>
    </w:p>
    <w:p>
      <w:pPr>
        <w:pStyle w:val="Heading2"/>
      </w:pPr>
      <w:r>
        <w:rPr>
          <w:color w:val="0070D2"/>
          <w:sz w:val="25"/>
        </w:rPr>
        <w:t>6.2 Equipe do Cliente</w:t>
      </w:r>
    </w:p>
    <w:p>
      <w:r>
        <w:rPr>
          <w:b w:val="0"/>
          <w:i w:val="0"/>
          <w:sz w:val="21"/>
        </w:rPr>
        <w:t>O Cliente disponibilizará recursos adequados e com conhecimento suficiente da Aplicação, suas funcionalidades padrão e terminologia, para participação ativa e contínua (revisão, feedback, aprovações e tomada de decisão em tempo hábil), incluindo os papéis abaixo:</w:t>
      </w:r>
    </w:p>
    <w:p>
      <w:pPr>
        <w:pStyle w:val="ListBullet"/>
      </w:pPr>
      <w:r>
        <w:rPr>
          <w:b/>
          <w:color w:val="032D60"/>
        </w:rPr>
        <w:t xml:space="preserve">Executivo Responsável: </w:t>
      </w:r>
      <w:r>
        <w:t>Liderança e orientação geral, participação no Comitê de Direção e ponto de escalação.</w:t>
      </w:r>
    </w:p>
    <w:p>
      <w:pPr>
        <w:pStyle w:val="ListBullet"/>
      </w:pPr>
      <w:r>
        <w:rPr>
          <w:b/>
          <w:color w:val="032D60"/>
        </w:rPr>
        <w:t xml:space="preserve">Gerente do Projeto: </w:t>
      </w:r>
      <w:r>
        <w:t>Ponto único de contato com a SFDC; co-gerencia plano e cronograma; coordena recursos, decisões e aceitação.</w:t>
      </w:r>
    </w:p>
    <w:p>
      <w:pPr>
        <w:pStyle w:val="ListBullet"/>
      </w:pPr>
      <w:r>
        <w:rPr>
          <w:b/>
          <w:color w:val="032D60"/>
        </w:rPr>
        <w:t xml:space="preserve">Proprietário do Produto: </w:t>
      </w:r>
      <w:r>
        <w:t>Responsável pela visão do produto e priorização do backlog; fornece conteúdo para Histórias de Usuário e aceita cada História após demonstração. Na Claro: Product Owners com autonomia de aprovação por LOB (Móvel, TV, Banda Larga, Fixo e Aparelhos).</w:t>
      </w:r>
    </w:p>
    <w:p>
      <w:pPr>
        <w:pStyle w:val="ListBullet"/>
      </w:pPr>
      <w:r>
        <w:rPr>
          <w:b/>
          <w:color w:val="032D60"/>
        </w:rPr>
        <w:t xml:space="preserve">Especialistas em Assuntos de Negócios (SMEs): </w:t>
      </w:r>
      <w:r>
        <w:t>Definem requisitos de negócio e casos de teste; responsáveis por UAT e testes de usabilidade.</w:t>
      </w:r>
    </w:p>
    <w:p>
      <w:pPr>
        <w:pStyle w:val="ListBullet"/>
      </w:pPr>
      <w:r>
        <w:rPr>
          <w:b/>
          <w:color w:val="032D60"/>
        </w:rPr>
        <w:t xml:space="preserve">Líder Funcional: </w:t>
      </w:r>
      <w:r>
        <w:t>Define requisitos de sistema e casos de teste; supervisiona a transferência de conhecimento.</w:t>
      </w:r>
    </w:p>
    <w:p>
      <w:pPr>
        <w:pStyle w:val="ListBullet"/>
      </w:pPr>
      <w:r>
        <w:rPr>
          <w:b/>
          <w:color w:val="032D60"/>
        </w:rPr>
        <w:t xml:space="preserve">Líder de Tecnologia/TI: </w:t>
      </w:r>
      <w:r>
        <w:t>Suporte de configuração de rede, requisitos de segurança e SSO, decisões de arquitetura e acesso aos sistemas. Na Claro: interlocução com Billing, OSS/BSS, MuleSoft, Okta e SailPoint.</w:t>
      </w:r>
    </w:p>
    <w:p>
      <w:pPr>
        <w:pStyle w:val="ListBullet"/>
      </w:pPr>
      <w:r>
        <w:rPr>
          <w:b/>
          <w:color w:val="032D60"/>
        </w:rPr>
        <w:t xml:space="preserve">Líder de Gestão de Alteração Organizacional: </w:t>
      </w:r>
      <w:r>
        <w:t>Análise de stakeholders, plano de comunicação, adoção pelos usuários e captura do valor de negócio.</w:t>
      </w:r>
    </w:p>
    <w:p>
      <w:pPr>
        <w:pStyle w:val="ListBullet"/>
      </w:pPr>
      <w:r>
        <w:rPr>
          <w:b/>
          <w:color w:val="032D60"/>
        </w:rPr>
        <w:t xml:space="preserve">Líder de Treinamento: </w:t>
      </w:r>
      <w:r>
        <w:t>Estratégia, material e administração do treinamento dos usuários finais.</w:t>
      </w:r>
    </w:p>
    <w:p>
      <w:pPr>
        <w:pStyle w:val="Heading2"/>
      </w:pPr>
      <w:r>
        <w:rPr>
          <w:color w:val="0070D2"/>
          <w:sz w:val="25"/>
        </w:rPr>
        <w:t>6.3 Obrigações Adicionais</w:t>
      </w:r>
    </w:p>
    <w:p>
      <w:pPr>
        <w:pStyle w:val="Heading3"/>
      </w:pPr>
      <w:r>
        <w:rPr>
          <w:color w:val="54698D"/>
          <w:sz w:val="22"/>
        </w:rPr>
        <w:t>Acesso à Tecnologia e à Aplicação</w:t>
      </w:r>
    </w:p>
    <w:p>
      <w:r>
        <w:rPr>
          <w:b w:val="0"/>
          <w:i w:val="0"/>
          <w:sz w:val="21"/>
        </w:rPr>
        <w:t>O Cliente adquirirá, instalará, hospedará, testará, implantará, monitorará e manterá os equipamentos, infraestrutura, software, Internet estável com largura de banda suficiente e demais tecnologias necessárias à prestação dos Serviços Profissionais, habilitando as permissões de acesso do pessoal da SFDC à Aplicação conforme razoavelmente necessário. A SFDC terá acesso apenas à Aplicação do Cliente, e não aos sistemas não-SFDC, salvo acordo mútuo. O acesso do pessoal da SFDC será revogado na conclusão do Prazo da SOW.</w:t>
      </w:r>
    </w:p>
    <w:p>
      <w:pPr>
        <w:pStyle w:val="Heading3"/>
      </w:pPr>
      <w:r>
        <w:rPr>
          <w:color w:val="54698D"/>
          <w:sz w:val="22"/>
        </w:rPr>
        <w:t>Obrigações específicas do engajamento (Claro)</w:t>
      </w:r>
    </w:p>
    <w:p>
      <w:pPr>
        <w:pStyle w:val="ListBullet"/>
        <w:ind w:left="360"/>
      </w:pPr>
      <w:r>
        <w:t>Provisionar a Sandbox funcional da Communications Cloud antes do início da Fase 3 (PoC Build) — pré-requisito inegociável.</w:t>
      </w:r>
    </w:p>
    <w:p>
      <w:pPr>
        <w:pStyle w:val="ListBullet"/>
        <w:ind w:left="360"/>
      </w:pPr>
      <w:r>
        <w:t>Fornecer amostras das matrizes de elegibilidade e precificação vigentes (planilhas ou diagramas lógicos).</w:t>
      </w:r>
    </w:p>
    <w:p>
      <w:pPr>
        <w:pStyle w:val="ListBullet"/>
        <w:ind w:left="360"/>
      </w:pPr>
      <w:r>
        <w:t>Fornecer documentação de APIs dos sistemas legados (Billing, OSS/BSS) e do georreferenciamento por CEP, quando aplicável.</w:t>
      </w:r>
    </w:p>
    <w:p>
      <w:pPr>
        <w:pStyle w:val="ListBullet"/>
        <w:ind w:left="360"/>
      </w:pPr>
      <w:r>
        <w:t>Prover acessos, ambientes e credenciais necessários em tempo hábil.</w:t>
      </w:r>
    </w:p>
    <w:p>
      <w:pPr>
        <w:pStyle w:val="ListBullet"/>
        <w:ind w:left="360"/>
      </w:pPr>
      <w:r>
        <w:t>Revisar e aprovar entregáveis nos prazos de aceitação acordados (Seção 3.3).</w:t>
      </w:r>
    </w:p>
    <w:p>
      <w:pPr>
        <w:pStyle w:val="Heading3"/>
      </w:pPr>
      <w:r>
        <w:rPr>
          <w:color w:val="54698D"/>
          <w:sz w:val="22"/>
        </w:rPr>
        <w:t>Disponibilidade e Qualidade de Dados</w:t>
      </w:r>
    </w:p>
    <w:p>
      <w:r>
        <w:rPr>
          <w:b w:val="0"/>
          <w:i w:val="0"/>
          <w:sz w:val="21"/>
        </w:rPr>
        <w:t>O Cliente é responsável pela disponibilidade e qualidade dos dados a serem utilizados/integrados, incluindo transformação, limpeza, agregação, desduplicação e testes de garantia de qualidade antes de submetê-los à SFDC, bem como pelo acesso às fontes de dados e endpoints necessários.</w:t>
      </w:r>
    </w:p>
    <w:p>
      <w:pPr>
        <w:pStyle w:val="Heading3"/>
      </w:pPr>
      <w:r>
        <w:rPr>
          <w:color w:val="54698D"/>
          <w:sz w:val="22"/>
        </w:rPr>
        <w:t>Uso dos Serviços</w:t>
      </w:r>
    </w:p>
    <w:p>
      <w:r>
        <w:rPr>
          <w:b w:val="0"/>
          <w:i w:val="0"/>
          <w:sz w:val="21"/>
        </w:rPr>
        <w:t>O Cliente é responsável por seu uso e distribuição dos Entregáveis resultantes dos Serviços Profissionais.</w:t>
      </w:r>
    </w:p>
    <w:p>
      <w:pPr>
        <w:pStyle w:val="Heading2"/>
      </w:pPr>
      <w:r>
        <w:rPr>
          <w:color w:val="0070D2"/>
          <w:sz w:val="25"/>
        </w:rPr>
        <w:t>6.4 Produtos e Serviços de Terceiros</w:t>
      </w:r>
    </w:p>
    <w:p>
      <w:r>
        <w:rPr>
          <w:b w:val="0"/>
          <w:i w:val="0"/>
          <w:sz w:val="21"/>
        </w:rPr>
        <w:t>"Produtos de Terceiros" significa produtos ou serviços fornecidos ou adquiridos pelo Cliente em conexão com os Serviços Profissionais (ex.: sistemas de Billing, OSS/BSS, MuleSoft, IdP Okta, SailPoint, e aplicações de um Marketplace Salesforce como o AppExchange). A SFDC não é responsável nem garante Produtos de Terceiros. O Cliente é responsável (i) pela aquisição, licenciamento e uso; (ii) salvo se definido como escopo na Seção 2, pela integração, instalação, implementação e configuração; (iii) pela coordenação e gestão dos respectivos fornecedores; e (iv) por assegurar que estejam prontos em tempo razoável para a execução dos Serviços Profissionais.</w:t>
      </w:r>
    </w:p>
    <w:p>
      <w:r>
        <w:br w:type="page"/>
      </w:r>
    </w:p>
    <w:p>
      <w:pPr>
        <w:pStyle w:val="Heading1"/>
      </w:pPr>
      <w:r>
        <w:rPr>
          <w:color w:val="032D60"/>
          <w:sz w:val="30"/>
        </w:rPr>
        <w:t>7. Termos Gerais</w:t>
      </w:r>
    </w:p>
    <w:p>
      <w:pPr>
        <w:pStyle w:val="Heading2"/>
      </w:pPr>
      <w:r>
        <w:rPr>
          <w:color w:val="0070D2"/>
          <w:sz w:val="25"/>
        </w:rPr>
        <w:t>7.1 Controle de Mudança</w:t>
      </w:r>
    </w:p>
    <w:p>
      <w:r>
        <w:rPr>
          <w:b w:val="0"/>
          <w:i w:val="0"/>
          <w:sz w:val="21"/>
        </w:rPr>
        <w:t>No caso de mudanças no escopo do trabalho ou em outros termos desta SOW, as partes trabalharão juntas de boa-fé para acordar um Pedido de Alteração apropriado, seguindo o Processo de Controle de Mudança definido abaixo. A SFDC não terá obrigação de executar serviços profissionais adicionais ou modificados na ausência de acordo sobre um Pedido de Alteração. As taxas ou o Prazo da SOW podem estar sujeitos a Pedido de Alteração em caso de mudança material ou deficiência nas informações fornecidas pelo Cliente, evento imprevisto que altere materialmente as necessidades de serviço, mudança na lei/regulamentação aplicável, ou evento de força maior.</w:t>
      </w:r>
    </w:p>
    <w:p>
      <w:pPr>
        <w:pStyle w:val="Heading3"/>
      </w:pPr>
      <w:r>
        <w:rPr>
          <w:color w:val="54698D"/>
          <w:sz w:val="22"/>
        </w:rPr>
        <w:t>Definições de Controle de Mudança</w:t>
      </w:r>
    </w:p>
    <w:p>
      <w:pPr>
        <w:pStyle w:val="ListBullet"/>
      </w:pPr>
      <w:r>
        <w:rPr>
          <w:b/>
          <w:color w:val="032D60"/>
        </w:rPr>
        <w:t xml:space="preserve">"Controle de Mudanças" </w:t>
      </w:r>
      <w:r>
        <w:t>descreve o processo para gerenciar mudanças potenciais do projeto.</w:t>
      </w:r>
    </w:p>
    <w:p>
      <w:pPr>
        <w:pStyle w:val="ListBullet"/>
      </w:pPr>
      <w:r>
        <w:rPr>
          <w:b/>
          <w:color w:val="032D60"/>
        </w:rPr>
        <w:t xml:space="preserve">"Solicitação de Mudança" </w:t>
      </w:r>
      <w:r>
        <w:t>é uma solicitação informal do Cliente ou da SFDC para modificar os Serviços Profissionais previstos nesta SOW.</w:t>
      </w:r>
    </w:p>
    <w:p>
      <w:pPr>
        <w:pStyle w:val="ListBullet"/>
      </w:pPr>
      <w:r>
        <w:rPr>
          <w:b/>
          <w:color w:val="032D60"/>
        </w:rPr>
        <w:t xml:space="preserve">"Pedido de Alteração" </w:t>
      </w:r>
      <w:r>
        <w:t>é uma emenda formal a esta SOW, conforme definido na Seção 1.4.</w:t>
      </w:r>
    </w:p>
    <w:p>
      <w:pPr>
        <w:pStyle w:val="Heading3"/>
      </w:pPr>
      <w:r>
        <w:rPr>
          <w:color w:val="54698D"/>
          <w:sz w:val="22"/>
        </w:rPr>
        <w:t>Processo de Controle de Mudança</w:t>
      </w:r>
    </w:p>
    <w:p>
      <w:r>
        <w:rPr>
          <w:b w:val="0"/>
          <w:i w:val="0"/>
          <w:sz w:val="21"/>
        </w:rPr>
        <w:t>A SFDC continuará executando os Serviços Profissionais de acordo com esta SOW até que as partes concordem por escrito sobre a alteração. Resumo do processo:</w:t>
      </w:r>
    </w:p>
    <w:p>
      <w:pPr>
        <w:pStyle w:val="ListBullet"/>
        <w:ind w:left="360"/>
      </w:pPr>
      <w:r>
        <w:t>O Cliente ou a SFDC apresenta uma Solicitação de Mudança por escrito (e-mail aceitável), com descrição, justificativa e impacto sobre os Serviços Profissionais.</w:t>
      </w:r>
    </w:p>
    <w:p>
      <w:pPr>
        <w:pStyle w:val="ListBullet"/>
        <w:ind w:left="360"/>
      </w:pPr>
      <w:r>
        <w:t>Ambas as partes revisam o mérito e o impacto sobre escopo, recursos, cronograma, honorários e demais termos.</w:t>
      </w:r>
    </w:p>
    <w:p>
      <w:pPr>
        <w:pStyle w:val="ListBullet"/>
        <w:ind w:left="360"/>
      </w:pPr>
      <w:r>
        <w:t>As partes decidem aceitar ou rejeitar a alteração solicitada.</w:t>
      </w:r>
    </w:p>
    <w:p>
      <w:pPr>
        <w:pStyle w:val="ListBullet"/>
        <w:ind w:left="360"/>
      </w:pPr>
      <w:r>
        <w:t>Se aceita, a SFDC prepara um Pedido de Alteração descrevendo as alterações aplicáveis.</w:t>
      </w:r>
    </w:p>
    <w:p>
      <w:pPr>
        <w:pStyle w:val="ListBullet"/>
        <w:ind w:left="360"/>
      </w:pPr>
      <w:r>
        <w:t>A SFDC assina e envia o Pedido de Alteração ao Cliente.</w:t>
      </w:r>
    </w:p>
    <w:p>
      <w:pPr>
        <w:pStyle w:val="ListBullet"/>
        <w:ind w:left="360"/>
      </w:pPr>
      <w:r>
        <w:t>O Cliente assina o Pedido de Alteração e, se aplicável, gera a PO associada.</w:t>
      </w:r>
    </w:p>
    <w:p>
      <w:pPr>
        <w:pStyle w:val="ListBullet"/>
        <w:ind w:left="360"/>
      </w:pPr>
      <w:r>
        <w:t>Os Serviços Profissionais do Pedido de Alteração totalmente assinado passam a integrar esta SOW.</w:t>
      </w:r>
    </w:p>
    <w:p>
      <w:pPr>
        <w:pStyle w:val="Heading2"/>
      </w:pPr>
      <w:r>
        <w:rPr>
          <w:color w:val="0070D2"/>
          <w:sz w:val="25"/>
        </w:rPr>
        <w:t>7.2 Segmentação</w:t>
      </w:r>
    </w:p>
    <w:p>
      <w:r>
        <w:rPr>
          <w:b w:val="0"/>
          <w:i w:val="0"/>
          <w:sz w:val="21"/>
        </w:rPr>
        <w:t>O Cliente reconhece que esta SOW é limitada aos Serviços Profissionais e não transmite qualquer direito de uso da Aplicação, cujo uso será regido por acordo separado. O Cliente concorda que sua aquisição dos Serviços Profissionais não está condicionada à entrega de qualquer funcionalidade ou característica futura da Aplicação (exceto Entregáveis sob esta SOW), nem a comentários públicos, orais ou escritos, da SFDC a respeito de funcionalidades futuras.</w:t>
      </w:r>
    </w:p>
    <w:p>
      <w:pPr>
        <w:pStyle w:val="Heading2"/>
      </w:pPr>
      <w:r>
        <w:rPr>
          <w:color w:val="0070D2"/>
          <w:sz w:val="25"/>
        </w:rPr>
        <w:t>7.3 Rescisão</w:t>
      </w:r>
    </w:p>
    <w:p>
      <w:r>
        <w:rPr>
          <w:b w:val="0"/>
          <w:i w:val="0"/>
          <w:sz w:val="21"/>
        </w:rPr>
        <w:t>O Cliente poderá rescindir esta SOW mediante notificação por escrito com antecedência de 30 (trinta) dias. Qualquer uma das partes pode rescindir por justa causa: (i) mediante notificação escrita com trinta (30) dias de antecedência de uma violação material, se não sanada ao término do período; ou (ii) se a outra parte se tornar objeto de pedido de falência, insolvência, recuperação judicial, liquidação ou cessão em benefício de credores. Serviços prestados e despesas incorridas até a data efetiva da rescisão são devidos à SFDC.</w:t>
      </w:r>
    </w:p>
    <w:p>
      <w:pPr>
        <w:pStyle w:val="Heading2"/>
      </w:pPr>
      <w:r>
        <w:rPr>
          <w:color w:val="0070D2"/>
          <w:sz w:val="25"/>
        </w:rPr>
        <w:t>7.4 Geral</w:t>
      </w:r>
    </w:p>
    <w:p>
      <w:r>
        <w:rPr>
          <w:b w:val="0"/>
          <w:i w:val="0"/>
          <w:sz w:val="21"/>
        </w:rPr>
        <w:t>Esta SOW poderá ser assinada em vias, cada uma considerada um original, e está sujeita aos termos e condições do Contrato, exceto se de outra forma expressamente previsto nesta SOW. No caso de conflito entre qualquer termo desta SOW e o Contrato, os termos desta SOW prevalecerão. EM TESTEMUNHO DO QUE, as partes assinam esta SOW por seus respectivos representantes devidamente autorizados, conforme identificados abaixo.</w:t>
      </w:r>
    </w:p>
    <w:p/>
    <w:p/>
    <w:p>
      <w:pPr>
        <w:pStyle w:val="Heading2"/>
      </w:pPr>
      <w:r>
        <w:rPr>
          <w:color w:val="0070D2"/>
          <w:sz w:val="25"/>
        </w:rPr>
        <w:t>Aceite e Assinaturas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CLARO BRASIL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SALESFORCE (SFDC)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br/>
              <w:br/>
              <w:t>Nome: ______________________________</w:t>
            </w:r>
          </w:p>
          <w:p>
            <w:r>
              <w:t>Cargo: _____________________________</w:t>
            </w:r>
          </w:p>
          <w:p>
            <w:r>
              <w:t>Data: ______________________________</w:t>
            </w:r>
          </w:p>
          <w:p>
            <w:r>
              <w:t>Assinatura: _________________________</w:t>
            </w:r>
          </w:p>
        </w:tc>
        <w:tc>
          <w:tcPr>
            <w:tcW w:type="dxa" w:w="4320"/>
          </w:tcPr>
          <w:p>
            <w:r/>
          </w:p>
          <w:p>
            <w:r>
              <w:br/>
              <w:br/>
              <w:t>Nome: ______________________________</w:t>
            </w:r>
          </w:p>
          <w:p>
            <w:r>
              <w:t>Cargo: _____________________________</w:t>
            </w:r>
          </w:p>
          <w:p>
            <w:r>
              <w:t>Data: ______________________________</w:t>
            </w:r>
          </w:p>
          <w:p>
            <w:r>
              <w:t>Assinatura: 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4698D"/>
        <w:sz w:val="16"/>
      </w:rPr>
      <w:t>Salesforce Professional Services — Confidencial · CLARO Brasil CPQ Design · SOW v1.0 (Rascunho)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