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C5F28" w14:textId="77777777" w:rsidR="00211257" w:rsidRDefault="00000000">
      <w:pPr>
        <w:pStyle w:val="Ttulo1"/>
      </w:pPr>
      <w:r>
        <w:t>Visão Geral</w:t>
      </w:r>
    </w:p>
    <w:p w14:paraId="1F6B54EE" w14:textId="77777777" w:rsidR="00211257" w:rsidRDefault="00000000">
      <w:pPr>
        <w:pStyle w:val="Ttulo2"/>
      </w:pPr>
      <w:r>
        <w:t>Introdução</w:t>
      </w:r>
    </w:p>
    <w:p w14:paraId="73A5E84E" w14:textId="77777777" w:rsidR="00211257" w:rsidRDefault="00000000">
      <w:pPr>
        <w:rPr>
          <w:lang w:val="pt-BR"/>
        </w:rPr>
      </w:pPr>
      <w:r>
        <w:rPr>
          <w:lang w:val="pt-BR"/>
        </w:rPr>
        <w:t>Esta SOW (“SOW”) 05719988 descreve um conjunto de serviços (“Serviços Profissionais”) a serem fornecidos pela SFDC ao Cliente conforme definido abaixo. A SFDC reserva-se o direito de rejeitar esta SOW se não for assinada até August 31, 2026.</w:t>
      </w:r>
    </w:p>
    <w:p w14:paraId="3ECDDADE" w14:textId="77777777" w:rsidR="00211257" w:rsidRDefault="00000000">
      <w:pPr>
        <w:pStyle w:val="Ttulo2"/>
        <w:jc w:val="left"/>
      </w:pPr>
      <w:r>
        <w:t>“Cliente”</w:t>
      </w:r>
    </w:p>
    <w:p w14:paraId="7A524B17" w14:textId="77777777" w:rsidR="00211257" w:rsidRDefault="00000000">
      <w:pPr>
        <w:pStyle w:val="Ttulo3"/>
      </w:pPr>
      <w:r>
        <w:t xml:space="preserve">Cliente: </w:t>
      </w:r>
      <w:r>
        <w:rPr>
          <w:rFonts w:eastAsia="Arial"/>
          <w:color w:val="000000"/>
          <w:szCs w:val="18"/>
          <w:shd w:val="clear" w:color="auto" w:fill="FFFFFF"/>
        </w:rPr>
        <w:t>*Claro S.A.</w:t>
      </w:r>
    </w:p>
    <w:p w14:paraId="4217A665" w14:textId="235A4396" w:rsidR="00211257" w:rsidRDefault="00000000">
      <w:pPr>
        <w:pStyle w:val="Ttulo3"/>
        <w:rPr>
          <w:lang w:val="pt-BR"/>
        </w:rPr>
      </w:pPr>
      <w:r>
        <w:rPr>
          <w:lang w:val="pt-BR"/>
        </w:rPr>
        <w:t xml:space="preserve">Responsável ou Administrador de Contratos do Cliente:  Washington </w:t>
      </w:r>
      <w:proofErr w:type="spellStart"/>
      <w:r>
        <w:rPr>
          <w:lang w:val="pt-BR"/>
        </w:rPr>
        <w:t>Luis</w:t>
      </w:r>
      <w:proofErr w:type="spellEnd"/>
      <w:r>
        <w:rPr>
          <w:lang w:val="pt-BR"/>
        </w:rPr>
        <w:t xml:space="preserve"> Almeida, washington.almeida@claro.com.br</w:t>
      </w:r>
    </w:p>
    <w:p w14:paraId="20573FE5" w14:textId="109AA840" w:rsidR="00211257" w:rsidRDefault="00000000">
      <w:pPr>
        <w:pStyle w:val="Ttulo3"/>
      </w:pPr>
      <w:r>
        <w:t xml:space="preserve">Contato de Faturamento do Cliente:  </w:t>
      </w:r>
      <w:r>
        <w:rPr>
          <w:rFonts w:eastAsia="Arial"/>
          <w:color w:val="000000"/>
          <w:szCs w:val="18"/>
          <w:shd w:val="clear" w:color="auto" w:fill="FFFFFF"/>
        </w:rPr>
        <w:t xml:space="preserve">Anik Mercanti, RUA HENRI DUNANT, SAO PAULO, </w:t>
      </w:r>
      <w:r w:rsidR="004C5E56">
        <w:rPr>
          <w:rFonts w:eastAsia="Arial"/>
          <w:color w:val="000000"/>
          <w:szCs w:val="18"/>
          <w:shd w:val="clear" w:color="auto" w:fill="FFFFFF"/>
        </w:rPr>
        <w:t xml:space="preserve">SP, </w:t>
      </w:r>
      <w:r>
        <w:rPr>
          <w:rFonts w:eastAsia="Arial"/>
          <w:color w:val="000000"/>
          <w:szCs w:val="18"/>
          <w:shd w:val="clear" w:color="auto" w:fill="FFFFFF"/>
        </w:rPr>
        <w:t>04709</w:t>
      </w:r>
      <w:r w:rsidR="004C5E56">
        <w:rPr>
          <w:rFonts w:eastAsia="Arial"/>
          <w:color w:val="000000"/>
          <w:szCs w:val="18"/>
          <w:shd w:val="clear" w:color="auto" w:fill="FFFFFF"/>
        </w:rPr>
        <w:t>-</w:t>
      </w:r>
      <w:r>
        <w:rPr>
          <w:rFonts w:eastAsia="Arial"/>
          <w:color w:val="000000"/>
          <w:szCs w:val="18"/>
          <w:shd w:val="clear" w:color="auto" w:fill="FFFFFF"/>
        </w:rPr>
        <w:t xml:space="preserve">110, </w:t>
      </w:r>
      <w:proofErr w:type="spellStart"/>
      <w:r>
        <w:rPr>
          <w:rFonts w:eastAsia="Arial"/>
          <w:color w:val="000000"/>
          <w:szCs w:val="18"/>
          <w:shd w:val="clear" w:color="auto" w:fill="FFFFFF"/>
        </w:rPr>
        <w:t>Bra</w:t>
      </w:r>
      <w:r w:rsidR="004C5E56">
        <w:rPr>
          <w:rFonts w:eastAsia="Arial"/>
          <w:color w:val="000000"/>
          <w:szCs w:val="18"/>
          <w:shd w:val="clear" w:color="auto" w:fill="FFFFFF"/>
        </w:rPr>
        <w:t>s</w:t>
      </w:r>
      <w:r>
        <w:rPr>
          <w:rFonts w:eastAsia="Arial"/>
          <w:color w:val="000000"/>
          <w:szCs w:val="18"/>
          <w:shd w:val="clear" w:color="auto" w:fill="FFFFFF"/>
        </w:rPr>
        <w:t>il</w:t>
      </w:r>
      <w:proofErr w:type="spellEnd"/>
      <w:r>
        <w:rPr>
          <w:rFonts w:eastAsia="Arial"/>
          <w:color w:val="000000"/>
          <w:szCs w:val="18"/>
          <w:shd w:val="clear" w:color="auto" w:fill="FFFFFF"/>
        </w:rPr>
        <w:t>, annik.mercanti@claro.com.br</w:t>
      </w:r>
    </w:p>
    <w:p w14:paraId="4E3AE771" w14:textId="008F32C0" w:rsidR="00211257" w:rsidRDefault="00000000">
      <w:pPr>
        <w:pStyle w:val="Ttulo3"/>
      </w:pPr>
      <w:r>
        <w:rPr>
          <w:rFonts w:eastAsia="Arial"/>
          <w:color w:val="1F1F1F"/>
          <w:szCs w:val="18"/>
        </w:rPr>
        <w:t>Contato de envio do cliente:</w:t>
      </w:r>
      <w:proofErr w:type="gramStart"/>
      <w:r>
        <w:rPr>
          <w:rFonts w:eastAsia="Arial"/>
          <w:color w:val="000000"/>
          <w:szCs w:val="18"/>
          <w:shd w:val="clear" w:color="auto" w:fill="FFFFFF"/>
        </w:rPr>
        <w:t xml:space="preserve">  ,</w:t>
      </w:r>
      <w:proofErr w:type="gramEnd"/>
      <w:r>
        <w:rPr>
          <w:rFonts w:eastAsia="Arial"/>
          <w:color w:val="000000"/>
          <w:szCs w:val="18"/>
          <w:shd w:val="clear" w:color="auto" w:fill="FFFFFF"/>
        </w:rPr>
        <w:t xml:space="preserve"> RUA HENRI DUNANT, SAO PAULO, </w:t>
      </w:r>
      <w:r w:rsidR="004C5E56">
        <w:rPr>
          <w:rFonts w:eastAsia="Arial"/>
          <w:color w:val="000000"/>
          <w:szCs w:val="18"/>
          <w:shd w:val="clear" w:color="auto" w:fill="FFFFFF"/>
        </w:rPr>
        <w:t xml:space="preserve">SP, </w:t>
      </w:r>
      <w:r>
        <w:rPr>
          <w:rFonts w:eastAsia="Arial"/>
          <w:color w:val="000000"/>
          <w:szCs w:val="18"/>
          <w:shd w:val="clear" w:color="auto" w:fill="FFFFFF"/>
        </w:rPr>
        <w:t>04709</w:t>
      </w:r>
      <w:r w:rsidR="004C5E56">
        <w:rPr>
          <w:rFonts w:eastAsia="Arial"/>
          <w:color w:val="000000"/>
          <w:szCs w:val="18"/>
          <w:shd w:val="clear" w:color="auto" w:fill="FFFFFF"/>
        </w:rPr>
        <w:t>-</w:t>
      </w:r>
      <w:r>
        <w:rPr>
          <w:rFonts w:eastAsia="Arial"/>
          <w:color w:val="000000"/>
          <w:szCs w:val="18"/>
          <w:shd w:val="clear" w:color="auto" w:fill="FFFFFF"/>
        </w:rPr>
        <w:t xml:space="preserve">110, </w:t>
      </w:r>
      <w:proofErr w:type="spellStart"/>
      <w:r>
        <w:rPr>
          <w:rFonts w:eastAsia="Arial"/>
          <w:color w:val="000000"/>
          <w:szCs w:val="18"/>
          <w:shd w:val="clear" w:color="auto" w:fill="FFFFFF"/>
        </w:rPr>
        <w:t>Bra</w:t>
      </w:r>
      <w:r w:rsidR="004C5E56">
        <w:rPr>
          <w:rFonts w:eastAsia="Arial"/>
          <w:color w:val="000000"/>
          <w:szCs w:val="18"/>
          <w:shd w:val="clear" w:color="auto" w:fill="FFFFFF"/>
        </w:rPr>
        <w:t>s</w:t>
      </w:r>
      <w:r>
        <w:rPr>
          <w:rFonts w:eastAsia="Arial"/>
          <w:color w:val="000000"/>
          <w:szCs w:val="18"/>
          <w:shd w:val="clear" w:color="auto" w:fill="FFFFFF"/>
        </w:rPr>
        <w:t>il</w:t>
      </w:r>
      <w:proofErr w:type="spellEnd"/>
      <w:r>
        <w:rPr>
          <w:rFonts w:eastAsia="Arial"/>
          <w:color w:val="000000"/>
          <w:szCs w:val="18"/>
          <w:shd w:val="clear" w:color="auto" w:fill="FFFFFF"/>
        </w:rPr>
        <w:t xml:space="preserve">, annik.mercanti@claro.com.br </w:t>
      </w:r>
    </w:p>
    <w:p w14:paraId="44CDBD2E" w14:textId="77777777" w:rsidR="00211257" w:rsidRDefault="00000000">
      <w:pPr>
        <w:pStyle w:val="Ttulo2"/>
        <w:jc w:val="left"/>
      </w:pPr>
      <w:r>
        <w:t>“SFDC”</w:t>
      </w:r>
    </w:p>
    <w:p w14:paraId="23DF7377" w14:textId="77777777" w:rsidR="00211257" w:rsidRDefault="00000000">
      <w:pPr>
        <w:pStyle w:val="Ttulo3"/>
        <w:rPr>
          <w:lang w:val="pt-BR"/>
        </w:rPr>
      </w:pPr>
      <w:r>
        <w:rPr>
          <w:lang w:val="pt-BR"/>
        </w:rPr>
        <w:t>Entidade Legal da SFDC:  Salesforce Tecnologia Ltda.</w:t>
      </w:r>
    </w:p>
    <w:p w14:paraId="4E5D6955" w14:textId="77777777" w:rsidR="00211257" w:rsidRDefault="00000000">
      <w:pPr>
        <w:pStyle w:val="Ttulo3"/>
        <w:rPr>
          <w:lang w:val="pt-BR"/>
        </w:rPr>
      </w:pPr>
      <w:r>
        <w:rPr>
          <w:lang w:val="pt-BR"/>
        </w:rPr>
        <w:t>Contato de Vendas Principal da SFDC:  Juliana Brites, jbrites@salesforce.com</w:t>
      </w:r>
    </w:p>
    <w:p w14:paraId="709EB832" w14:textId="77777777" w:rsidR="00211257" w:rsidRDefault="00000000">
      <w:pPr>
        <w:pStyle w:val="Ttulo2"/>
        <w:jc w:val="left"/>
      </w:pPr>
      <w:r>
        <w:t>Definições</w:t>
      </w:r>
    </w:p>
    <w:p w14:paraId="140D3999" w14:textId="77777777" w:rsidR="00211257" w:rsidRDefault="00000000">
      <w:pPr>
        <w:rPr>
          <w:lang w:val="pt-BR"/>
        </w:rPr>
      </w:pPr>
      <w:r>
        <w:rPr>
          <w:lang w:val="pt-BR"/>
        </w:rPr>
        <w:t>Todos os termos em letras maiúsculas não definidos nesta SOW terão o significado estabelecido no Contrato.</w:t>
      </w:r>
    </w:p>
    <w:p w14:paraId="5A67578E" w14:textId="3DD8F89D" w:rsidR="00211257" w:rsidRDefault="00000000">
      <w:pPr>
        <w:pStyle w:val="Ttulo3"/>
        <w:numPr>
          <w:ilvl w:val="0"/>
          <w:numId w:val="16"/>
        </w:numPr>
        <w:rPr>
          <w:lang w:val="pt-BR"/>
        </w:rPr>
      </w:pPr>
      <w:r>
        <w:rPr>
          <w:lang w:val="pt-BR"/>
        </w:rPr>
        <w:t>“</w:t>
      </w:r>
      <w:r w:rsidR="004C5E56">
        <w:rPr>
          <w:b/>
          <w:lang w:val="pt-BR"/>
        </w:rPr>
        <w:t>Contrato”</w:t>
      </w:r>
      <w:r>
        <w:rPr>
          <w:lang w:val="pt-BR"/>
        </w:rPr>
        <w:t xml:space="preserve"> significa o Contrato de Serviços Profissionais firmado entre a SFDC e o Cliente (ou uma afiliada do Cliente) em </w:t>
      </w:r>
      <w:r w:rsidR="00477C7B">
        <w:rPr>
          <w:lang w:val="pt-BR"/>
        </w:rPr>
        <w:t xml:space="preserve">31 de </w:t>
      </w:r>
      <w:r w:rsidR="004C5E56">
        <w:rPr>
          <w:lang w:val="pt-BR"/>
        </w:rPr>
        <w:t>janeiro</w:t>
      </w:r>
      <w:r w:rsidR="00477C7B">
        <w:rPr>
          <w:lang w:val="pt-BR"/>
        </w:rPr>
        <w:t xml:space="preserve"> de 2026.</w:t>
      </w:r>
      <w:r>
        <w:rPr>
          <w:lang w:val="pt-BR"/>
        </w:rPr>
        <w:t xml:space="preserve"> </w:t>
      </w:r>
    </w:p>
    <w:p w14:paraId="4996CC89" w14:textId="77777777" w:rsidR="00211257" w:rsidRDefault="00000000">
      <w:pPr>
        <w:pStyle w:val="Ttulo3"/>
        <w:numPr>
          <w:ilvl w:val="0"/>
          <w:numId w:val="16"/>
        </w:numPr>
        <w:rPr>
          <w:lang w:val="pt-BR"/>
        </w:rPr>
      </w:pPr>
      <w:r>
        <w:rPr>
          <w:b/>
          <w:lang w:val="pt-BR"/>
        </w:rPr>
        <w:t>"Aplicação"</w:t>
      </w:r>
      <w:r>
        <w:rPr>
          <w:lang w:val="pt-BR"/>
        </w:rPr>
        <w:t xml:space="preserve"> significa qualquer serviço online, baseado na web e componentes on-premises offline disponibilizados pela SFDC ou qualquer Afiliada da SFDC ao Cliente sob um contrato separado em vigor entre o Cliente e a SFDC ou qualquer Afiliada da SFDC. </w:t>
      </w:r>
    </w:p>
    <w:p w14:paraId="39317777" w14:textId="77777777" w:rsidR="00211257" w:rsidRDefault="00000000">
      <w:pPr>
        <w:pStyle w:val="Ttulo3"/>
        <w:numPr>
          <w:ilvl w:val="0"/>
          <w:numId w:val="16"/>
        </w:numPr>
        <w:rPr>
          <w:lang w:val="pt-BR"/>
        </w:rPr>
      </w:pPr>
      <w:r>
        <w:rPr>
          <w:b/>
          <w:lang w:val="pt-BR"/>
        </w:rPr>
        <w:t>“Pedido de Alteração”</w:t>
      </w:r>
      <w:r>
        <w:rPr>
          <w:lang w:val="pt-BR"/>
        </w:rPr>
        <w:t xml:space="preserve"> é uma emenda formal a esta SOW gerada pela SFDC e assinada por ambas as partes.</w:t>
      </w:r>
    </w:p>
    <w:p w14:paraId="39C0E5F3" w14:textId="77777777" w:rsidR="00211257" w:rsidRDefault="00000000">
      <w:pPr>
        <w:pStyle w:val="Ttulo3"/>
        <w:numPr>
          <w:ilvl w:val="0"/>
          <w:numId w:val="16"/>
        </w:numPr>
        <w:rPr>
          <w:lang w:val="pt-BR"/>
        </w:rPr>
      </w:pPr>
      <w:r>
        <w:rPr>
          <w:b/>
          <w:lang w:val="pt-BR"/>
        </w:rPr>
        <w:t>“Data de Vigência”</w:t>
      </w:r>
      <w:r>
        <w:rPr>
          <w:lang w:val="pt-BR"/>
        </w:rPr>
        <w:t xml:space="preserve"> será a última das respectivas datas de assinaturas desta SOW pelas partes e do recebimento da PO, se exigido pelo Cliente ou pela SFDC.</w:t>
      </w:r>
    </w:p>
    <w:p w14:paraId="38426D53" w14:textId="77777777" w:rsidR="00211257" w:rsidRDefault="00000000">
      <w:pPr>
        <w:pStyle w:val="Ttulo3"/>
        <w:numPr>
          <w:ilvl w:val="0"/>
          <w:numId w:val="16"/>
        </w:numPr>
        <w:rPr>
          <w:b/>
          <w:lang w:val="pt-BR"/>
        </w:rPr>
      </w:pPr>
      <w:r>
        <w:rPr>
          <w:b/>
          <w:lang w:val="pt-BR"/>
        </w:rPr>
        <w:t xml:space="preserve">“Honorários” </w:t>
      </w:r>
      <w:r>
        <w:rPr>
          <w:lang w:val="pt-BR"/>
        </w:rPr>
        <w:t>significam os honorários de Serviços Profissionais de acordo com o desempenho desta SOW</w:t>
      </w:r>
      <w:r>
        <w:rPr>
          <w:b/>
          <w:lang w:val="pt-BR"/>
        </w:rPr>
        <w:t>.</w:t>
      </w:r>
    </w:p>
    <w:p w14:paraId="6768DF05" w14:textId="77777777" w:rsidR="00211257" w:rsidRDefault="00000000">
      <w:pPr>
        <w:pStyle w:val="Ttulo3"/>
        <w:numPr>
          <w:ilvl w:val="0"/>
          <w:numId w:val="16"/>
        </w:numPr>
        <w:rPr>
          <w:lang w:val="pt-BR"/>
        </w:rPr>
      </w:pPr>
      <w:r>
        <w:rPr>
          <w:b/>
          <w:lang w:val="pt-BR"/>
        </w:rPr>
        <w:t>“Prazo da SOW”</w:t>
      </w:r>
      <w:r>
        <w:rPr>
          <w:lang w:val="pt-BR"/>
        </w:rPr>
        <w:t xml:space="preserve"> significa a duração do desempenho dos Serviços Profissionais de acordo com esta SOW e qualquer Pedido de Alteração.</w:t>
      </w:r>
    </w:p>
    <w:p w14:paraId="3D40A2CD" w14:textId="77777777" w:rsidR="00211257" w:rsidRDefault="00000000">
      <w:pPr>
        <w:pStyle w:val="Ttulo3"/>
        <w:numPr>
          <w:ilvl w:val="0"/>
          <w:numId w:val="16"/>
        </w:numPr>
        <w:rPr>
          <w:lang w:val="pt-BR"/>
        </w:rPr>
      </w:pPr>
      <w:r>
        <w:rPr>
          <w:b/>
          <w:lang w:val="pt-BR"/>
        </w:rPr>
        <w:t>“T&amp;E”</w:t>
      </w:r>
      <w:r>
        <w:rPr>
          <w:lang w:val="pt-BR"/>
        </w:rPr>
        <w:t xml:space="preserve"> significa todas as despesas relacionadas com viagens e outras despesas, incluindo, mas não se limitando ao transporte, quilometragem e despesas razoáveis desembolsadas, incorridas pela SFDC na execução dos Serviços Profissionais. </w:t>
      </w:r>
    </w:p>
    <w:p w14:paraId="73B26018" w14:textId="77777777" w:rsidR="00211257" w:rsidRDefault="00000000">
      <w:pPr>
        <w:pStyle w:val="Ttulo1"/>
        <w:jc w:val="left"/>
      </w:pPr>
      <w:r>
        <w:t>Escopo</w:t>
      </w:r>
    </w:p>
    <w:p w14:paraId="1D1D7FD1" w14:textId="77777777" w:rsidR="00211257" w:rsidRDefault="00000000">
      <w:pPr>
        <w:ind w:left="0" w:firstLine="720"/>
        <w:rPr>
          <w:lang w:val="pt-BR"/>
        </w:rPr>
      </w:pPr>
      <w:r>
        <w:rPr>
          <w:lang w:val="pt-BR"/>
        </w:rPr>
        <w:t xml:space="preserve">Sujeito aos termos desta SOW e do Contrato, a SFDC prestará os Serviços Profissionais estabelecidos abaixo nesta Seção 2.  </w:t>
      </w:r>
    </w:p>
    <w:p w14:paraId="0FBD3B96" w14:textId="77777777" w:rsidR="00211257" w:rsidRDefault="00000000">
      <w:pPr>
        <w:pStyle w:val="Ttulo2"/>
        <w:keepNext/>
        <w:keepLines/>
        <w:ind w:left="1026" w:hanging="576"/>
        <w:contextualSpacing w:val="0"/>
        <w:jc w:val="left"/>
      </w:pPr>
      <w:r>
        <w:t xml:space="preserve">Histórico/Objetivo </w:t>
      </w:r>
    </w:p>
    <w:p w14:paraId="69A3A7FB" w14:textId="77777777" w:rsidR="00211257" w:rsidRDefault="00000000">
      <w:pPr>
        <w:ind w:left="810"/>
        <w:rPr>
          <w:lang w:val="pt-BR"/>
        </w:rPr>
      </w:pPr>
      <w:r>
        <w:rPr>
          <w:lang w:val="pt-BR"/>
        </w:rPr>
        <w:t>Os objetivos comerciais de alto nível do Cliente para estes Serviços Profissionais estão resumidos abaixo.  Estes objetivos são apenas para fins informativos (não uma obrigação do Cliente ou da SFDC).</w:t>
      </w:r>
    </w:p>
    <w:p w14:paraId="467034C1" w14:textId="065C4FC3" w:rsidR="00211257" w:rsidRDefault="00000000">
      <w:pPr>
        <w:ind w:left="810"/>
        <w:rPr>
          <w:lang w:val="pt-BR"/>
        </w:rPr>
      </w:pPr>
      <w:r>
        <w:rPr>
          <w:lang w:val="pt-BR"/>
        </w:rPr>
        <w:t xml:space="preserve">Em alto nível, o Cliente pretende atingir os seguintes objetivos de negócio:  </w:t>
      </w:r>
    </w:p>
    <w:p w14:paraId="59A4B185" w14:textId="68669472" w:rsidR="00211257" w:rsidRDefault="00736AFD">
      <w:pPr>
        <w:pStyle w:val="PargrafodaLista"/>
        <w:numPr>
          <w:ilvl w:val="3"/>
          <w:numId w:val="2"/>
        </w:numPr>
        <w:rPr>
          <w:lang w:val="pt-BR"/>
        </w:rPr>
      </w:pPr>
      <w:r>
        <w:rPr>
          <w:lang w:val="pt-BR"/>
        </w:rPr>
        <w:t xml:space="preserve">Reduzir o time-to-market (TTM) de novas ofertas, planos e promoções, substituindo matrizes e customizações legadas por capacidades declarativas nativas (EPC e Motor de Regras) da Communications Cloud.</w:t>
      </w:r>
    </w:p>
    <w:p w14:paraId="59A4B185" w14:textId="68669472" w:rsidR="00211257" w:rsidRDefault="00736AFD">
      <w:pPr>
        <w:pStyle w:val="PargrafodaLista"/>
        <w:numPr>
          <w:ilvl w:val="3"/>
          <w:numId w:val="2"/>
        </w:numPr>
        <w:rPr>
          <w:lang w:val="pt-BR"/>
        </w:rPr>
      </w:pPr>
      <w:r>
        <w:rPr>
          <w:lang w:val="pt-BR"/>
        </w:rPr>
        <w:t xml:space="preserve">Unificar o catálogo comercial das cinco linhas de negócio (Móvel, TV, Banda Larga, Fixo e Aparelhos) em um modelo de dados único, aderente ao padrão TM Forum SID.</w:t>
      </w:r>
    </w:p>
    <w:p w14:paraId="59A4B185" w14:textId="68669472" w:rsidR="00211257" w:rsidRDefault="00736AFD">
      <w:pPr>
        <w:pStyle w:val="PargrafodaLista"/>
        <w:numPr>
          <w:ilvl w:val="3"/>
          <w:numId w:val="2"/>
        </w:numPr>
        <w:rPr>
          <w:lang w:val="pt-BR"/>
        </w:rPr>
      </w:pPr>
      <w:r>
        <w:rPr>
          <w:lang w:val="pt-BR"/>
        </w:rPr>
        <w:t xml:space="preserve">Habilitar a venda ágil de combos multi-LOB, com cross-sell e up-sell, por meio do carrinho de vendas (CPQ/Cart).</w:t>
      </w:r>
    </w:p>
    <w:p w14:paraId="59A4B185" w14:textId="68669472" w:rsidR="00211257" w:rsidRDefault="00736AFD">
      <w:pPr>
        <w:pStyle w:val="PargrafodaLista"/>
        <w:numPr>
          <w:ilvl w:val="3"/>
          <w:numId w:val="2"/>
        </w:numPr>
        <w:rPr>
          <w:lang w:val="pt-BR"/>
        </w:rPr>
      </w:pPr>
      <w:r>
        <w:rPr>
          <w:lang w:val="pt-BR"/>
        </w:rPr>
        <w:t xml:space="preserve">Modelar de forma declarativa as regras de elegibilidade, compatibilidade e precificação, reduzindo a dependência de código customizado.</w:t>
      </w:r>
    </w:p>
    <w:p w14:paraId="59A4B185" w14:textId="68669472" w:rsidR="00211257" w:rsidRDefault="00736AFD">
      <w:pPr>
        <w:pStyle w:val="PargrafodaLista"/>
        <w:numPr>
          <w:ilvl w:val="3"/>
          <w:numId w:val="2"/>
        </w:numPr>
        <w:rPr>
          <w:lang w:val="pt-BR"/>
        </w:rPr>
      </w:pPr>
      <w:r>
        <w:rPr>
          <w:lang w:val="pt-BR"/>
        </w:rPr>
        <w:t xml:space="preserve">Validar, por meio de uma Prova de Conceito (PoC), o padrão de decomposição de pedidos (Order Management) e o payload de integração com os sistemas legados.</w:t>
      </w:r>
    </w:p>
    <w:p w14:paraId="1E3B1A41" w14:textId="77777777" w:rsidR="00211257" w:rsidRDefault="00000000">
      <w:pPr>
        <w:pStyle w:val="Ttulo2"/>
        <w:jc w:val="left"/>
      </w:pPr>
      <w:r>
        <w:t xml:space="preserve">Serviços de </w:t>
      </w:r>
      <w:proofErr w:type="spellStart"/>
      <w:r>
        <w:t>Implementação</w:t>
      </w:r>
      <w:proofErr w:type="spellEnd"/>
    </w:p>
    <w:p w14:paraId="5C6AE868" w14:textId="77777777" w:rsidR="00211257" w:rsidRDefault="00000000">
      <w:pPr>
        <w:rPr>
          <w:lang w:val="pt-BR"/>
        </w:rPr>
      </w:pPr>
      <w:r>
        <w:rPr>
          <w:lang w:val="pt-BR"/>
        </w:rPr>
        <w:t>A SFDC irá configurar a Aplicação conforme definido abaixo (“Serviços de Implementação”) usando a metodologia de entrega da SFDC descrita na Seção 3.</w:t>
      </w:r>
    </w:p>
    <w:p w14:paraId="0C62D1D9" w14:textId="77777777" w:rsidR="00211257" w:rsidRDefault="00211257">
      <w:pPr>
        <w:spacing w:after="120" w:line="240" w:lineRule="auto"/>
        <w:ind w:left="2088"/>
        <w:outlineLvl w:val="2"/>
        <w:rPr>
          <w:rFonts w:eastAsia="Arial"/>
          <w:b/>
          <w:color w:val="000000"/>
          <w:szCs w:val="18"/>
          <w:lang w:val="en"/>
        </w:rPr>
      </w:pPr>
      <w:bookmarkStart w:id="0" w:name="_Hlk207827082"/>
    </w:p>
    <w:bookmarkEnd w:id="0"/>
    <w:p w14:paraId="01F1B0AE" w14:textId="77777777" w:rsidR="00211257" w:rsidRDefault="00000000">
      <w:pPr>
        <w:pStyle w:val="Ttulo3"/>
        <w:rPr>
          <w:b/>
        </w:rPr>
      </w:pPr>
      <w:r>
        <w:rPr>
          <w:b/>
        </w:rPr>
        <w:t>Salesforce Industries (SFI) Services - Communication Cloud</w:t>
      </w:r>
    </w:p>
    <w:p w14:paraId="3013A3A8" w14:textId="77777777" w:rsidR="00211257" w:rsidRDefault="00000000">
      <w:pPr>
        <w:pStyle w:val="Ttulo4"/>
        <w:jc w:val="left"/>
      </w:pPr>
      <w:r>
        <w:t>SFI - Communication Cloud - EPC/Product Catalog</w:t>
      </w:r>
    </w:p>
    <w:p w14:paraId="7C7A3075" w14:textId="77777777" w:rsidR="00211257" w:rsidRDefault="00000000">
      <w:pPr>
        <w:spacing w:after="120" w:line="240" w:lineRule="auto"/>
        <w:ind w:left="1728"/>
        <w:outlineLvl w:val="2"/>
        <w:rPr>
          <w:b/>
          <w:lang w:val="pt-BR"/>
        </w:rPr>
      </w:pPr>
      <w:r>
        <w:rPr>
          <w:b/>
          <w:lang w:val="pt-BR"/>
        </w:rPr>
        <w:t xml:space="preserve">Descrição </w:t>
      </w:r>
    </w:p>
    <w:p w14:paraId="76A1F3D5" w14:textId="77777777" w:rsidR="00211257" w:rsidRDefault="00000000">
      <w:pPr>
        <w:spacing w:after="120" w:line="240" w:lineRule="auto"/>
        <w:ind w:left="1728"/>
        <w:outlineLvl w:val="2"/>
        <w:rPr>
          <w:lang w:val="pt-BR"/>
        </w:rPr>
      </w:pPr>
      <w:r>
        <w:rPr>
          <w:rFonts w:eastAsia="Arial"/>
          <w:color w:val="000000"/>
          <w:szCs w:val="18"/>
          <w:lang w:val="pt-BR"/>
        </w:rPr>
        <w:t xml:space="preserve">A SFDC desenhará e modelará o Enterprise Product Catalog (EPC) da Communications Cloud como catálogo comercial principal, contemplando até 100 (cem) produtos comerciais (até 20 por linha de negócio: Móvel, TV, Banda Larga, Fixo e Aparelhos), organizados em duas camadas — Produto Comercial e Produto Técnico/CFS —, conforme o padrão TM Forum SID. O escopo inclui a definição do product template (Object Type / Product Specification), a estrutura de Catalogs e a modelagem de até 5 (cinco) promoções/descontos. A configuração efetiva no EPC será realizada em escopo de Prova de Conceito (PoC): 1 (uma) oferta por linha de negócio precificada e publicada, usando a Comms Cloud como catálogo comercial principal.</w:t>
      </w:r>
    </w:p>
    <w:p w14:paraId="3E1431D5" w14:textId="77777777" w:rsidR="00211257" w:rsidRDefault="00000000">
      <w:pPr>
        <w:spacing w:after="120" w:line="240" w:lineRule="auto"/>
        <w:ind w:left="1728"/>
        <w:outlineLvl w:val="2"/>
        <w:rPr>
          <w:b/>
          <w:lang w:val="pt-BR"/>
        </w:rPr>
      </w:pPr>
      <w:r>
        <w:rPr>
          <w:b/>
          <w:lang w:val="pt-BR"/>
        </w:rPr>
        <w:t>Premissas</w:t>
      </w:r>
    </w:p>
    <w:p w14:paraId="27C8912C" w14:textId="77777777" w:rsidR="00211257" w:rsidRDefault="00000000">
      <w:pPr>
        <w:spacing w:after="120" w:line="240" w:lineRule="auto"/>
        <w:ind w:left="1728"/>
        <w:outlineLvl w:val="2"/>
        <w:rPr>
          <w:lang w:val="pt-BR"/>
        </w:rPr>
      </w:pPr>
      <w:r>
        <w:rPr>
          <w:rFonts w:eastAsia="Arial"/>
          <w:color w:val="000000"/>
          <w:szCs w:val="18"/>
          <w:lang w:val="pt-BR"/>
        </w:rPr>
        <w:t xml:space="preserve">Desenvolvimento: O Cliente ou o Integrador de Sistemas (SI) é responsável pelas atividades de DevOps. O Salesforce Industries utilizará sempre a capacidade nativa do produto disponível em disponibilidade geral (GA), em vez de opções personalizadas. As integrações com sistemas externos (por exemplo, verificação de crédito, cobertura/serviceability, inventário e pagamentos) não fazem parte do escopo desta PoC e, quando aplicável, serão simuladas/mockadas em ambiente Sandbox.</w:t>
      </w:r>
    </w:p>
    <w:p w14:paraId="547601D3" w14:textId="77777777" w:rsidR="00211257" w:rsidRDefault="00000000">
      <w:pPr>
        <w:spacing w:after="120" w:line="240" w:lineRule="auto"/>
        <w:ind w:left="1728"/>
        <w:outlineLvl w:val="2"/>
      </w:pPr>
      <w:r>
        <w:rPr>
          <w:rFonts w:eastAsia="Arial"/>
          <w:color w:val="000000"/>
          <w:szCs w:val="18"/>
          <w:lang w:val="pt-BR"/>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p>
    <w:p w14:paraId="4E30E85F" w14:textId="77777777" w:rsidR="00211257" w:rsidRDefault="00000000">
      <w:pPr>
        <w:pStyle w:val="Ttulo4"/>
        <w:jc w:val="left"/>
      </w:pPr>
      <w:r>
        <w:t>SFI - Communication Cloud - CPQ</w:t>
      </w:r>
    </w:p>
    <w:p w14:paraId="454F73DB" w14:textId="77777777" w:rsidR="00211257" w:rsidRDefault="00000000">
      <w:pPr>
        <w:spacing w:after="120" w:line="240" w:lineRule="auto"/>
        <w:ind w:left="1728"/>
        <w:outlineLvl w:val="2"/>
        <w:rPr>
          <w:b/>
        </w:rPr>
      </w:pPr>
      <w:r>
        <w:rPr>
          <w:b/>
        </w:rPr>
        <w:t xml:space="preserve">Descrição </w:t>
      </w:r>
    </w:p>
    <w:p w14:paraId="141C6F41" w14:textId="77777777" w:rsidR="00211257" w:rsidRDefault="00000000">
      <w:pPr>
        <w:spacing w:after="120" w:line="240" w:lineRule="auto"/>
        <w:ind w:left="1728"/>
        <w:outlineLvl w:val="2"/>
        <w:rPr>
          <w:lang w:val="pt-BR"/>
        </w:rPr>
      </w:pPr>
      <w:r>
        <w:rPr>
          <w:rFonts w:eastAsia="Arial"/>
          <w:color w:val="000000"/>
          <w:szCs w:val="18"/>
          <w:lang w:val="pt-BR"/>
        </w:rPr>
        <w:t>A SFDC utilizará os recursos prontos para uso do Carrinho para dar suporte às funções de configuração, preço e cotação. A SFDC dará suporte ao Cliente/SI para criar a interface do usuário de Cotação para Pedido utilizando as capacidades de EPC/CPQ e API.</w:t>
      </w:r>
    </w:p>
    <w:p w14:paraId="21E4CA29" w14:textId="77777777" w:rsidR="00211257" w:rsidRDefault="00000000">
      <w:pPr>
        <w:spacing w:after="120" w:line="240" w:lineRule="auto"/>
        <w:ind w:left="1728"/>
        <w:outlineLvl w:val="2"/>
        <w:rPr>
          <w:b/>
          <w:lang w:val="pt-BR"/>
        </w:rPr>
      </w:pPr>
      <w:r>
        <w:rPr>
          <w:b/>
          <w:lang w:val="pt-BR"/>
        </w:rPr>
        <w:t>Premissas</w:t>
      </w:r>
    </w:p>
    <w:p w14:paraId="612C4D8D" w14:textId="77777777" w:rsidR="00211257" w:rsidRDefault="00000000">
      <w:pPr>
        <w:spacing w:after="120" w:line="240" w:lineRule="auto"/>
        <w:ind w:left="1728"/>
        <w:outlineLvl w:val="2"/>
        <w:rPr>
          <w:lang w:val="pt-BR"/>
        </w:rPr>
      </w:pPr>
      <w:r>
        <w:rPr>
          <w:rFonts w:eastAsia="Arial"/>
          <w:color w:val="000000"/>
          <w:szCs w:val="18"/>
          <w:lang w:val="pt-BR"/>
        </w:rPr>
        <w:t>As interfaces com sistemas externos em todos os processos de Cotação para pedido devem ser concluídas pelo Cliente ou o SI (com suporte de Arquitetos do Salesforce Industries), incluindo, mas não se limitando à: validação de endereço, verificação de capacidade de serviço, verificação de crédito/fraude, pagamentos, verificação de inventário.</w:t>
      </w:r>
    </w:p>
    <w:p w14:paraId="7BA7FF13" w14:textId="77777777" w:rsidR="00211257" w:rsidRDefault="00000000">
      <w:pPr>
        <w:spacing w:after="120" w:line="240" w:lineRule="auto"/>
        <w:ind w:left="1728"/>
        <w:outlineLvl w:val="2"/>
        <w:rPr>
          <w:lang w:val="pt-BR"/>
        </w:rPr>
      </w:pPr>
      <w:r>
        <w:rPr>
          <w:rFonts w:eastAsia="Arial"/>
          <w:color w:val="000000"/>
          <w:szCs w:val="18"/>
          <w:lang w:val="pt-BR"/>
        </w:rPr>
        <w:t xml:space="preserve">Desenvolvimento: O Cliente ou o Integrador de Sistemas (SI) é responsável pelas atividades de DevOps. O Salesforce Industries utilizará sempre a capacidade nativa do produto disponível em disponibilidade geral (GA), em vez de opções personalizadas. Nesta PoC, as interfaces com sistemas externos do fluxo de Cotação para Pedido serão simuladas/mockadas; a construção das integrações produtivas é responsabilidade do Cliente ou do SI.</w:t>
      </w:r>
    </w:p>
    <w:p w14:paraId="76F16878" w14:textId="77777777" w:rsidR="00211257" w:rsidRDefault="00000000">
      <w:pPr>
        <w:spacing w:after="120" w:line="240" w:lineRule="auto"/>
        <w:ind w:left="1728"/>
        <w:outlineLvl w:val="2"/>
      </w:pPr>
      <w:r>
        <w:rPr>
          <w:rFonts w:eastAsia="Arial"/>
          <w:color w:val="000000"/>
          <w:szCs w:val="18"/>
          <w:lang w:val="pt-BR"/>
        </w:rPr>
        <w:t xml:space="preserve">Geral e testes: A SFDC (geralmente, quando em uma função Principal) é responsável por Descrição de Design e Desenvolvimento, além de testes de unidade no ambiente de desenvolvimento. O Cliente ou SI (geralmente) é responsável por: gerenciamento de ambiente de instâncias de teste (incluindo usuários, permissões, dados, sistemas de integração etc.) Estabelecimento de critérios de entrada e saída para cada ciclo de testes (teste de sistema/integração, teste de desempenho/escalabilidade, teste de aceitação do usuário, teste de regressão, teste de implantação etc.) Treinamento e gerenciamento de recursos de teste. Gerenciamento da execução de teste, incluindo validação de correção de defeitos. </w:t>
      </w:r>
    </w:p>
    <w:p w14:paraId="2641CB71" w14:textId="77777777" w:rsidR="00211257" w:rsidRDefault="00000000">
      <w:pPr>
        <w:spacing w:after="120" w:line="240" w:lineRule="auto"/>
        <w:ind w:left="1224"/>
        <w:outlineLvl w:val="2"/>
        <w:rPr>
          <w:szCs w:val="18"/>
        </w:rPr>
      </w:pPr>
      <w:r>
        <w:rPr>
          <w:b/>
        </w:rPr>
        <w:t xml:space="preserve">Implantação em Produção e Go-live. A implantação em ambiente de Produção e o go-live não fazem parte do escopo desta SOW. Os Serviços Profissionais compreendem o desenho, a modelagem e a validação de uma Prova de Conceito (PoC) em ambiente Sandbox. A eventual industrialização e implantação em Produção serão objeto de SOW específica.</w:t>
      </w:r>
    </w:p>
    <w:p w14:paraId="45266DAA" w14:textId="77777777" w:rsidR="00211257" w:rsidRDefault="00000000">
      <w:pPr>
        <w:pStyle w:val="Ttulo3"/>
      </w:pPr>
      <w:r>
        <w:rPr>
          <w:b/>
        </w:rPr>
        <w:t xml:space="preserve">Documentação. A SFDC fornecerá os artefatos de desenho (Detalhamento Funcional das Ofertas, Product Model Blueprint e recomendações de regras de negócio) e o Relatório Final, que refletem o estado da PoC configurada.</w:t>
      </w:r>
    </w:p>
    <w:p w14:paraId="6E49F4C3" w14:textId="77777777" w:rsidR="00211257" w:rsidRDefault="00000000">
      <w:pPr>
        <w:pStyle w:val="Ttulo2"/>
        <w:jc w:val="left"/>
        <w:rPr>
          <w:lang w:val="pt-BR"/>
        </w:rPr>
      </w:pPr>
      <w:r>
        <w:rPr>
          <w:lang w:val="pt-BR"/>
        </w:rPr>
        <w:t>Premissas e Exclusões de Escopo</w:t>
      </w:r>
    </w:p>
    <w:p w14:paraId="263FCD29" w14:textId="77777777" w:rsidR="00211257" w:rsidRDefault="00000000">
      <w:pPr>
        <w:pStyle w:val="Ttulo3"/>
      </w:pPr>
      <w:r>
        <w:rPr>
          <w:b/>
        </w:rPr>
        <w:t>Premissas de Escopo</w:t>
      </w:r>
    </w:p>
    <w:p w14:paraId="78AE5C28" w14:textId="77777777" w:rsidR="00211257" w:rsidRDefault="00000000">
      <w:pPr>
        <w:pStyle w:val="PargrafodaLista"/>
        <w:numPr>
          <w:ilvl w:val="0"/>
          <w:numId w:val="17"/>
        </w:numPr>
        <w:spacing w:after="0" w:line="240" w:lineRule="auto"/>
        <w:rPr>
          <w:szCs w:val="20"/>
          <w:lang w:val="pt-BR"/>
        </w:rPr>
      </w:pPr>
      <w:r>
        <w:rPr>
          <w:lang w:val="pt-BR"/>
        </w:rPr>
        <w:t>O escopo pode ser limitado pela complexidade dos requisitos técnicos e modelos de dados do Cliente, bem como pela funcionalidade e recursos da Aplicação.</w:t>
      </w:r>
      <w:r>
        <w:rPr>
          <w:rFonts w:eastAsia="Arial"/>
          <w:color w:val="1C212B"/>
          <w:szCs w:val="18"/>
          <w:shd w:val="clear" w:color="auto" w:fill="FFFFFF"/>
          <w:lang w:val="pt-BR"/>
        </w:rPr>
        <w:t xml:space="preserve"> </w:t>
      </w:r>
    </w:p>
    <w:p w14:paraId="5412688F" w14:textId="77777777" w:rsidR="00211257" w:rsidRDefault="00000000">
      <w:pPr>
        <w:pStyle w:val="PargrafodaLista"/>
        <w:numPr>
          <w:ilvl w:val="0"/>
          <w:numId w:val="17"/>
        </w:numPr>
        <w:spacing w:after="0" w:line="240" w:lineRule="auto"/>
        <w:rPr>
          <w:szCs w:val="20"/>
          <w:lang w:val="pt-BR"/>
        </w:rPr>
      </w:pPr>
      <w:r>
        <w:rPr>
          <w:lang w:val="pt-BR"/>
        </w:rPr>
        <w:t>Os recursos padrão serão usados sempre que for razoavelmente possível</w:t>
      </w:r>
      <w:r>
        <w:rPr>
          <w:szCs w:val="20"/>
          <w:lang w:val="pt-BR"/>
        </w:rPr>
        <w:t>.</w:t>
      </w:r>
    </w:p>
    <w:p w14:paraId="614223B8" w14:textId="77777777" w:rsidR="00211257" w:rsidRDefault="00000000">
      <w:pPr>
        <w:pStyle w:val="PargrafodaLista"/>
        <w:numPr>
          <w:ilvl w:val="0"/>
          <w:numId w:val="17"/>
        </w:numPr>
        <w:spacing w:after="0" w:line="240" w:lineRule="auto"/>
        <w:rPr>
          <w:szCs w:val="20"/>
          <w:lang w:val="pt-BR"/>
        </w:rPr>
      </w:pPr>
      <w:r>
        <w:rPr>
          <w:lang w:val="pt-BR"/>
        </w:rPr>
        <w:t>A configuração cliques sem Código será usada sempre que for razoavelmente possível</w:t>
      </w:r>
      <w:r>
        <w:rPr>
          <w:szCs w:val="20"/>
          <w:lang w:val="pt-BR"/>
        </w:rPr>
        <w:t>.</w:t>
      </w:r>
    </w:p>
    <w:p w14:paraId="416127A7" w14:textId="77777777" w:rsidR="00211257" w:rsidRDefault="00000000">
      <w:pPr>
        <w:pStyle w:val="PargrafodaLista"/>
        <w:numPr>
          <w:ilvl w:val="0"/>
          <w:numId w:val="17"/>
        </w:numPr>
        <w:spacing w:after="0" w:line="240" w:lineRule="auto"/>
        <w:rPr>
          <w:szCs w:val="20"/>
        </w:rPr>
      </w:pPr>
      <w:r>
        <w:rPr>
          <w:rFonts w:eastAsia="Arial"/>
          <w:color w:val="1C212B"/>
          <w:szCs w:val="18"/>
          <w:shd w:val="clear" w:color="auto" w:fill="FFFFFF"/>
          <w:lang w:val="pt-BR"/>
        </w:rPr>
        <w:t xml:space="preserve">Código personalizado será usado somente se a SFDC considerar necessário. </w:t>
      </w:r>
    </w:p>
    <w:p w14:paraId="473B1B64" w14:textId="77777777" w:rsidR="00211257" w:rsidRDefault="00000000">
      <w:pPr>
        <w:pStyle w:val="PargrafodaLista"/>
        <w:numPr>
          <w:ilvl w:val="0"/>
          <w:numId w:val="17"/>
        </w:numPr>
        <w:spacing w:after="0" w:line="240" w:lineRule="auto"/>
        <w:rPr>
          <w:szCs w:val="20"/>
          <w:lang w:val="pt-BR"/>
        </w:rPr>
      </w:pPr>
      <w:r>
        <w:rPr>
          <w:lang w:val="pt-BR"/>
        </w:rPr>
        <w:t>O escopo assume um único idioma e uma única moeda, conforme aplicável</w:t>
      </w:r>
      <w:r>
        <w:rPr>
          <w:rFonts w:eastAsia="Arial"/>
          <w:color w:val="1C212B"/>
          <w:szCs w:val="18"/>
          <w:shd w:val="clear" w:color="auto" w:fill="FFFFFF"/>
          <w:lang w:val="pt-BR"/>
        </w:rPr>
        <w:t xml:space="preserve"> </w:t>
      </w:r>
    </w:p>
    <w:p w14:paraId="473B1B64" w14:textId="77777777" w:rsidR="00211257" w:rsidRDefault="00000000">
      <w:pPr>
        <w:pStyle w:val="PargrafodaLista"/>
        <w:numPr>
          <w:ilvl w:val="0"/>
          <w:numId w:val="17"/>
        </w:numPr>
        <w:spacing w:after="0" w:line="240" w:lineRule="auto"/>
        <w:rPr>
          <w:szCs w:val="20"/>
          <w:lang w:val="pt-BR"/>
        </w:rPr>
      </w:pPr>
      <w:r>
        <w:rPr>
          <w:lang w:val="pt-BR"/>
        </w:rPr>
        <w:t xml:space="preserve">A entrega do desenvolvimento em 8 (oito) semanas está condicionada ao aceite, pelo Cliente, da Cláusula de Consentimento para o Uso de Ferramentas de Inteligência Artificial (IA) desta SOW. Sem tal aceite, o cronograma poderá ser reajustado mediante Pedido de Alteração.</w:t>
      </w:r>
    </w:p>
    <w:p w14:paraId="473B1B64" w14:textId="77777777" w:rsidR="00211257" w:rsidRDefault="00000000">
      <w:pPr>
        <w:pStyle w:val="PargrafodaLista"/>
        <w:numPr>
          <w:ilvl w:val="0"/>
          <w:numId w:val="17"/>
        </w:numPr>
        <w:spacing w:after="0" w:line="240" w:lineRule="auto"/>
        <w:rPr>
          <w:szCs w:val="20"/>
          <w:lang w:val="pt-BR"/>
        </w:rPr>
      </w:pPr>
      <w:r>
        <w:rPr>
          <w:lang w:val="pt-BR"/>
        </w:rPr>
        <w:t xml:space="preserve">O Cliente disponibilizará ambiente Sandbox adequado e os acessos necessários no início do projeto.</w:t>
      </w:r>
    </w:p>
    <w:p w14:paraId="473B1B64" w14:textId="77777777" w:rsidR="00211257" w:rsidRDefault="00000000">
      <w:pPr>
        <w:pStyle w:val="PargrafodaLista"/>
        <w:numPr>
          <w:ilvl w:val="0"/>
          <w:numId w:val="17"/>
        </w:numPr>
        <w:spacing w:after="0" w:line="240" w:lineRule="auto"/>
        <w:rPr>
          <w:szCs w:val="20"/>
          <w:lang w:val="pt-BR"/>
        </w:rPr>
      </w:pPr>
      <w:r>
        <w:rPr>
          <w:lang w:val="pt-BR"/>
        </w:rPr>
        <w:t xml:space="preserve">O escopo de configuração está limitado a até 100 produtos comerciais (até 20 por linha de negócio) e até 5 promoções, com 1 oferta por linha de negócio publicada na PoC.</w:t>
      </w:r>
    </w:p>
    <w:p w14:paraId="473B1B64" w14:textId="77777777" w:rsidR="00211257" w:rsidRDefault="00000000">
      <w:pPr>
        <w:pStyle w:val="PargrafodaLista"/>
        <w:numPr>
          <w:ilvl w:val="0"/>
          <w:numId w:val="17"/>
        </w:numPr>
        <w:spacing w:after="0" w:line="240" w:lineRule="auto"/>
        <w:rPr>
          <w:szCs w:val="20"/>
          <w:lang w:val="pt-BR"/>
        </w:rPr>
      </w:pPr>
      <w:r>
        <w:rPr>
          <w:lang w:val="pt-BR"/>
        </w:rPr>
        <w:t xml:space="preserve">O Cliente disponibilizará, em tempo hábil, os especialistas (SMEs) de TI e de Negócio e a documentação das ofertas atuais.</w:t>
      </w:r>
    </w:p>
    <w:p w14:paraId="473B1B64" w14:textId="77777777" w:rsidR="00211257" w:rsidRDefault="00000000">
      <w:pPr>
        <w:pStyle w:val="PargrafodaLista"/>
        <w:numPr>
          <w:ilvl w:val="0"/>
          <w:numId w:val="17"/>
        </w:numPr>
        <w:spacing w:after="0" w:line="240" w:lineRule="auto"/>
        <w:rPr>
          <w:szCs w:val="20"/>
          <w:lang w:val="pt-BR"/>
        </w:rPr>
      </w:pPr>
      <w:r>
        <w:rPr>
          <w:lang w:val="pt-BR"/>
        </w:rPr>
        <w:t xml:space="preserve">As integrações com sistemas externos serão simuladas/mockadas em Sandbox; nenhuma integração produtiva será construída neste escopo.</w:t>
      </w:r>
    </w:p>
    <w:p w14:paraId="4196B07B" w14:textId="77777777" w:rsidR="00211257" w:rsidRDefault="00000000">
      <w:pPr>
        <w:pStyle w:val="Ttulo3"/>
      </w:pPr>
      <w:r>
        <w:rPr>
          <w:b/>
        </w:rPr>
        <w:t>Exclusões de Escopo</w:t>
      </w:r>
    </w:p>
    <w:p w14:paraId="4CFD40C4" w14:textId="77777777" w:rsidR="00211257" w:rsidRDefault="00000000">
      <w:pPr>
        <w:pStyle w:val="PargrafodaLista"/>
        <w:numPr>
          <w:ilvl w:val="0"/>
          <w:numId w:val="18"/>
        </w:numPr>
        <w:spacing w:after="0" w:line="240" w:lineRule="auto"/>
        <w:rPr>
          <w:lang w:val="pt-BR"/>
        </w:rPr>
      </w:pPr>
      <w:r>
        <w:rPr>
          <w:lang w:val="pt-BR"/>
        </w:rPr>
        <w:t>Qualquer trabalho não especificado nesta SOW é considerado fora de escopo, incluindo, sem limitação:</w:t>
      </w:r>
    </w:p>
    <w:p w14:paraId="2AAA7021" w14:textId="77777777" w:rsidR="00211257" w:rsidRDefault="00000000">
      <w:pPr>
        <w:pStyle w:val="PargrafodaLista"/>
        <w:spacing w:after="0" w:line="240" w:lineRule="auto"/>
        <w:ind w:left="1800"/>
        <w:rPr>
          <w:szCs w:val="20"/>
          <w:lang w:val="pt-BR"/>
        </w:rPr>
      </w:pPr>
      <w:r>
        <w:rPr>
          <w:lang w:val="pt-BR"/>
        </w:rPr>
        <w:lastRenderedPageBreak/>
        <w:t>Migração de dados legados</w:t>
      </w:r>
    </w:p>
    <w:p w14:paraId="679C5C0E" w14:textId="77777777" w:rsidR="00211257" w:rsidRDefault="00000000">
      <w:pPr>
        <w:pStyle w:val="PargrafodaLista"/>
        <w:numPr>
          <w:ilvl w:val="0"/>
          <w:numId w:val="18"/>
        </w:numPr>
        <w:spacing w:after="0" w:line="240" w:lineRule="auto"/>
        <w:rPr>
          <w:szCs w:val="20"/>
        </w:rPr>
      </w:pPr>
      <w:r>
        <w:rPr>
          <w:szCs w:val="20"/>
        </w:rPr>
        <w:t>APIs personalizadas</w:t>
      </w:r>
    </w:p>
    <w:p w14:paraId="74847C85" w14:textId="77777777" w:rsidR="00211257" w:rsidRDefault="00000000">
      <w:pPr>
        <w:pStyle w:val="PargrafodaLista"/>
        <w:numPr>
          <w:ilvl w:val="0"/>
          <w:numId w:val="18"/>
        </w:numPr>
        <w:spacing w:after="0" w:line="240" w:lineRule="auto"/>
        <w:rPr>
          <w:szCs w:val="20"/>
        </w:rPr>
      </w:pPr>
      <w:r>
        <w:t>Configuração de aplicativo móvel</w:t>
      </w:r>
    </w:p>
    <w:p w14:paraId="19A9E8B0" w14:textId="77777777" w:rsidR="00211257" w:rsidRDefault="00000000">
      <w:pPr>
        <w:pStyle w:val="PargrafodaLista"/>
        <w:numPr>
          <w:ilvl w:val="0"/>
          <w:numId w:val="18"/>
        </w:numPr>
        <w:spacing w:after="0" w:line="240" w:lineRule="auto"/>
        <w:rPr>
          <w:szCs w:val="20"/>
          <w:lang w:val="pt-BR"/>
        </w:rPr>
      </w:pPr>
      <w:r>
        <w:rPr>
          <w:lang w:val="pt-BR"/>
        </w:rPr>
        <w:t>Mudança Centrada no Ser Humano ou serviços educacionais</w:t>
      </w:r>
    </w:p>
    <w:p w14:paraId="265070D8" w14:textId="77777777" w:rsidR="00211257" w:rsidRDefault="00000000">
      <w:pPr>
        <w:pStyle w:val="PargrafodaLista"/>
        <w:numPr>
          <w:ilvl w:val="0"/>
          <w:numId w:val="18"/>
        </w:numPr>
        <w:spacing w:after="0" w:line="240" w:lineRule="auto"/>
        <w:rPr>
          <w:szCs w:val="20"/>
          <w:lang w:val="pt-BR"/>
        </w:rPr>
      </w:pPr>
      <w:r>
        <w:rPr>
          <w:lang w:val="pt-BR"/>
        </w:rPr>
        <w:t>Serviços de gerenciamento de alterações</w:t>
      </w:r>
    </w:p>
    <w:p w14:paraId="7705DE30" w14:textId="77777777" w:rsidR="00211257" w:rsidRDefault="00000000">
      <w:pPr>
        <w:pStyle w:val="PargrafodaLista"/>
        <w:numPr>
          <w:ilvl w:val="0"/>
          <w:numId w:val="18"/>
        </w:numPr>
        <w:spacing w:after="0" w:line="240" w:lineRule="auto"/>
        <w:rPr>
          <w:szCs w:val="20"/>
        </w:rPr>
      </w:pPr>
      <w:r>
        <w:t>Teste e otimização de performance</w:t>
      </w:r>
    </w:p>
    <w:p w14:paraId="5CC96EBC" w14:textId="47DB5BCF" w:rsidR="00211257" w:rsidRPr="00736AFD" w:rsidRDefault="00000000" w:rsidP="00736AFD">
      <w:pPr>
        <w:pStyle w:val="PargrafodaLista"/>
        <w:numPr>
          <w:ilvl w:val="0"/>
          <w:numId w:val="18"/>
        </w:numPr>
        <w:spacing w:after="0" w:line="240" w:lineRule="auto"/>
        <w:rPr>
          <w:szCs w:val="20"/>
          <w:lang w:val="pt-BR"/>
        </w:rPr>
      </w:pPr>
      <w:r>
        <w:rPr>
          <w:lang w:val="pt-BR"/>
        </w:rPr>
        <w:t>Requerimentos não-funcionais, incluindo, sem limitação, conformidade de segurança, padrões de acessibilidade, certificações regulatórias</w:t>
      </w:r>
      <w:r>
        <w:rPr>
          <w:rFonts w:eastAsia="Arial"/>
          <w:color w:val="1C212B"/>
          <w:szCs w:val="18"/>
          <w:shd w:val="clear" w:color="auto" w:fill="FFFFFF"/>
          <w:lang w:val="pt-BR"/>
        </w:rPr>
        <w:t>.</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Suporte contínuo, manutenção e melhorias futuras</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Implantação em ambiente de Produção e go-live</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Construção de integrações produtivas com sistemas legados (Billing, OSS/BSS, CRM e meios de pagamento)</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Desenvolvimento de código customizado (Apex, LWC) além do estritamente necessário à PoC, a critério da SFDC</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Migração, limpeza ou deduplicação de dados históricos</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Redesenho de processos de orquestração e fulfillment</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Fornecimento de licenças de software Salesforce ou de terceiros</w:t>
      </w:r>
    </w:p>
    <w:p w14:paraId="2E7F11FA" w14:textId="593696B4" w:rsidR="00211257" w:rsidRPr="00477C7B" w:rsidRDefault="00000000" w:rsidP="00477C7B">
      <w:pPr>
        <w:pStyle w:val="PargrafodaLista"/>
        <w:numPr>
          <w:ilvl w:val="0"/>
          <w:numId w:val="18"/>
        </w:numPr>
        <w:spacing w:after="0" w:line="240" w:lineRule="auto"/>
        <w:rPr>
          <w:szCs w:val="20"/>
          <w:lang w:val="pt-BR"/>
        </w:rPr>
      </w:pPr>
      <w:r>
        <w:rPr>
          <w:lang w:val="pt-BR"/>
        </w:rPr>
        <w:t xml:space="preserve">Serviços gerenciados (AMS) e hypercare pós go-live</w:t>
      </w:r>
    </w:p>
    <w:p w14:paraId="5BE16A7A" w14:textId="77777777" w:rsidR="00211257" w:rsidRDefault="00000000">
      <w:pPr>
        <w:pStyle w:val="Ttulo1"/>
        <w:keepNext/>
        <w:keepLines/>
        <w:spacing w:beforeLines="240" w:before="576" w:after="120" w:line="276" w:lineRule="auto"/>
        <w:ind w:left="432" w:hanging="432"/>
        <w:contextualSpacing w:val="0"/>
        <w:jc w:val="left"/>
        <w:rPr>
          <w:lang w:val="pt-BR"/>
        </w:rPr>
      </w:pPr>
      <w:bookmarkStart w:id="1" w:name="_Hlk165898311"/>
      <w:r>
        <w:rPr>
          <w:lang w:val="pt-BR"/>
        </w:rPr>
        <w:t>Cronograma e Honorários dos Serviços Profissionais</w:t>
      </w:r>
    </w:p>
    <w:bookmarkEnd w:id="1"/>
    <w:p w14:paraId="71BEAF2C" w14:textId="77777777" w:rsidR="00211257" w:rsidRDefault="00000000">
      <w:pPr>
        <w:pStyle w:val="Ttulo2"/>
        <w:jc w:val="left"/>
      </w:pPr>
      <w:r>
        <w:t>Cronograma</w:t>
      </w:r>
    </w:p>
    <w:p w14:paraId="3B53178E" w14:textId="77777777" w:rsidR="00211257" w:rsidRDefault="00000000">
      <w:pPr>
        <w:rPr>
          <w:lang w:val="pt-BR"/>
        </w:rPr>
      </w:pPr>
      <w:bookmarkStart w:id="2" w:name="_Hlk165898786"/>
      <w:r>
        <w:rPr>
          <w:lang w:val="pt-BR"/>
        </w:rPr>
        <w:t xml:space="preserve">A SFDC estima que o projeto tenha duração de 12 (doze) semanas. Esta estimativa baseia-se na suposição da SFDC de que será capaz de executar os Serviços Profissionais sem atrasos iniciados pelo Cliente. Um cronograma preliminar é estabelecido abaixo, e um cronograma mais detalhado do projeto é produzido durante a fase de Definição do projeto. Os Serviços Profissionais começam em uma data de início a ser acordada mutuamente por escrito (e-mail aceitável), mas não antes da Data Efetiva desta SOW. O desenvolvimento (Marcos 1 a 3) é entregue em 8 (oito) semanas, mediante o uso de ferramentas de Inteligência Artificial (IA), conforme consentimento do Cliente; as semanas 9 a 12 (Marco 4) destinam-se ao acompanhamento do Teste de Aceitação do Usuário (UAT), à transferência de conhecimento (KT) e à consolidação do Relatório Final.</w:t>
      </w:r>
    </w:p>
    <w:bookmarkEnd w:id="2"/>
    <w:p w14:paraId="7DBB8410" w14:textId="77777777" w:rsidR="00211257" w:rsidRDefault="00000000">
      <w:pPr>
        <w:pStyle w:val="Ttulo2"/>
        <w:jc w:val="left"/>
        <w:rPr>
          <w:lang w:val="pt-BR"/>
        </w:rPr>
      </w:pPr>
      <w:r>
        <w:rPr>
          <w:lang w:val="pt-BR"/>
        </w:rPr>
        <w:t xml:space="preserve">Metodologia dos Serviços de Implementação Salesforce </w:t>
      </w:r>
    </w:p>
    <w:p w14:paraId="1DC66615" w14:textId="77777777" w:rsidR="00211257" w:rsidRDefault="00000000">
      <w:pPr>
        <w:rPr>
          <w:lang w:val="pt-BR"/>
        </w:rPr>
      </w:pPr>
      <w:r>
        <w:rPr>
          <w:lang w:val="pt-BR"/>
        </w:rPr>
        <w:t>A Salesforce utiliza a Metodologia de Serviços Profissionais Salesforce (“MSPS”) para executar os Serviços de Implementação. A MSPS envolve quatro etapas: Definição (</w:t>
      </w:r>
      <w:r>
        <w:rPr>
          <w:i/>
          <w:lang w:val="pt-BR"/>
        </w:rPr>
        <w:t>Define</w:t>
      </w:r>
      <w:r>
        <w:rPr>
          <w:lang w:val="pt-BR"/>
        </w:rPr>
        <w:t>), Desenho (</w:t>
      </w:r>
      <w:r>
        <w:rPr>
          <w:i/>
          <w:lang w:val="pt-BR"/>
        </w:rPr>
        <w:t>Design</w:t>
      </w:r>
      <w:r>
        <w:rPr>
          <w:lang w:val="pt-BR"/>
        </w:rPr>
        <w:t>), Entrega (</w:t>
      </w:r>
      <w:r>
        <w:rPr>
          <w:i/>
          <w:lang w:val="pt-BR"/>
        </w:rPr>
        <w:t>Deliver</w:t>
      </w:r>
      <w:r>
        <w:rPr>
          <w:lang w:val="pt-BR"/>
        </w:rPr>
        <w:t>) e Implantação (</w:t>
      </w:r>
      <w:r>
        <w:rPr>
          <w:i/>
          <w:lang w:val="pt-BR"/>
        </w:rPr>
        <w:t>Deploy</w:t>
      </w:r>
      <w:r>
        <w:rPr>
          <w:lang w:val="pt-BR"/>
        </w:rPr>
        <w:t xml:space="preserve">). </w:t>
      </w:r>
    </w:p>
    <w:p w14:paraId="5F46E84D" w14:textId="77777777" w:rsidR="00211257" w:rsidRDefault="00000000">
      <w:pPr>
        <w:rPr>
          <w:lang w:val="pt-BR"/>
        </w:rPr>
      </w:pPr>
      <w:r>
        <w:rPr>
          <w:lang w:val="pt-BR"/>
        </w:rPr>
        <w:t xml:space="preserve">Essa metodologia é adaptável e ajustada para atender as necessidades únicas de cada cliente, incorporando ambos os princípios </w:t>
      </w:r>
      <w:r>
        <w:rPr>
          <w:i/>
          <w:lang w:val="pt-BR"/>
        </w:rPr>
        <w:t xml:space="preserve">waterfall </w:t>
      </w:r>
      <w:r>
        <w:rPr>
          <w:lang w:val="pt-BR"/>
        </w:rPr>
        <w:t>e</w:t>
      </w:r>
      <w:r>
        <w:rPr>
          <w:i/>
          <w:lang w:val="pt-BR"/>
        </w:rPr>
        <w:t xml:space="preserve"> agile</w:t>
      </w:r>
      <w:r>
        <w:rPr>
          <w:lang w:val="pt-BR"/>
        </w:rPr>
        <w:t xml:space="preserve">. A estrutura escolhida depende das necessidades do Cliente, da natureza do engajamento e das recomendações da SFDC sobre melhores práticas. Durante as etapas de Definição e Desenho, a SFDC e o Cliente acordarão quanto à abordagem planejada, incluindo como o escopo será gerenciado. </w:t>
      </w:r>
    </w:p>
    <w:p w14:paraId="3E4AC669" w14:textId="77777777" w:rsidR="00211257" w:rsidRDefault="00000000">
      <w:pPr>
        <w:rPr>
          <w:lang w:val="pt-BR"/>
        </w:rPr>
      </w:pPr>
      <w:r>
        <w:rPr>
          <w:lang w:val="pt-BR"/>
        </w:rPr>
        <w:t>Como parte da Metodologia de Serviços Profissionais Salesforce:</w:t>
      </w:r>
    </w:p>
    <w:p w14:paraId="55AA8E53" w14:textId="77777777" w:rsidR="00211257" w:rsidRDefault="00000000">
      <w:pPr>
        <w:pStyle w:val="PargrafodaLista"/>
        <w:numPr>
          <w:ilvl w:val="3"/>
          <w:numId w:val="4"/>
        </w:numPr>
        <w:rPr>
          <w:lang w:val="pt-BR"/>
        </w:rPr>
      </w:pPr>
      <w:r>
        <w:rPr>
          <w:lang w:val="pt-BR"/>
        </w:rPr>
        <w:t>A SFDC e o Cliente documentarão a funcionalidade de Aplicação configurada desejada como uma lista de necessidades funcionais por tipo de usuário ("</w:t>
      </w:r>
      <w:r>
        <w:rPr>
          <w:b/>
          <w:lang w:val="pt-BR"/>
        </w:rPr>
        <w:t>Histórias de Usuário</w:t>
      </w:r>
      <w:r>
        <w:rPr>
          <w:lang w:val="pt-BR"/>
        </w:rPr>
        <w:t xml:space="preserve">").  </w:t>
      </w:r>
    </w:p>
    <w:p w14:paraId="0B22DA60" w14:textId="77777777" w:rsidR="00211257" w:rsidRDefault="00000000">
      <w:pPr>
        <w:pStyle w:val="PargrafodaLista"/>
        <w:numPr>
          <w:ilvl w:val="3"/>
          <w:numId w:val="4"/>
        </w:numPr>
        <w:rPr>
          <w:lang w:val="pt-BR"/>
        </w:rPr>
      </w:pPr>
      <w:r>
        <w:rPr>
          <w:lang w:val="pt-BR"/>
        </w:rPr>
        <w:t>O desenvolvimento será feito em uma série de incrementos regulares ("</w:t>
      </w:r>
      <w:r>
        <w:rPr>
          <w:b/>
          <w:lang w:val="pt-BR"/>
        </w:rPr>
        <w:t>Sprints</w:t>
      </w:r>
      <w:r>
        <w:rPr>
          <w:lang w:val="pt-BR"/>
        </w:rPr>
        <w:t xml:space="preserve">"), que incluem a entrega dos componentes da solução e testes dos mesmos, à medida em que são construídos.  </w:t>
      </w:r>
    </w:p>
    <w:p w14:paraId="53204EA5" w14:textId="77777777" w:rsidR="00211257" w:rsidRDefault="00000000">
      <w:pPr>
        <w:pStyle w:val="PargrafodaLista"/>
        <w:numPr>
          <w:ilvl w:val="3"/>
          <w:numId w:val="4"/>
        </w:numPr>
        <w:rPr>
          <w:lang w:val="pt-BR"/>
        </w:rPr>
      </w:pPr>
      <w:r>
        <w:rPr>
          <w:lang w:val="pt-BR"/>
        </w:rPr>
        <w:t>As revisões de desenvolvimento são realizadas mediante a conclusão de cada Sprint para medir o progresso funcional, bem como para validar e fornecer feedback.</w:t>
      </w:r>
    </w:p>
    <w:p w14:paraId="1975EB82" w14:textId="77777777" w:rsidR="00211257" w:rsidRDefault="00000000">
      <w:pPr>
        <w:pStyle w:val="PargrafodaLista"/>
        <w:numPr>
          <w:ilvl w:val="3"/>
          <w:numId w:val="4"/>
        </w:numPr>
        <w:rPr>
          <w:lang w:val="pt-BR"/>
        </w:rPr>
      </w:pPr>
      <w:r>
        <w:rPr>
          <w:lang w:val="pt-BR"/>
        </w:rPr>
        <w:t xml:space="preserve">A priorização contínua da História do Usuário, conforme acordado mutuamente por escrito (suficiente por e-mail) entre o Proprietário do Produto do Cliente e a SFDC ditará o conteúdo final da Aplicação configurada. </w:t>
      </w:r>
    </w:p>
    <w:p w14:paraId="5BD88C5A" w14:textId="77777777" w:rsidR="00211257" w:rsidRDefault="00000000">
      <w:pPr>
        <w:pStyle w:val="PargrafodaLista"/>
        <w:numPr>
          <w:ilvl w:val="3"/>
          <w:numId w:val="4"/>
        </w:numPr>
        <w:rPr>
          <w:lang w:val="pt-BR"/>
        </w:rPr>
      </w:pPr>
      <w:r>
        <w:rPr>
          <w:lang w:val="pt-BR"/>
        </w:rPr>
        <w:t xml:space="preserve">O Proprietário do Produto do Cliente (conforme definido na Seção 6) pode solicitar funcionalidades adicionais ou alternativas com base na priorização das Histórias de Usuário, à medida em que são refinadas e desenvolvidas durante a etapa de Entrega da Aplicação configurada. Como consequência, o escopo preciso da Aplicação configurada não pode ser determinado no início dos Serviços de Implementação e o escopo detalhado descrito acima pode não ser completado como parte dos Serviços de Implementação. </w:t>
      </w:r>
    </w:p>
    <w:p w14:paraId="1D8D4665" w14:textId="77777777" w:rsidR="00211257" w:rsidRDefault="00000000">
      <w:pPr>
        <w:pStyle w:val="Ttulo3"/>
        <w:rPr>
          <w:lang w:val="pt-BR"/>
        </w:rPr>
      </w:pPr>
      <w:r>
        <w:rPr>
          <w:lang w:val="pt-BR"/>
        </w:rPr>
        <w:t>Etapas de Definição e Desenho</w:t>
      </w:r>
    </w:p>
    <w:p w14:paraId="4FD2412B" w14:textId="77777777" w:rsidR="00211257" w:rsidRDefault="00000000">
      <w:pPr>
        <w:rPr>
          <w:lang w:val="pt-BR"/>
        </w:rPr>
      </w:pPr>
      <w:r>
        <w:rPr>
          <w:lang w:val="pt-BR"/>
        </w:rPr>
        <w:t>Antes das etapas de Definição e Desenho, a SFDC prepara um conjunto de riscos, premissas, metas de projeto, objetivos, limitações, métricas de sucesso e partes interessadas.</w:t>
      </w:r>
    </w:p>
    <w:p w14:paraId="501AFC77" w14:textId="77777777" w:rsidR="00211257" w:rsidRDefault="00000000">
      <w:pPr>
        <w:rPr>
          <w:lang w:val="pt-BR"/>
        </w:rPr>
      </w:pPr>
      <w:r>
        <w:rPr>
          <w:lang w:val="pt-BR"/>
        </w:rPr>
        <w:t>Durante as etapas de Definição e Desenho, a SFDC inicia o projeto e colaborativamente estabelece as metas e objetivos de resultados de negócio do Cliente. A SFDC e o Cliente também definirão como o projeto será gerenciado e o plano de execução, incluindo escopo, recursos, cronograma, orçamento e teste de qualidade (</w:t>
      </w:r>
      <w:r>
        <w:rPr>
          <w:i/>
          <w:lang w:val="pt-BR"/>
        </w:rPr>
        <w:t>quality assurance</w:t>
      </w:r>
      <w:r>
        <w:rPr>
          <w:lang w:val="pt-BR"/>
        </w:rPr>
        <w:t xml:space="preserve">). As etapas de Definição e Desenho estabelecem a arquitetura em alto nível necessária para iniciar a etapa de Entrega. A SFDC documenta a solução de negócio e os componentes técnicos para que o Cliente possa prover aprovação formal. As Descrição das etapas de Definição e Desenho, com frequência, ocorrem simultaneamente. Caso seja mutuamente acordado, a etapa de Entrega poderá ser iniciada antes das etapas de Definição e Desenho se encerrarem. </w:t>
      </w:r>
    </w:p>
    <w:p w14:paraId="36544603" w14:textId="77777777" w:rsidR="00211257" w:rsidRDefault="00211257">
      <w:pPr>
        <w:rPr>
          <w:lang w:val="pt-BR"/>
        </w:rPr>
      </w:pPr>
    </w:p>
    <w:p w14:paraId="5A0EA054" w14:textId="77777777" w:rsidR="00211257" w:rsidRDefault="00000000">
      <w:pPr>
        <w:rPr>
          <w:lang w:val="pt-BR"/>
        </w:rPr>
      </w:pPr>
      <w:r>
        <w:rPr>
          <w:lang w:val="pt-BR"/>
        </w:rPr>
        <w:t>Durante as etapas de Definição e Desenho, a SFDC coordenará as seguintes reuniões, que ocorrerão sequencialmente.</w:t>
      </w:r>
    </w:p>
    <w:p w14:paraId="7E299C0A" w14:textId="77777777" w:rsidR="00211257" w:rsidRDefault="00000000">
      <w:pPr>
        <w:numPr>
          <w:ilvl w:val="0"/>
          <w:numId w:val="10"/>
        </w:numPr>
        <w:contextualSpacing/>
        <w:rPr>
          <w:lang w:val="pt-BR"/>
        </w:rPr>
      </w:pPr>
      <w:r>
        <w:rPr>
          <w:b/>
          <w:lang w:val="pt-BR"/>
        </w:rPr>
        <w:lastRenderedPageBreak/>
        <w:t>Alinhamento do Time de Projeto</w:t>
      </w:r>
      <w:r>
        <w:rPr>
          <w:lang w:val="pt-BR"/>
        </w:rPr>
        <w:t>: os times da SFDC e do Cliente confirmam um entendimento inicial do escopo do projeto, realizam o planejamento preliminar, alinham funções e acompanhamento do projeto e mecanismos de controle.</w:t>
      </w:r>
    </w:p>
    <w:p w14:paraId="1D54308F" w14:textId="77777777" w:rsidR="00211257" w:rsidRDefault="00000000">
      <w:pPr>
        <w:numPr>
          <w:ilvl w:val="0"/>
          <w:numId w:val="10"/>
        </w:numPr>
        <w:contextualSpacing/>
        <w:rPr>
          <w:lang w:val="pt-BR"/>
        </w:rPr>
      </w:pPr>
      <w:r>
        <w:rPr>
          <w:b/>
          <w:lang w:val="pt-BR"/>
        </w:rPr>
        <w:t xml:space="preserve">Reunião de </w:t>
      </w:r>
      <w:r>
        <w:rPr>
          <w:b/>
          <w:i/>
          <w:lang w:val="pt-BR"/>
        </w:rPr>
        <w:t>Kickoff</w:t>
      </w:r>
      <w:r>
        <w:rPr>
          <w:b/>
          <w:lang w:val="pt-BR"/>
        </w:rPr>
        <w:t xml:space="preserve"> e Alinhamento da Metodologia:</w:t>
      </w:r>
      <w:r>
        <w:rPr>
          <w:lang w:val="pt-BR"/>
        </w:rPr>
        <w:t xml:space="preserve"> os times alinham elementos críticos da MSPS. A SFDC facilita sessões de descoberta para criar o backlog inicial das Histórias de Usuário.</w:t>
      </w:r>
    </w:p>
    <w:p w14:paraId="41D79A44" w14:textId="77777777" w:rsidR="00211257" w:rsidRDefault="00000000">
      <w:pPr>
        <w:numPr>
          <w:ilvl w:val="0"/>
          <w:numId w:val="10"/>
        </w:numPr>
        <w:contextualSpacing/>
        <w:rPr>
          <w:lang w:val="pt-BR"/>
        </w:rPr>
      </w:pPr>
      <w:r>
        <w:rPr>
          <w:b/>
          <w:lang w:val="pt-BR"/>
        </w:rPr>
        <w:t xml:space="preserve">Arquitetura Técnica e Análise de Integração: </w:t>
      </w:r>
      <w:r>
        <w:rPr>
          <w:lang w:val="pt-BR"/>
        </w:rPr>
        <w:t>a SFDC analisa os requerimentos técnicos para os Serviços de Implementação.</w:t>
      </w:r>
    </w:p>
    <w:p w14:paraId="07460503" w14:textId="77777777" w:rsidR="00211257" w:rsidRDefault="00000000">
      <w:pPr>
        <w:numPr>
          <w:ilvl w:val="0"/>
          <w:numId w:val="10"/>
        </w:numPr>
        <w:contextualSpacing/>
        <w:rPr>
          <w:lang w:val="pt-BR"/>
        </w:rPr>
      </w:pPr>
      <w:r>
        <w:rPr>
          <w:b/>
          <w:lang w:val="pt-BR"/>
        </w:rPr>
        <w:t>Preparação da Construção:</w:t>
      </w:r>
      <w:r>
        <w:rPr>
          <w:lang w:val="pt-BR"/>
        </w:rPr>
        <w:t xml:space="preserve"> por fim, o time realiza as preparações para iniciar a entrega da solução, incluindo:</w:t>
      </w:r>
    </w:p>
    <w:p w14:paraId="243B038E" w14:textId="77777777" w:rsidR="00211257" w:rsidRDefault="00000000">
      <w:pPr>
        <w:numPr>
          <w:ilvl w:val="1"/>
          <w:numId w:val="10"/>
        </w:numPr>
        <w:contextualSpacing/>
        <w:rPr>
          <w:lang w:val="pt-BR"/>
        </w:rPr>
      </w:pPr>
      <w:r>
        <w:rPr>
          <w:lang w:val="pt-BR"/>
        </w:rPr>
        <w:t>Os ambientes são inicializados e configurados;</w:t>
      </w:r>
    </w:p>
    <w:p w14:paraId="070432A9" w14:textId="77777777" w:rsidR="00211257" w:rsidRDefault="00000000">
      <w:pPr>
        <w:numPr>
          <w:ilvl w:val="1"/>
          <w:numId w:val="10"/>
        </w:numPr>
        <w:contextualSpacing/>
        <w:rPr>
          <w:lang w:val="pt-BR"/>
        </w:rPr>
      </w:pPr>
      <w:r>
        <w:rPr>
          <w:lang w:val="pt-BR"/>
        </w:rPr>
        <w:t>Acompanhamento do gerenciamento de código e desenvolvimento, bem como aquisição e configuração dos sistemas de gerenciamento;</w:t>
      </w:r>
    </w:p>
    <w:p w14:paraId="4718293A" w14:textId="77777777" w:rsidR="00211257" w:rsidRDefault="00000000">
      <w:pPr>
        <w:numPr>
          <w:ilvl w:val="1"/>
          <w:numId w:val="10"/>
        </w:numPr>
        <w:contextualSpacing/>
        <w:rPr>
          <w:lang w:val="pt-BR"/>
        </w:rPr>
      </w:pPr>
      <w:r>
        <w:rPr>
          <w:lang w:val="pt-BR"/>
        </w:rPr>
        <w:t>Histórias de Usuário suficientes são mutuamente acordadas para o início do desenvolvimento (normalmente o suficiente para, ao menos, dois Sprints).</w:t>
      </w:r>
    </w:p>
    <w:p w14:paraId="04F279E1" w14:textId="77777777" w:rsidR="00211257" w:rsidRDefault="00000000">
      <w:pPr>
        <w:rPr>
          <w:b/>
          <w:lang w:val="pt-BR"/>
        </w:rPr>
      </w:pPr>
      <w:r>
        <w:rPr>
          <w:b/>
          <w:lang w:val="pt-BR"/>
        </w:rPr>
        <w:t>Entregáveis de Definição e Desenho</w:t>
      </w:r>
    </w:p>
    <w:p w14:paraId="653A5E1D" w14:textId="77777777" w:rsidR="00211257" w:rsidRDefault="00000000">
      <w:pPr>
        <w:numPr>
          <w:ilvl w:val="0"/>
          <w:numId w:val="11"/>
        </w:numPr>
        <w:contextualSpacing/>
        <w:rPr>
          <w:b/>
          <w:lang w:val="pt-BR"/>
        </w:rPr>
      </w:pPr>
      <w:r>
        <w:rPr>
          <w:b/>
          <w:lang w:val="pt-BR"/>
        </w:rPr>
        <w:t>Documentos de Planejamento</w:t>
      </w:r>
      <w:r>
        <w:rPr>
          <w:lang w:val="pt-BR"/>
        </w:rPr>
        <w:t xml:space="preserve"> estabelecem um plano de referência para o desenho e configuração da Aplicação e refinamento do escopo, requerimentos do cliente e datas de entrega preliminares. Os Documentos de Planejamento incluem PMP, Cronograma de Referência, Desenho da Solução em Alto-Nível, Garantia de Qualidade e Planos de Testes. Uma vez aprovados mutualmente, os Documentos de Planejamento são um ponto de referência para governar o escopo do projeto, cronograma, orçamento e entregáveis.</w:t>
      </w:r>
    </w:p>
    <w:p w14:paraId="0B397347" w14:textId="77777777" w:rsidR="00211257" w:rsidRDefault="00000000">
      <w:pPr>
        <w:numPr>
          <w:ilvl w:val="0"/>
          <w:numId w:val="11"/>
        </w:numPr>
        <w:contextualSpacing/>
        <w:rPr>
          <w:b/>
          <w:lang w:val="pt-BR"/>
        </w:rPr>
      </w:pPr>
      <w:r>
        <w:rPr>
          <w:b/>
          <w:lang w:val="pt-BR"/>
        </w:rPr>
        <w:t>Documentos de Desenho</w:t>
      </w:r>
      <w:r>
        <w:rPr>
          <w:lang w:val="pt-BR"/>
        </w:rPr>
        <w:t xml:space="preserve"> descrevem o desenho em geral e o escopo funcional da Aplicação configurada. Os Documentos de Desenho incluem o desenho da solução em alto-nível, a matriz de perfil de usuário, o desenho do modelo de objeto, o mapa de história e o backlog do produto das histórias de usuário, garantia de qualidade e planos de testes, e cronograma de referência revisto. Uma vez aprovados os Documentos de Desenho, a SFDC iniciará a etapa de Entrega. Em projetos com tendência </w:t>
      </w:r>
      <w:r>
        <w:rPr>
          <w:i/>
          <w:lang w:val="pt-BR"/>
        </w:rPr>
        <w:t>agile</w:t>
      </w:r>
      <w:r>
        <w:rPr>
          <w:lang w:val="pt-BR"/>
        </w:rPr>
        <w:t>, o desenho da solução em alto-nível e o mapa de história podem ser finalizados após o início da etapa de Entrega.</w:t>
      </w:r>
    </w:p>
    <w:p w14:paraId="36081E1F" w14:textId="77777777" w:rsidR="00211257" w:rsidRDefault="00000000">
      <w:pPr>
        <w:pStyle w:val="Ttulo3"/>
      </w:pPr>
      <w:r>
        <w:t>Etapa de Entrega</w:t>
      </w:r>
    </w:p>
    <w:p w14:paraId="70784EFF" w14:textId="77777777" w:rsidR="00211257" w:rsidRDefault="00000000">
      <w:pPr>
        <w:rPr>
          <w:i/>
          <w:lang w:val="pt-BR"/>
        </w:rPr>
      </w:pPr>
      <w:r>
        <w:rPr>
          <w:i/>
          <w:lang w:val="pt-BR"/>
        </w:rPr>
        <w:t>A etapa de Entrega poderá começar antes das etapas de Definição e Desenho serem totalmente concluídas, se mutuamente acordado entre Cliente e SFDC nos Documentos de Planejamento.</w:t>
      </w:r>
    </w:p>
    <w:p w14:paraId="527B6E44" w14:textId="77777777" w:rsidR="00211257" w:rsidRDefault="00000000">
      <w:pPr>
        <w:rPr>
          <w:lang w:val="pt-BR"/>
        </w:rPr>
      </w:pPr>
      <w:r>
        <w:rPr>
          <w:lang w:val="pt-BR"/>
        </w:rPr>
        <w:t>Na etapa de Entrega, a SFDC configura, desenvolve e testa a Aplicação em uma série de Sprints de desenvolvimento baseados no backlog do produto das Histórias de Usuário, dos Documentos de Planejamentos e dos Documentos de Desenho. Durante cada Sprint, a SFDC e o Cliente selecionam Histórias de Usuário, finalizam o desenho, constroem e testam a funcionalidade, executam scripts de testes e obtêm aceitação. A SFDC realizará o teste unitário da Aplicação configurada e criará, de forma independente, casos de teste para validar a conformidade com o critério de aceitação definido. A SFDC e o Cliente também conduzirão reuniões de Revisão de Sprint para determinados Sprints para possibilitar ao Cliente que forneça feedback.</w:t>
      </w:r>
    </w:p>
    <w:p w14:paraId="64421A9E" w14:textId="77777777" w:rsidR="00211257" w:rsidRDefault="00000000">
      <w:pPr>
        <w:rPr>
          <w:lang w:val="pt-BR"/>
        </w:rPr>
      </w:pPr>
      <w:r>
        <w:rPr>
          <w:lang w:val="pt-BR"/>
        </w:rPr>
        <w:t>O Cliente é responsável por conduzir os Testes Integrados de Sistema (STI) e os Testes de Aceitação de Usuário (UAT) e fornecer feedback e aceitação. A SFDC ajudará a coordenar e facilitar o STI e o UAT. Após a conclusão do UAT final do Cliente, a SFDC trabalhará com o Cliente para confirmar a concordância para a implantação da Aplicação configurada no ambiente de produção.</w:t>
      </w:r>
    </w:p>
    <w:p w14:paraId="5703F929" w14:textId="77777777" w:rsidR="00211257" w:rsidRDefault="00000000">
      <w:pPr>
        <w:rPr>
          <w:b/>
          <w:lang w:val="pt-BR"/>
        </w:rPr>
      </w:pPr>
      <w:r>
        <w:rPr>
          <w:b/>
          <w:lang w:val="pt-BR"/>
        </w:rPr>
        <w:t>Entregáveis da Etapa de Entrega</w:t>
      </w:r>
    </w:p>
    <w:p w14:paraId="4E7A8AF6" w14:textId="77777777" w:rsidR="00211257" w:rsidRDefault="00000000">
      <w:pPr>
        <w:numPr>
          <w:ilvl w:val="0"/>
          <w:numId w:val="12"/>
        </w:numPr>
        <w:contextualSpacing/>
        <w:rPr>
          <w:b/>
          <w:lang w:val="pt-BR"/>
        </w:rPr>
      </w:pPr>
      <w:r>
        <w:rPr>
          <w:b/>
          <w:lang w:val="pt-BR"/>
        </w:rPr>
        <w:t xml:space="preserve">Aplicação Configurada: </w:t>
      </w:r>
      <w:r>
        <w:rPr>
          <w:lang w:val="pt-BR"/>
        </w:rPr>
        <w:t>Versão da Aplicação que é implementada de acordo com os Documentos de Desenho aprovados.</w:t>
      </w:r>
    </w:p>
    <w:p w14:paraId="4E31DCE1" w14:textId="77777777" w:rsidR="00211257" w:rsidRDefault="00000000">
      <w:pPr>
        <w:numPr>
          <w:ilvl w:val="0"/>
          <w:numId w:val="12"/>
        </w:numPr>
        <w:contextualSpacing/>
        <w:rPr>
          <w:b/>
          <w:lang w:val="pt-BR"/>
        </w:rPr>
      </w:pPr>
      <w:r>
        <w:rPr>
          <w:b/>
          <w:lang w:val="pt-BR"/>
        </w:rPr>
        <w:t>Conclusão do UAT:</w:t>
      </w:r>
      <w:r>
        <w:rPr>
          <w:lang w:val="pt-BR"/>
        </w:rPr>
        <w:t xml:space="preserve"> Notificação do Cliente de conclusão do UAT, aceitação final da Aplicação configurada e concordância em implantar no ambiente de produção.</w:t>
      </w:r>
    </w:p>
    <w:p w14:paraId="69F37196" w14:textId="77777777" w:rsidR="00211257" w:rsidRDefault="00000000">
      <w:pPr>
        <w:pStyle w:val="Ttulo3"/>
      </w:pPr>
      <w:r>
        <w:t>Etapas de Implantação</w:t>
      </w:r>
    </w:p>
    <w:p w14:paraId="3B597D21" w14:textId="77777777" w:rsidR="00211257" w:rsidRDefault="00000000">
      <w:pPr>
        <w:rPr>
          <w:lang w:val="pt-BR"/>
        </w:rPr>
      </w:pPr>
      <w:r>
        <w:rPr>
          <w:lang w:val="pt-BR"/>
        </w:rPr>
        <w:t>Após a concordância do Cliente para o go-live, a Aplicação configurada será migrada para Produção, com base nas instruções de implantação criadas pela SFDC. A responsabilidade pela implantação da produção está definida na Seção 2.</w:t>
      </w:r>
    </w:p>
    <w:p w14:paraId="73223B91" w14:textId="77777777" w:rsidR="00211257" w:rsidRDefault="00000000">
      <w:pPr>
        <w:ind w:firstLine="11"/>
        <w:rPr>
          <w:lang w:val="pt-BR"/>
        </w:rPr>
      </w:pPr>
      <w:r>
        <w:rPr>
          <w:lang w:val="pt-BR"/>
        </w:rPr>
        <w:t>Após a implantação, a SFDC atualizará e publicará uma versão final da checklist de implantação para refletir os Serviços de Implementação completos e os resultados atuais da implantação da produção.</w:t>
      </w:r>
    </w:p>
    <w:p w14:paraId="03542F0D" w14:textId="77777777" w:rsidR="00211257" w:rsidRDefault="00000000">
      <w:pPr>
        <w:ind w:firstLine="11"/>
        <w:rPr>
          <w:b/>
          <w:lang w:val="pt-BR"/>
        </w:rPr>
      </w:pPr>
      <w:r>
        <w:rPr>
          <w:b/>
          <w:lang w:val="pt-BR"/>
        </w:rPr>
        <w:t>Entregáveis da Etapa de Implantação</w:t>
      </w:r>
    </w:p>
    <w:p w14:paraId="4F9DC57C" w14:textId="77777777" w:rsidR="00211257" w:rsidRDefault="00000000">
      <w:pPr>
        <w:numPr>
          <w:ilvl w:val="0"/>
          <w:numId w:val="13"/>
        </w:numPr>
        <w:contextualSpacing/>
        <w:rPr>
          <w:b/>
          <w:lang w:val="pt-BR"/>
        </w:rPr>
      </w:pPr>
      <w:r>
        <w:rPr>
          <w:b/>
          <w:lang w:val="pt-BR"/>
        </w:rPr>
        <w:t xml:space="preserve">Plano de Implantação: </w:t>
      </w:r>
      <w:r>
        <w:rPr>
          <w:lang w:val="pt-BR"/>
        </w:rPr>
        <w:t>Documenta a abordagem para implantar a Aplicação configurada, o código e a funcionalidade ao ambiente de produção do Cliente.</w:t>
      </w:r>
    </w:p>
    <w:p w14:paraId="72AE15FD" w14:textId="77777777" w:rsidR="00211257" w:rsidRDefault="00000000">
      <w:pPr>
        <w:numPr>
          <w:ilvl w:val="0"/>
          <w:numId w:val="13"/>
        </w:numPr>
        <w:contextualSpacing/>
        <w:rPr>
          <w:b/>
          <w:lang w:val="pt-BR"/>
        </w:rPr>
      </w:pPr>
      <w:r>
        <w:rPr>
          <w:b/>
          <w:lang w:val="pt-BR"/>
        </w:rPr>
        <w:t>Aplicação de Produção Implantada</w:t>
      </w:r>
      <w:r>
        <w:rPr>
          <w:lang w:val="pt-BR"/>
        </w:rPr>
        <w:t>: Aplicação configurada implantada migrada para o ambiente de produção.</w:t>
      </w:r>
    </w:p>
    <w:p w14:paraId="1B8E89FE" w14:textId="77777777" w:rsidR="00211257" w:rsidRDefault="00000000">
      <w:pPr>
        <w:numPr>
          <w:ilvl w:val="0"/>
          <w:numId w:val="13"/>
        </w:numPr>
        <w:contextualSpacing/>
        <w:rPr>
          <w:b/>
          <w:lang w:val="pt-BR"/>
        </w:rPr>
      </w:pPr>
      <w:r>
        <w:rPr>
          <w:b/>
          <w:lang w:val="pt-BR"/>
        </w:rPr>
        <w:lastRenderedPageBreak/>
        <w:t xml:space="preserve">Documentação de Histórias de Usuário/Backlog do Produto: </w:t>
      </w:r>
      <w:r>
        <w:rPr>
          <w:lang w:val="pt-BR"/>
        </w:rPr>
        <w:t>Documentos refletindo a versão final das Histórias de Usuário aceitas que são implementadas como parte da Aplicação configurada.</w:t>
      </w:r>
    </w:p>
    <w:p w14:paraId="46508B26" w14:textId="77777777" w:rsidR="00211257" w:rsidRDefault="00000000">
      <w:pPr>
        <w:numPr>
          <w:ilvl w:val="0"/>
          <w:numId w:val="13"/>
        </w:numPr>
        <w:contextualSpacing/>
        <w:rPr>
          <w:b/>
          <w:lang w:val="pt-BR"/>
        </w:rPr>
      </w:pPr>
      <w:r>
        <w:rPr>
          <w:b/>
          <w:lang w:val="pt-BR"/>
        </w:rPr>
        <w:t xml:space="preserve">Documentação da Aplicação configurada: </w:t>
      </w:r>
      <w:r>
        <w:rPr>
          <w:lang w:val="pt-BR"/>
        </w:rPr>
        <w:t>a Documentação da Aplicação configurada será fornecida conforme definido na Seção 2.</w:t>
      </w:r>
    </w:p>
    <w:p w14:paraId="1AF6FB49" w14:textId="77777777" w:rsidR="00211257" w:rsidRDefault="00000000">
      <w:pPr>
        <w:pStyle w:val="Ttulo2"/>
        <w:keepNext/>
        <w:keepLines/>
        <w:numPr>
          <w:ilvl w:val="1"/>
          <w:numId w:val="4"/>
        </w:numPr>
        <w:contextualSpacing w:val="0"/>
        <w:jc w:val="left"/>
      </w:pPr>
      <w:r>
        <w:t>Aceitação</w:t>
      </w:r>
    </w:p>
    <w:p w14:paraId="1012E821" w14:textId="77777777" w:rsidR="00211257" w:rsidRDefault="00000000">
      <w:pPr>
        <w:rPr>
          <w:lang w:val="pt-BR"/>
        </w:rPr>
      </w:pPr>
      <w:bookmarkStart w:id="3" w:name="_Hlk165899540"/>
      <w:r>
        <w:rPr>
          <w:lang w:val="pt-BR"/>
        </w:rPr>
        <w:t>Após a conclusão de cada Entregável, a SFDC, conforme aplicável: (a) enviará uma cópia completa de tal Entregável ao Cliente; e (b) a pedido do Cliente, demonstrará a funcionalidade de tal Entregável ao Cliente.  O Cliente é responsável por revisar e testar todos os Entregáveis de acordo com esta SOW de acordo com quaisquer critérios de aceitação e planos de teste mutuamente acordados por escrito pelas partes para tal Entregável.  O Cliente fornecerá à SFDC uma notificação por escrito de aceitação para cada Entregável imediatamente após a aceitação; no entanto, a falha em rejeitar um Entregável, como estabelecido abaixo, será considerada aceitação.  Se o Cliente, em seu julgamento razoável e de boa fé, determinar que qualquer Entregável submetido não satisfaz os critérios de aceitação acordados conforme especificado nesta SOW ou conforme mutuamente acordado por escrito pelas partes para tal Entregável, o Cliente deverá notificar a SFDC por escrito dentro de dez (10) dias úteis após o envio do Entregável pela SFDC, especificando as deficiências em detalhes.  A SFDC utilizará esforços comercialmente razoáveis para corrigir tais deficiências e reapresentar o Entregável ao Cliente tão logo seja praticável.  O Cliente revisará e testará novamente o Entregável contra tais critérios de aceitação acordados e detalhará quaisquer deficiências à SFDC por escrito dentro de dez (10) dias úteis após a reapresentação do Entregável.  Se um Entregável não atender a tais critérios de aceitação especificados nesta SOW após sua segunda (2º) reapresentação ao Cliente, o Cliente pode, como sua única e exclusiva solução: (i) rejeitar novamente o Entregável e devolvê-lo à SFDC para posterior correção e reapresentação de acordo com o processo descrito acima (e se o Entregável não for aceito após duas (2) reapresentações, a questão será encaminhada ao patrocinador executivo do Cliente para o projeto associado a esta SOW e ao Gerente de Projeto ou Gerente de Engajamento da SFDC), ou (ii) encerrar esta SOW imediatamente após notificação por escrito e recuperar todos os honorários de Serviços Profissionais pagos sob esta SOW por tal Entregável deficiente.  Se as partes determinarem que os requisitos funcionais ou critérios de aceitação especificados nesta SOW exigem modificações (por exemplo, devido a premissas incorretas ou requisitos alterados), elas cooperarão de boa fé para assinar um Pedido de Alteração para tais requisitos ou critérios de aceitação revisados.  A aceitação de Estórias de Usuário desenvolvidas e demonstradas ao Cliente é um processo interativo, ao qual o acima exposto não se aplica. Em vez disso, o Cliente deverá aceitar formalmente as Histórias de Usuário por meio do aplicativo de rastreamento ou por escrito (aceitável por e-mail). Caso o Cliente não aceite Histórias de Usuário sujeitas ao acima exposto, nem rejeite Histórias de Usuário por escrito (e-mail aceitável), então tais Histórias de Usuário serão consideradas aceitas no primeiro dos dez (10) dias úteis após a demonstração da História ou dois (2) dias úteis após o término da Sprint em que a História do Usuário foi concluída.</w:t>
      </w:r>
    </w:p>
    <w:bookmarkEnd w:id="3"/>
    <w:p w14:paraId="405FEDD7" w14:textId="77777777" w:rsidR="00211257" w:rsidRDefault="00000000">
      <w:pPr>
        <w:pStyle w:val="Ttulo1"/>
        <w:jc w:val="left"/>
        <w:rPr>
          <w:lang w:val="pt-BR"/>
        </w:rPr>
      </w:pPr>
      <w:r>
        <w:rPr>
          <w:lang w:val="pt-BR"/>
        </w:rPr>
        <w:t>Honorários dos Serviços Profissionais</w:t>
      </w:r>
    </w:p>
    <w:p w14:paraId="3B341F42" w14:textId="77777777" w:rsidR="00211257" w:rsidRDefault="00000000">
      <w:pPr>
        <w:pStyle w:val="Ttulo2"/>
        <w:jc w:val="left"/>
        <w:rPr>
          <w:lang w:val="pt-BR"/>
        </w:rPr>
      </w:pPr>
      <w:r>
        <w:rPr>
          <w:lang w:val="pt-BR"/>
        </w:rPr>
        <w:t>Honorários Fixos com Base em Marcos</w:t>
      </w:r>
    </w:p>
    <w:p w14:paraId="599FEBC2" w14:textId="77777777" w:rsidR="00211257" w:rsidRDefault="00000000">
      <w:pPr>
        <w:rPr>
          <w:lang w:val="pt-BR"/>
        </w:rPr>
      </w:pPr>
      <w:r>
        <w:rPr>
          <w:lang w:val="pt-BR"/>
        </w:rPr>
        <w:t xml:space="preserve">Os Serviços Profissionais são prestados com base em honorários fixos. Um Pedido de Alteração pode ser necessário se houver mudanças no escopo do projeto, recursos, cronograma, marcos, Entregáveis, complexidade ou designação de um novo gerente de projeto do Cliente. A SFDC faturará ao Cliente após a aceitação de cada marco. Impostos e T&amp;Es efetivos, se aplicáveis, serão faturados mensalmente e pagos de acordo com os termos do Contrato. </w:t>
      </w:r>
    </w:p>
    <w:p w14:paraId="672467F0" w14:textId="77777777" w:rsidR="00211257" w:rsidRDefault="00000000">
      <w:pPr>
        <w:rPr>
          <w:lang w:val="pt-BR"/>
        </w:rPr>
      </w:pPr>
      <w:r>
        <w:rPr>
          <w:lang w:val="pt-BR"/>
        </w:rPr>
        <w:t>A tabela a seguir mostra os marcos planejados, as datas de conclusão previstas e os honorários faturáveis para cada um deles: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1"/>
        <w:gridCol w:w="2248"/>
        <w:gridCol w:w="3781"/>
        <w:gridCol w:w="1016"/>
        <w:gridCol w:w="15"/>
        <w:gridCol w:w="1830"/>
        <w:gridCol w:w="1569"/>
      </w:tblGrid>
      <w:tr w:rsidR="00477C7B" w14:paraId="415C9218" w14:textId="77C40FBD" w:rsidTr="004C5E56">
        <w:trPr>
          <w:trHeight w:val="314"/>
        </w:trPr>
        <w:tc>
          <w:tcPr>
            <w:tcW w:w="153" w:type="pct"/>
            <w:shd w:val="clear" w:color="auto" w:fill="1F4C78"/>
            <w:tcMar>
              <w:top w:w="0" w:type="dxa"/>
              <w:left w:w="115" w:type="dxa"/>
              <w:bottom w:w="0" w:type="dxa"/>
              <w:right w:w="115" w:type="dxa"/>
            </w:tcMar>
            <w:vAlign w:val="bottom"/>
            <w:hideMark/>
          </w:tcPr>
          <w:p w14:paraId="7AB442B1" w14:textId="72B255B8" w:rsidR="00477C7B" w:rsidRPr="00477C7B" w:rsidRDefault="00477C7B" w:rsidP="004C5E56">
            <w:pPr>
              <w:pStyle w:val="NormalWeb"/>
              <w:widowControl w:val="0"/>
              <w:adjustRightInd w:val="0"/>
              <w:snapToGrid w:val="0"/>
              <w:spacing w:before="0" w:beforeAutospacing="0" w:after="0" w:afterAutospacing="0"/>
              <w:ind w:left="0" w:right="-222"/>
              <w:jc w:val="center"/>
              <w:rPr>
                <w:color w:val="FFFFFF" w:themeColor="background1"/>
              </w:rPr>
            </w:pPr>
            <w:r w:rsidRPr="00477C7B">
              <w:rPr>
                <w:rFonts w:ascii="Arial" w:hAnsi="Arial" w:cs="Arial"/>
                <w:b/>
                <w:color w:val="FFFFFF" w:themeColor="background1"/>
                <w:sz w:val="18"/>
                <w:szCs w:val="18"/>
              </w:rPr>
              <w:t>#</w:t>
            </w:r>
          </w:p>
        </w:tc>
        <w:tc>
          <w:tcPr>
            <w:tcW w:w="1042" w:type="pct"/>
            <w:shd w:val="clear" w:color="auto" w:fill="1F4C78"/>
            <w:tcMar>
              <w:top w:w="0" w:type="dxa"/>
              <w:left w:w="115" w:type="dxa"/>
              <w:bottom w:w="0" w:type="dxa"/>
              <w:right w:w="115" w:type="dxa"/>
            </w:tcMar>
            <w:vAlign w:val="bottom"/>
            <w:hideMark/>
          </w:tcPr>
          <w:p w14:paraId="706F7EB4" w14:textId="77777777" w:rsidR="00477C7B" w:rsidRDefault="00477C7B" w:rsidP="004C5E56">
            <w:pPr>
              <w:pStyle w:val="NormalWeb"/>
              <w:widowControl w:val="0"/>
              <w:adjustRightInd w:val="0"/>
              <w:snapToGrid w:val="0"/>
              <w:spacing w:before="0" w:beforeAutospacing="0" w:after="0" w:afterAutospacing="0"/>
              <w:ind w:left="-29"/>
              <w:rPr>
                <w:color w:val="FFFFFF" w:themeColor="background1"/>
              </w:rPr>
            </w:pPr>
            <w:r>
              <w:rPr>
                <w:rFonts w:ascii="Arial" w:hAnsi="Arial" w:cs="Arial"/>
                <w:b/>
                <w:color w:val="FFFFFF" w:themeColor="background1"/>
                <w:sz w:val="18"/>
                <w:szCs w:val="18"/>
              </w:rPr>
              <w:t>Marco</w:t>
            </w:r>
          </w:p>
        </w:tc>
        <w:tc>
          <w:tcPr>
            <w:tcW w:w="1752" w:type="pct"/>
            <w:shd w:val="clear" w:color="auto" w:fill="1F4C78"/>
            <w:tcMar>
              <w:top w:w="0" w:type="dxa"/>
              <w:left w:w="115" w:type="dxa"/>
              <w:bottom w:w="0" w:type="dxa"/>
              <w:right w:w="115" w:type="dxa"/>
            </w:tcMar>
            <w:vAlign w:val="bottom"/>
            <w:hideMark/>
          </w:tcPr>
          <w:p w14:paraId="005CA9B8" w14:textId="4178D71F" w:rsidR="00477C7B" w:rsidRDefault="00477C7B" w:rsidP="004C5E56">
            <w:pPr>
              <w:pStyle w:val="NormalWeb"/>
              <w:widowControl w:val="0"/>
              <w:adjustRightInd w:val="0"/>
              <w:snapToGrid w:val="0"/>
              <w:spacing w:before="0" w:beforeAutospacing="0" w:after="0" w:afterAutospacing="0"/>
              <w:ind w:left="0"/>
              <w:rPr>
                <w:color w:val="FFFFFF" w:themeColor="background1"/>
              </w:rPr>
            </w:pPr>
            <w:proofErr w:type="spellStart"/>
            <w:r>
              <w:rPr>
                <w:rFonts w:ascii="Arial" w:hAnsi="Arial" w:cs="Arial"/>
                <w:b/>
                <w:color w:val="FFFFFF" w:themeColor="background1"/>
                <w:sz w:val="18"/>
                <w:szCs w:val="18"/>
              </w:rPr>
              <w:t>Critérios</w:t>
            </w:r>
            <w:proofErr w:type="spellEnd"/>
            <w:r>
              <w:rPr>
                <w:rFonts w:ascii="Arial" w:hAnsi="Arial" w:cs="Arial"/>
                <w:b/>
                <w:color w:val="FFFFFF" w:themeColor="background1"/>
                <w:sz w:val="18"/>
                <w:szCs w:val="18"/>
              </w:rPr>
              <w:t xml:space="preserve"> de </w:t>
            </w:r>
            <w:proofErr w:type="spellStart"/>
            <w:r>
              <w:rPr>
                <w:rFonts w:ascii="Arial" w:hAnsi="Arial" w:cs="Arial"/>
                <w:b/>
                <w:color w:val="FFFFFF" w:themeColor="background1"/>
                <w:sz w:val="18"/>
                <w:szCs w:val="18"/>
              </w:rPr>
              <w:t>Aceitação</w:t>
            </w:r>
            <w:proofErr w:type="spellEnd"/>
          </w:p>
        </w:tc>
        <w:tc>
          <w:tcPr>
            <w:tcW w:w="478" w:type="pct"/>
            <w:gridSpan w:val="2"/>
            <w:shd w:val="clear" w:color="auto" w:fill="1F4C78"/>
            <w:tcMar>
              <w:top w:w="0" w:type="dxa"/>
              <w:left w:w="115" w:type="dxa"/>
              <w:bottom w:w="0" w:type="dxa"/>
              <w:right w:w="115" w:type="dxa"/>
            </w:tcMar>
            <w:vAlign w:val="bottom"/>
            <w:hideMark/>
          </w:tcPr>
          <w:p w14:paraId="7DE7A1BA" w14:textId="354521E0" w:rsidR="00477C7B" w:rsidRPr="00477C7B" w:rsidRDefault="004C5E56" w:rsidP="004C5E56">
            <w:pPr>
              <w:pStyle w:val="NormalWeb"/>
              <w:widowControl w:val="0"/>
              <w:tabs>
                <w:tab w:val="left" w:pos="1231"/>
              </w:tabs>
              <w:adjustRightInd w:val="0"/>
              <w:snapToGrid w:val="0"/>
              <w:spacing w:before="0" w:beforeAutospacing="0" w:after="0" w:afterAutospacing="0"/>
              <w:ind w:left="0"/>
              <w:jc w:val="center"/>
              <w:rPr>
                <w:color w:val="FFFFFF" w:themeColor="background1"/>
              </w:rPr>
            </w:pPr>
            <w:r>
              <w:rPr>
                <w:rFonts w:ascii="Arial" w:hAnsi="Arial" w:cs="Arial"/>
                <w:b/>
                <w:color w:val="FFFFFF" w:themeColor="background1"/>
                <w:sz w:val="18"/>
                <w:szCs w:val="18"/>
              </w:rPr>
              <w:t xml:space="preserve">Semana Estimada (Início–Fim)</w:t>
            </w:r>
            <w:proofErr w:type="spellStart"/>
            <w:proofErr w:type="spellEnd"/>
          </w:p>
        </w:tc>
        <w:tc>
          <w:tcPr>
            <w:tcW w:w="848" w:type="pct"/>
            <w:shd w:val="clear" w:color="auto" w:fill="1F4C78"/>
            <w:tcMar>
              <w:top w:w="0" w:type="dxa"/>
              <w:left w:w="115" w:type="dxa"/>
              <w:bottom w:w="0" w:type="dxa"/>
              <w:right w:w="115" w:type="dxa"/>
            </w:tcMar>
            <w:vAlign w:val="bottom"/>
            <w:hideMark/>
          </w:tcPr>
          <w:p w14:paraId="3A344B04" w14:textId="1880EFFC" w:rsidR="00477C7B" w:rsidRPr="00477C7B" w:rsidRDefault="00477C7B" w:rsidP="004C5E56">
            <w:pPr>
              <w:pStyle w:val="NormalWeb"/>
              <w:widowControl w:val="0"/>
              <w:adjustRightInd w:val="0"/>
              <w:snapToGrid w:val="0"/>
              <w:spacing w:before="0" w:beforeAutospacing="0" w:after="0" w:afterAutospacing="0"/>
              <w:ind w:left="0"/>
              <w:jc w:val="center"/>
              <w:rPr>
                <w:color w:val="FFFFFF" w:themeColor="background1"/>
              </w:rPr>
            </w:pPr>
            <w:proofErr w:type="spellStart"/>
            <w:r>
              <w:rPr>
                <w:rFonts w:ascii="Arial" w:hAnsi="Arial" w:cs="Arial"/>
                <w:b/>
                <w:color w:val="FFFFFF" w:themeColor="background1"/>
                <w:sz w:val="18"/>
                <w:szCs w:val="18"/>
              </w:rPr>
              <w:t>Honorário</w:t>
            </w:r>
            <w:proofErr w:type="spellEnd"/>
            <w:r>
              <w:rPr>
                <w:rFonts w:ascii="Arial" w:hAnsi="Arial" w:cs="Arial"/>
                <w:b/>
                <w:color w:val="FFFFFF" w:themeColor="background1"/>
                <w:sz w:val="18"/>
                <w:szCs w:val="18"/>
              </w:rPr>
              <w:t xml:space="preserve"> (</w:t>
            </w:r>
            <w:proofErr w:type="spellStart"/>
            <w:r>
              <w:rPr>
                <w:rFonts w:ascii="Arial" w:hAnsi="Arial" w:cs="Arial"/>
                <w:b/>
                <w:color w:val="FFFFFF" w:themeColor="background1"/>
                <w:sz w:val="18"/>
                <w:szCs w:val="18"/>
              </w:rPr>
              <w:t>sem</w:t>
            </w:r>
            <w:proofErr w:type="spellEnd"/>
            <w:r>
              <w:rPr>
                <w:rFonts w:ascii="Arial" w:hAnsi="Arial" w:cs="Arial"/>
                <w:b/>
                <w:color w:val="FFFFFF" w:themeColor="background1"/>
                <w:sz w:val="18"/>
                <w:szCs w:val="18"/>
              </w:rPr>
              <w:t xml:space="preserve"> </w:t>
            </w:r>
            <w:proofErr w:type="spellStart"/>
            <w:r>
              <w:rPr>
                <w:rFonts w:ascii="Arial" w:hAnsi="Arial" w:cs="Arial"/>
                <w:b/>
                <w:color w:val="FFFFFF" w:themeColor="background1"/>
                <w:sz w:val="18"/>
                <w:szCs w:val="18"/>
              </w:rPr>
              <w:t>Imposto</w:t>
            </w:r>
            <w:proofErr w:type="spellEnd"/>
            <w:r>
              <w:rPr>
                <w:rFonts w:ascii="Arial" w:hAnsi="Arial" w:cs="Arial"/>
                <w:b/>
                <w:color w:val="FFFFFF" w:themeColor="background1"/>
                <w:sz w:val="18"/>
                <w:szCs w:val="18"/>
              </w:rPr>
              <w:t>)</w:t>
            </w:r>
          </w:p>
        </w:tc>
        <w:tc>
          <w:tcPr>
            <w:tcW w:w="727" w:type="pct"/>
            <w:shd w:val="clear" w:color="auto" w:fill="1F4C78"/>
            <w:vAlign w:val="bottom"/>
          </w:tcPr>
          <w:p w14:paraId="379CB694" w14:textId="6C8B4387" w:rsidR="00477C7B" w:rsidRPr="00477C7B" w:rsidRDefault="00477C7B" w:rsidP="004C5E56">
            <w:pPr>
              <w:pStyle w:val="NormalWeb"/>
              <w:widowControl w:val="0"/>
              <w:adjustRightInd w:val="0"/>
              <w:snapToGrid w:val="0"/>
              <w:spacing w:before="0" w:beforeAutospacing="0" w:after="0" w:afterAutospacing="0"/>
              <w:ind w:left="0"/>
              <w:jc w:val="center"/>
              <w:rPr>
                <w:rFonts w:ascii="Arial" w:hAnsi="Arial" w:cs="Arial"/>
                <w:b/>
                <w:color w:val="FFFFFF" w:themeColor="background1"/>
                <w:sz w:val="18"/>
                <w:szCs w:val="18"/>
              </w:rPr>
            </w:pPr>
            <w:proofErr w:type="spellStart"/>
            <w:r>
              <w:rPr>
                <w:rFonts w:ascii="Arial" w:hAnsi="Arial" w:cs="Arial"/>
                <w:b/>
                <w:color w:val="FFFFFF" w:themeColor="background1"/>
                <w:sz w:val="18"/>
                <w:szCs w:val="18"/>
              </w:rPr>
              <w:t>Honorário</w:t>
            </w:r>
            <w:proofErr w:type="spellEnd"/>
            <w:r>
              <w:rPr>
                <w:rFonts w:ascii="Arial" w:hAnsi="Arial" w:cs="Arial"/>
                <w:b/>
                <w:color w:val="FFFFFF" w:themeColor="background1"/>
                <w:sz w:val="18"/>
                <w:szCs w:val="18"/>
              </w:rPr>
              <w:t xml:space="preserve"> (</w:t>
            </w:r>
            <w:r>
              <w:rPr>
                <w:rFonts w:ascii="Arial" w:hAnsi="Arial" w:cs="Arial"/>
                <w:b/>
                <w:color w:val="FFFFFF" w:themeColor="background1"/>
                <w:sz w:val="18"/>
                <w:szCs w:val="18"/>
              </w:rPr>
              <w:t>com</w:t>
            </w:r>
            <w:r>
              <w:rPr>
                <w:rFonts w:ascii="Arial" w:hAnsi="Arial" w:cs="Arial"/>
                <w:b/>
                <w:color w:val="FFFFFF" w:themeColor="background1"/>
                <w:sz w:val="18"/>
                <w:szCs w:val="18"/>
              </w:rPr>
              <w:t xml:space="preserve"> </w:t>
            </w:r>
            <w:proofErr w:type="spellStart"/>
            <w:r>
              <w:rPr>
                <w:rFonts w:ascii="Arial" w:hAnsi="Arial" w:cs="Arial"/>
                <w:b/>
                <w:color w:val="FFFFFF" w:themeColor="background1"/>
                <w:sz w:val="18"/>
                <w:szCs w:val="18"/>
              </w:rPr>
              <w:t>Imposto</w:t>
            </w:r>
            <w:proofErr w:type="spellEnd"/>
            <w:r>
              <w:rPr>
                <w:rFonts w:ascii="Arial" w:hAnsi="Arial" w:cs="Arial"/>
                <w:b/>
                <w:color w:val="FFFFFF" w:themeColor="background1"/>
                <w:sz w:val="18"/>
                <w:szCs w:val="18"/>
              </w:rPr>
              <w:t>)</w:t>
            </w:r>
          </w:p>
        </w:tc>
      </w:tr>
      <w:tr w:rsidR="00477C7B" w14:paraId="66A97866" w14:textId="12151B6B" w:rsidTr="004C5E56">
        <w:trPr>
          <w:trHeight w:val="253"/>
        </w:trPr>
        <w:tc>
          <w:tcPr>
            <w:tcW w:w="153" w:type="pct"/>
            <w:noWrap/>
            <w:vAlign w:val="bottom"/>
          </w:tcPr>
          <w:p w14:paraId="032EB6A4" w14:textId="32465573" w:rsidR="00477C7B" w:rsidRDefault="00477C7B" w:rsidP="004C5E56">
            <w:pPr>
              <w:ind w:left="0"/>
              <w:jc w:val="center"/>
            </w:pPr>
            <w:r>
              <w:t>1</w:t>
            </w:r>
          </w:p>
        </w:tc>
        <w:tc>
          <w:tcPr>
            <w:tcW w:w="1042" w:type="pct"/>
            <w:tcMar>
              <w:top w:w="0" w:type="dxa"/>
              <w:left w:w="115" w:type="dxa"/>
              <w:bottom w:w="0" w:type="dxa"/>
              <w:right w:w="115" w:type="dxa"/>
            </w:tcMar>
            <w:vAlign w:val="bottom"/>
            <w:hideMark/>
          </w:tcPr>
          <w:p w14:paraId="3221716B" w14:textId="237F254D" w:rsidR="00477C7B" w:rsidRDefault="00477C7B" w:rsidP="004C5E56">
            <w:pPr>
              <w:widowControl w:val="0"/>
              <w:adjustRightInd w:val="0"/>
              <w:snapToGrid w:val="0"/>
              <w:spacing w:after="0" w:line="240" w:lineRule="auto"/>
              <w:ind w:left="0"/>
            </w:pPr>
            <w:proofErr w:type="spellStart"/>
            <w:r>
              <w:t>Imersão</w:t>
            </w:r>
            <w:proofErr w:type="spellEnd"/>
            <w:r>
              <w:t xml:space="preserve"> e Discovery</w:t>
            </w:r>
            <w:r w:rsidR="00B64536">
              <w:t xml:space="preserve"> de </w:t>
            </w:r>
            <w:proofErr w:type="spellStart"/>
            <w:r w:rsidR="00B64536">
              <w:t>Produtos</w:t>
            </w:r>
            <w:proofErr w:type="spellEnd"/>
          </w:p>
        </w:tc>
        <w:tc>
          <w:tcPr>
            <w:tcW w:w="1752" w:type="pct"/>
            <w:tcMar>
              <w:top w:w="0" w:type="dxa"/>
              <w:left w:w="115" w:type="dxa"/>
              <w:bottom w:w="0" w:type="dxa"/>
              <w:right w:w="115" w:type="dxa"/>
            </w:tcMar>
            <w:vAlign w:val="bottom"/>
            <w:hideMark/>
          </w:tcPr>
          <w:p w14:paraId="4808E66C" w14:textId="77777777" w:rsidR="00477C7B" w:rsidRDefault="00477C7B" w:rsidP="004C5E56">
            <w:pPr>
              <w:widowControl w:val="0"/>
              <w:adjustRightInd w:val="0"/>
              <w:snapToGrid w:val="0"/>
              <w:spacing w:after="0" w:line="240" w:lineRule="auto"/>
              <w:ind w:left="0"/>
            </w:pPr>
            <w:r>
              <w:rPr>
                <w:rFonts w:eastAsia="Times New Roman"/>
                <w:color w:val="1C212B"/>
                <w:shd w:val="clear" w:color="auto" w:fill="FFFFFF"/>
              </w:rPr>
              <w:t xml:space="preserve">Atividade: Workshops de descoberta com TI e Negócio para mapeamento e detalhamento funcional das ofertas, planos e serviços atuais das cinco linhas de negócio. Critério de aceite: Documento de Detalhamento Funcional das Ofertas revisado e aceito formalmente pelo Cliente.</w:t>
            </w:r>
            <w:proofErr w:type="spellStart"/>
            <w:proofErr w:type="spellEnd"/>
            <w:proofErr w:type="spellStart"/>
            <w:proofErr w:type="spellEnd"/>
            <w:proofErr w:type="spellStart"/>
            <w:proofErr w:type="spellEnd"/>
          </w:p>
        </w:tc>
        <w:tc>
          <w:tcPr>
            <w:tcW w:w="478" w:type="pct"/>
            <w:gridSpan w:val="2"/>
            <w:tcMar>
              <w:top w:w="0" w:type="dxa"/>
              <w:left w:w="115" w:type="dxa"/>
              <w:bottom w:w="0" w:type="dxa"/>
              <w:right w:w="115" w:type="dxa"/>
            </w:tcMar>
            <w:vAlign w:val="bottom"/>
            <w:hideMark/>
          </w:tcPr>
          <w:p w14:paraId="7DF34EA0" w14:textId="5A7217E9" w:rsidR="00477C7B" w:rsidRDefault="004C5E56" w:rsidP="004C5E56">
            <w:pPr>
              <w:pStyle w:val="NormalWeb"/>
              <w:widowControl w:val="0"/>
              <w:adjustRightInd w:val="0"/>
              <w:snapToGrid w:val="0"/>
              <w:spacing w:before="0" w:beforeAutospacing="0" w:after="0" w:afterAutospacing="0"/>
              <w:ind w:left="0"/>
              <w:jc w:val="center"/>
              <w:rPr>
                <w:rFonts w:ascii="Arial" w:hAnsi="Arial" w:cs="Arial"/>
                <w:sz w:val="20"/>
                <w:szCs w:val="20"/>
              </w:rPr>
            </w:pPr>
            <w:r>
              <w:rPr>
                <w:rFonts w:ascii="Arial" w:hAnsi="Arial" w:cs="Arial"/>
                <w:color w:val="000000"/>
                <w:sz w:val="20"/>
                <w:szCs w:val="20"/>
              </w:rPr>
              <w:t xml:space="preserve">1–2</w:t>
            </w:r>
          </w:p>
        </w:tc>
        <w:tc>
          <w:tcPr>
            <w:tcW w:w="848" w:type="pct"/>
            <w:tcMar>
              <w:top w:w="0" w:type="dxa"/>
              <w:left w:w="115" w:type="dxa"/>
              <w:bottom w:w="0" w:type="dxa"/>
              <w:right w:w="115" w:type="dxa"/>
            </w:tcMar>
            <w:vAlign w:val="bottom"/>
            <w:hideMark/>
          </w:tcPr>
          <w:p w14:paraId="286E18DB" w14:textId="6E3BCA50"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107.236,11</w:t>
            </w:r>
          </w:p>
        </w:tc>
        <w:tc>
          <w:tcPr>
            <w:tcW w:w="727" w:type="pct"/>
            <w:vAlign w:val="bottom"/>
          </w:tcPr>
          <w:p w14:paraId="4EC98E91" w14:textId="0CFD4D74"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114.752,39</w:t>
            </w:r>
          </w:p>
        </w:tc>
      </w:tr>
      <w:tr w:rsidR="00477C7B" w14:paraId="1B4EB89D" w14:textId="256F4172" w:rsidTr="004C5E56">
        <w:trPr>
          <w:trHeight w:val="90"/>
        </w:trPr>
        <w:tc>
          <w:tcPr>
            <w:tcW w:w="153" w:type="pct"/>
            <w:noWrap/>
            <w:vAlign w:val="bottom"/>
          </w:tcPr>
          <w:p w14:paraId="22BC4654" w14:textId="554369EC" w:rsidR="00477C7B" w:rsidRDefault="00477C7B" w:rsidP="004C5E56">
            <w:pPr>
              <w:ind w:left="0"/>
              <w:jc w:val="center"/>
            </w:pPr>
            <w:r>
              <w:t>2</w:t>
            </w:r>
          </w:p>
        </w:tc>
        <w:tc>
          <w:tcPr>
            <w:tcW w:w="1042" w:type="pct"/>
            <w:tcMar>
              <w:top w:w="0" w:type="dxa"/>
              <w:left w:w="115" w:type="dxa"/>
              <w:bottom w:w="0" w:type="dxa"/>
              <w:right w:w="115" w:type="dxa"/>
            </w:tcMar>
            <w:vAlign w:val="bottom"/>
            <w:hideMark/>
          </w:tcPr>
          <w:p w14:paraId="2BE2C3E8" w14:textId="44115784" w:rsidR="00477C7B" w:rsidRDefault="00477C7B" w:rsidP="004C5E56">
            <w:pPr>
              <w:widowControl w:val="0"/>
              <w:adjustRightInd w:val="0"/>
              <w:snapToGrid w:val="0"/>
              <w:spacing w:after="0" w:line="240" w:lineRule="auto"/>
              <w:ind w:left="0"/>
            </w:pPr>
            <w:proofErr w:type="spellStart"/>
            <w:r>
              <w:t>Modelagem</w:t>
            </w:r>
            <w:proofErr w:type="spellEnd"/>
            <w:r w:rsidR="00B64536">
              <w:t xml:space="preserve"> (Product </w:t>
            </w:r>
            <w:proofErr w:type="gramStart"/>
            <w:r w:rsidR="00B64536">
              <w:t>Blue Print</w:t>
            </w:r>
            <w:proofErr w:type="gramEnd"/>
            <w:r w:rsidR="00B64536">
              <w:t>)</w:t>
            </w:r>
          </w:p>
        </w:tc>
        <w:tc>
          <w:tcPr>
            <w:tcW w:w="1752" w:type="pct"/>
            <w:tcMar>
              <w:top w:w="0" w:type="dxa"/>
              <w:left w:w="115" w:type="dxa"/>
              <w:bottom w:w="0" w:type="dxa"/>
              <w:right w:w="115" w:type="dxa"/>
            </w:tcMar>
            <w:vAlign w:val="bottom"/>
            <w:hideMark/>
          </w:tcPr>
          <w:p w14:paraId="35826862" w14:textId="77777777" w:rsidR="00477C7B" w:rsidRDefault="00477C7B" w:rsidP="004C5E56">
            <w:pPr>
              <w:widowControl w:val="0"/>
              <w:adjustRightInd w:val="0"/>
              <w:snapToGrid w:val="0"/>
              <w:spacing w:after="0" w:line="240" w:lineRule="auto"/>
              <w:ind w:left="0"/>
            </w:pPr>
            <w:r>
              <w:rPr>
                <w:rFonts w:eastAsia="Times New Roman"/>
                <w:color w:val="1C212B"/>
                <w:shd w:val="clear" w:color="auto" w:fill="FFFFFF"/>
              </w:rPr>
              <w:t xml:space="preserve">Atividade: Desenho do modelo de dados no EPC (camadas comercial e técnica/CFS, Object Types e atributos) e especificação das regras de elegibilidade, compatibilidade e precificação no Motor de Regras. Critério de aceite: Product Model Blueprint (PMB) e recomendações de regras de negócio aprovados pelo Cliente.</w:t>
            </w:r>
            <w:proofErr w:type="spellStart"/>
            <w:proofErr w:type="spellEnd"/>
            <w:proofErr w:type="spellStart"/>
            <w:proofErr w:type="spellEnd"/>
            <w:proofErr w:type="spellStart"/>
            <w:proofErr w:type="spellEnd"/>
          </w:p>
        </w:tc>
        <w:tc>
          <w:tcPr>
            <w:tcW w:w="478" w:type="pct"/>
            <w:gridSpan w:val="2"/>
            <w:tcMar>
              <w:top w:w="0" w:type="dxa"/>
              <w:left w:w="115" w:type="dxa"/>
              <w:bottom w:w="0" w:type="dxa"/>
              <w:right w:w="115" w:type="dxa"/>
            </w:tcMar>
            <w:vAlign w:val="bottom"/>
            <w:hideMark/>
          </w:tcPr>
          <w:p w14:paraId="6C1913CC" w14:textId="7B4B9C44" w:rsidR="00477C7B" w:rsidRDefault="004C5E56" w:rsidP="004C5E56">
            <w:pPr>
              <w:pStyle w:val="NormalWeb"/>
              <w:widowControl w:val="0"/>
              <w:adjustRightInd w:val="0"/>
              <w:snapToGrid w:val="0"/>
              <w:spacing w:before="0" w:beforeAutospacing="0" w:after="0" w:afterAutospacing="0"/>
              <w:ind w:left="0"/>
              <w:jc w:val="center"/>
              <w:rPr>
                <w:rFonts w:ascii="Arial" w:hAnsi="Arial" w:cs="Arial"/>
                <w:sz w:val="20"/>
                <w:szCs w:val="20"/>
              </w:rPr>
            </w:pPr>
            <w:r>
              <w:rPr>
                <w:rFonts w:ascii="Arial" w:hAnsi="Arial" w:cs="Arial"/>
                <w:color w:val="000000"/>
                <w:sz w:val="20"/>
                <w:szCs w:val="20"/>
              </w:rPr>
              <w:t xml:space="preserve">3–4</w:t>
            </w:r>
          </w:p>
        </w:tc>
        <w:tc>
          <w:tcPr>
            <w:tcW w:w="848" w:type="pct"/>
            <w:tcMar>
              <w:top w:w="0" w:type="dxa"/>
              <w:left w:w="115" w:type="dxa"/>
              <w:bottom w:w="0" w:type="dxa"/>
              <w:right w:w="115" w:type="dxa"/>
            </w:tcMar>
            <w:vAlign w:val="bottom"/>
            <w:hideMark/>
          </w:tcPr>
          <w:p w14:paraId="01866148" w14:textId="2F1301DD"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107.236,11</w:t>
            </w:r>
          </w:p>
        </w:tc>
        <w:tc>
          <w:tcPr>
            <w:tcW w:w="727" w:type="pct"/>
            <w:vAlign w:val="bottom"/>
          </w:tcPr>
          <w:p w14:paraId="382E740D" w14:textId="490C9BF2"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114.752,39</w:t>
            </w:r>
          </w:p>
        </w:tc>
      </w:tr>
      <w:tr w:rsidR="00477C7B" w14:paraId="67B0F0ED" w14:textId="6926F50E" w:rsidTr="004C5E56">
        <w:trPr>
          <w:trHeight w:val="236"/>
        </w:trPr>
        <w:tc>
          <w:tcPr>
            <w:tcW w:w="153" w:type="pct"/>
            <w:noWrap/>
            <w:vAlign w:val="bottom"/>
          </w:tcPr>
          <w:p w14:paraId="360D0E04" w14:textId="164355C2" w:rsidR="00477C7B" w:rsidRDefault="00477C7B" w:rsidP="004C5E56">
            <w:pPr>
              <w:ind w:left="0"/>
              <w:jc w:val="center"/>
            </w:pPr>
            <w:r>
              <w:t>3</w:t>
            </w:r>
          </w:p>
        </w:tc>
        <w:tc>
          <w:tcPr>
            <w:tcW w:w="1042" w:type="pct"/>
            <w:tcMar>
              <w:top w:w="0" w:type="dxa"/>
              <w:left w:w="115" w:type="dxa"/>
              <w:bottom w:w="0" w:type="dxa"/>
              <w:right w:w="115" w:type="dxa"/>
            </w:tcMar>
            <w:vAlign w:val="bottom"/>
            <w:hideMark/>
          </w:tcPr>
          <w:p w14:paraId="2DDF9086" w14:textId="1C160541" w:rsidR="00477C7B" w:rsidRDefault="00477C7B" w:rsidP="004C5E56">
            <w:pPr>
              <w:widowControl w:val="0"/>
              <w:adjustRightInd w:val="0"/>
              <w:snapToGrid w:val="0"/>
              <w:spacing w:after="0" w:line="240" w:lineRule="auto"/>
              <w:ind w:left="0"/>
            </w:pPr>
            <w:proofErr w:type="spellStart"/>
            <w:r>
              <w:t>Configuração</w:t>
            </w:r>
            <w:proofErr w:type="spellEnd"/>
            <w:r>
              <w:t xml:space="preserve"> e Build (PoC)</w:t>
            </w:r>
          </w:p>
        </w:tc>
        <w:tc>
          <w:tcPr>
            <w:tcW w:w="1752" w:type="pct"/>
            <w:tcMar>
              <w:top w:w="0" w:type="dxa"/>
              <w:left w:w="115" w:type="dxa"/>
              <w:bottom w:w="0" w:type="dxa"/>
              <w:right w:w="115" w:type="dxa"/>
            </w:tcMar>
            <w:vAlign w:val="bottom"/>
            <w:hideMark/>
          </w:tcPr>
          <w:p w14:paraId="74B83779" w14:textId="77777777" w:rsidR="00477C7B" w:rsidRDefault="00477C7B" w:rsidP="004C5E56">
            <w:pPr>
              <w:widowControl w:val="0"/>
              <w:adjustRightInd w:val="0"/>
              <w:snapToGrid w:val="0"/>
              <w:spacing w:after="0" w:line="240" w:lineRule="auto"/>
              <w:ind w:left="0"/>
            </w:pPr>
            <w:r>
              <w:rPr>
                <w:rFonts w:eastAsia="Times New Roman"/>
                <w:color w:val="1C212B"/>
                <w:shd w:val="clear" w:color="auto" w:fill="FFFFFF"/>
              </w:rPr>
              <w:t xml:space="preserve">Atividade: Configuração da Prova de Conceito em Sandbox — 1 oferta por linha de negócio, contemplando prateleira, carrinho (CPQ), validações e payload de decomposição de pedido (Order Management). Critério de aceite: PoC demonstrada e validada em Sandbox, com UAT aceito pelo Cliente. Desenvolvimento entregue em 8 semanas mediante uso de ferramentas de IA (ver Cláusula de Consentimento de IA).</w:t>
            </w:r>
            <w:proofErr w:type="spellStart"/>
            <w:proofErr w:type="spellEnd"/>
            <w:proofErr w:type="spellStart"/>
            <w:proofErr w:type="spellEnd"/>
            <w:proofErr w:type="spellStart"/>
            <w:proofErr w:type="spellEnd"/>
          </w:p>
        </w:tc>
        <w:tc>
          <w:tcPr>
            <w:tcW w:w="478" w:type="pct"/>
            <w:gridSpan w:val="2"/>
            <w:tcMar>
              <w:top w:w="0" w:type="dxa"/>
              <w:left w:w="115" w:type="dxa"/>
              <w:bottom w:w="0" w:type="dxa"/>
              <w:right w:w="115" w:type="dxa"/>
            </w:tcMar>
            <w:vAlign w:val="bottom"/>
            <w:hideMark/>
          </w:tcPr>
          <w:p w14:paraId="4105F294" w14:textId="67374E2F" w:rsidR="00477C7B" w:rsidRDefault="004C5E56" w:rsidP="004C5E56">
            <w:pPr>
              <w:pStyle w:val="NormalWeb"/>
              <w:widowControl w:val="0"/>
              <w:adjustRightInd w:val="0"/>
              <w:snapToGrid w:val="0"/>
              <w:spacing w:before="0" w:beforeAutospacing="0" w:after="0" w:afterAutospacing="0"/>
              <w:ind w:left="0"/>
              <w:jc w:val="center"/>
              <w:rPr>
                <w:rFonts w:ascii="Arial" w:hAnsi="Arial" w:cs="Arial"/>
                <w:sz w:val="20"/>
                <w:szCs w:val="20"/>
              </w:rPr>
            </w:pPr>
            <w:r>
              <w:rPr>
                <w:rFonts w:ascii="Arial" w:hAnsi="Arial" w:cs="Arial"/>
                <w:color w:val="000000"/>
                <w:sz w:val="20"/>
                <w:szCs w:val="20"/>
              </w:rPr>
              <w:t xml:space="preserve">5–8</w:t>
            </w:r>
          </w:p>
        </w:tc>
        <w:tc>
          <w:tcPr>
            <w:tcW w:w="848" w:type="pct"/>
            <w:tcMar>
              <w:top w:w="0" w:type="dxa"/>
              <w:left w:w="115" w:type="dxa"/>
              <w:bottom w:w="0" w:type="dxa"/>
              <w:right w:w="115" w:type="dxa"/>
            </w:tcMar>
            <w:vAlign w:val="bottom"/>
            <w:hideMark/>
          </w:tcPr>
          <w:p w14:paraId="27F7C799" w14:textId="755EAB49"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321.708,32</w:t>
            </w:r>
          </w:p>
        </w:tc>
        <w:tc>
          <w:tcPr>
            <w:tcW w:w="727" w:type="pct"/>
            <w:vAlign w:val="bottom"/>
          </w:tcPr>
          <w:p w14:paraId="16940E3A" w14:textId="65F09C82"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344.257,16</w:t>
            </w:r>
          </w:p>
        </w:tc>
      </w:tr>
      <w:tr w:rsidR="00477C7B" w14:paraId="495687DB" w14:textId="48F28F60" w:rsidTr="004C5E56">
        <w:trPr>
          <w:trHeight w:val="90"/>
        </w:trPr>
        <w:tc>
          <w:tcPr>
            <w:tcW w:w="153" w:type="pct"/>
            <w:noWrap/>
            <w:vAlign w:val="bottom"/>
          </w:tcPr>
          <w:p w14:paraId="1812E857" w14:textId="303DB0D8" w:rsidR="00477C7B" w:rsidRDefault="00477C7B" w:rsidP="004C5E56">
            <w:pPr>
              <w:ind w:left="0"/>
              <w:jc w:val="center"/>
            </w:pPr>
            <w:r>
              <w:t>4</w:t>
            </w:r>
          </w:p>
        </w:tc>
        <w:tc>
          <w:tcPr>
            <w:tcW w:w="1042" w:type="pct"/>
            <w:tcMar>
              <w:top w:w="0" w:type="dxa"/>
              <w:left w:w="115" w:type="dxa"/>
              <w:bottom w:w="0" w:type="dxa"/>
              <w:right w:w="115" w:type="dxa"/>
            </w:tcMar>
            <w:vAlign w:val="bottom"/>
          </w:tcPr>
          <w:p w14:paraId="28682288" w14:textId="5793B49A" w:rsidR="00477C7B" w:rsidRDefault="00B64536" w:rsidP="004C5E56">
            <w:pPr>
              <w:widowControl w:val="0"/>
              <w:adjustRightInd w:val="0"/>
              <w:snapToGrid w:val="0"/>
              <w:spacing w:after="0" w:line="240" w:lineRule="auto"/>
              <w:ind w:left="0"/>
            </w:pPr>
            <w:proofErr w:type="spellStart"/>
            <w:r>
              <w:t>Suporte</w:t>
            </w:r>
            <w:proofErr w:type="spellEnd"/>
            <w:r>
              <w:t xml:space="preserve"> UAT e </w:t>
            </w:r>
            <w:proofErr w:type="spellStart"/>
            <w:r w:rsidR="00477C7B" w:rsidRPr="00477C7B">
              <w:t>Transferência</w:t>
            </w:r>
            <w:proofErr w:type="spellEnd"/>
            <w:r w:rsidR="00477C7B" w:rsidRPr="00477C7B">
              <w:t xml:space="preserve"> de </w:t>
            </w:r>
            <w:proofErr w:type="spellStart"/>
            <w:r w:rsidR="00477C7B" w:rsidRPr="00477C7B">
              <w:t>Conhecimento</w:t>
            </w:r>
            <w:proofErr w:type="spellEnd"/>
          </w:p>
        </w:tc>
        <w:tc>
          <w:tcPr>
            <w:tcW w:w="1752" w:type="pct"/>
            <w:tcMar>
              <w:top w:w="0" w:type="dxa"/>
              <w:left w:w="115" w:type="dxa"/>
              <w:bottom w:w="0" w:type="dxa"/>
              <w:right w:w="115" w:type="dxa"/>
            </w:tcMar>
            <w:vAlign w:val="bottom"/>
          </w:tcPr>
          <w:p w14:paraId="3E01757A" w14:textId="30224220" w:rsidR="00477C7B" w:rsidRDefault="00477C7B" w:rsidP="004C5E56">
            <w:pPr>
              <w:widowControl w:val="0"/>
              <w:adjustRightInd w:val="0"/>
              <w:snapToGrid w:val="0"/>
              <w:spacing w:after="0" w:line="240" w:lineRule="auto"/>
              <w:ind w:left="0"/>
              <w:rPr>
                <w:rFonts w:eastAsia="Times New Roman"/>
                <w:color w:val="1C212B"/>
                <w:shd w:val="clear" w:color="auto" w:fill="FFFFFF"/>
              </w:rPr>
            </w:pPr>
            <w:r>
              <w:rPr>
                <w:rFonts w:eastAsia="Times New Roman"/>
                <w:color w:val="1C212B"/>
                <w:shd w:val="clear" w:color="auto" w:fill="FFFFFF"/>
              </w:rPr>
              <w:t xml:space="preserve">Atividade: Acompanhamento do UAT do Cliente, workshops de transferência de conhecimento (TI e Negócio) e consolidação do Relatório Final. Critério de aceite: Conclusão dos workshops de KT e entrega e aceite do Relatório Final do projeto.</w:t>
            </w:r>
            <w:proofErr w:type="spellStart"/>
            <w:proofErr w:type="spellEnd"/>
            <w:proofErr w:type="spellStart"/>
            <w:proofErr w:type="spellEnd"/>
            <w:proofErr w:type="spellStart"/>
            <w:proofErr w:type="spellEnd"/>
          </w:p>
        </w:tc>
        <w:tc>
          <w:tcPr>
            <w:tcW w:w="478" w:type="pct"/>
            <w:gridSpan w:val="2"/>
            <w:tcMar>
              <w:top w:w="0" w:type="dxa"/>
              <w:left w:w="115" w:type="dxa"/>
              <w:bottom w:w="0" w:type="dxa"/>
              <w:right w:w="115" w:type="dxa"/>
            </w:tcMar>
            <w:vAlign w:val="bottom"/>
          </w:tcPr>
          <w:p w14:paraId="59049A64" w14:textId="2BBD3B9F" w:rsidR="00477C7B" w:rsidRDefault="004C5E56" w:rsidP="004C5E56">
            <w:pPr>
              <w:pStyle w:val="NormalWeb"/>
              <w:ind w:left="0"/>
              <w:jc w:val="center"/>
              <w:rPr>
                <w:color w:val="000000"/>
                <w:sz w:val="20"/>
                <w:szCs w:val="20"/>
              </w:rPr>
            </w:pPr>
            <w:r>
              <w:rPr>
                <w:rFonts w:ascii="Arial" w:hAnsi="Arial" w:cs="Arial"/>
                <w:color w:val="000000"/>
                <w:sz w:val="20"/>
                <w:szCs w:val="20"/>
              </w:rPr>
              <w:t xml:space="preserve">9–12</w:t>
            </w:r>
          </w:p>
        </w:tc>
        <w:tc>
          <w:tcPr>
            <w:tcW w:w="848" w:type="pct"/>
            <w:tcMar>
              <w:top w:w="0" w:type="dxa"/>
              <w:left w:w="115" w:type="dxa"/>
              <w:bottom w:w="0" w:type="dxa"/>
              <w:right w:w="115" w:type="dxa"/>
            </w:tcMar>
            <w:vAlign w:val="bottom"/>
          </w:tcPr>
          <w:p w14:paraId="20A3DCB3" w14:textId="2D9E2E13" w:rsidR="00477C7B" w:rsidRPr="00477C7B" w:rsidRDefault="00477C7B" w:rsidP="004C5E56">
            <w:pPr>
              <w:pStyle w:val="NormalWeb"/>
              <w:widowControl w:val="0"/>
              <w:adjustRightInd w:val="0"/>
              <w:snapToGrid w:val="0"/>
              <w:spacing w:before="0" w:beforeAutospacing="0" w:after="0" w:afterAutospacing="0"/>
              <w:ind w:left="-25" w:firstLine="86"/>
              <w:jc w:val="center"/>
              <w:rPr>
                <w:rFonts w:ascii="Arial" w:hAnsi="Arial" w:cs="Arial"/>
                <w:color w:val="000000"/>
                <w:sz w:val="20"/>
                <w:szCs w:val="20"/>
              </w:rPr>
            </w:pPr>
            <w:r w:rsidRPr="00477C7B">
              <w:rPr>
                <w:rFonts w:ascii="Arial" w:hAnsi="Arial" w:cs="Arial"/>
                <w:color w:val="000000"/>
                <w:sz w:val="20"/>
                <w:szCs w:val="20"/>
              </w:rPr>
              <w:t>R$    107.236,11</w:t>
            </w:r>
          </w:p>
        </w:tc>
        <w:tc>
          <w:tcPr>
            <w:tcW w:w="727" w:type="pct"/>
            <w:vAlign w:val="bottom"/>
          </w:tcPr>
          <w:p w14:paraId="1C733A95" w14:textId="57CAB575" w:rsidR="00477C7B" w:rsidRPr="00477C7B" w:rsidRDefault="00477C7B" w:rsidP="004C5E56">
            <w:pPr>
              <w:widowControl w:val="0"/>
              <w:adjustRightInd w:val="0"/>
              <w:snapToGrid w:val="0"/>
              <w:spacing w:after="0"/>
              <w:ind w:left="-25" w:firstLine="86"/>
              <w:jc w:val="center"/>
              <w:rPr>
                <w:rFonts w:eastAsia="Times New Roman"/>
                <w:color w:val="000000"/>
                <w:sz w:val="20"/>
                <w:szCs w:val="20"/>
              </w:rPr>
            </w:pPr>
            <w:r w:rsidRPr="00477C7B">
              <w:rPr>
                <w:rFonts w:eastAsia="Times New Roman"/>
                <w:color w:val="000000"/>
                <w:sz w:val="20"/>
                <w:szCs w:val="20"/>
              </w:rPr>
              <w:t>R$    114.752,39</w:t>
            </w:r>
          </w:p>
        </w:tc>
      </w:tr>
      <w:tr w:rsidR="00477C7B" w:rsidRPr="00477C7B" w14:paraId="26864EF1" w14:textId="0B9B1E67" w:rsidTr="004C5E56">
        <w:trPr>
          <w:trHeight w:val="494"/>
        </w:trPr>
        <w:tc>
          <w:tcPr>
            <w:tcW w:w="153" w:type="pct"/>
            <w:shd w:val="clear" w:color="auto" w:fill="1F4C78"/>
            <w:noWrap/>
            <w:vAlign w:val="bottom"/>
          </w:tcPr>
          <w:p w14:paraId="0A17A4B8" w14:textId="77777777" w:rsidR="00477C7B" w:rsidRDefault="00477C7B" w:rsidP="004C5E56">
            <w:pPr>
              <w:pStyle w:val="NormalWeb"/>
              <w:widowControl w:val="0"/>
              <w:adjustRightInd w:val="0"/>
              <w:snapToGrid w:val="0"/>
              <w:spacing w:before="0" w:beforeAutospacing="0" w:after="0" w:afterAutospacing="0"/>
              <w:jc w:val="center"/>
              <w:rPr>
                <w:rFonts w:ascii="Arial" w:hAnsi="Arial" w:cs="Arial"/>
                <w:b/>
                <w:color w:val="FFFFFF" w:themeColor="background1"/>
                <w:sz w:val="18"/>
                <w:szCs w:val="20"/>
              </w:rPr>
            </w:pPr>
          </w:p>
        </w:tc>
        <w:tc>
          <w:tcPr>
            <w:tcW w:w="2794" w:type="pct"/>
            <w:gridSpan w:val="2"/>
            <w:shd w:val="clear" w:color="auto" w:fill="1F4C78"/>
            <w:tcMar>
              <w:top w:w="0" w:type="dxa"/>
              <w:left w:w="115" w:type="dxa"/>
              <w:bottom w:w="0" w:type="dxa"/>
              <w:right w:w="115" w:type="dxa"/>
            </w:tcMar>
            <w:vAlign w:val="bottom"/>
            <w:hideMark/>
          </w:tcPr>
          <w:p w14:paraId="4816DA8B" w14:textId="77777777" w:rsidR="00477C7B" w:rsidRDefault="00477C7B" w:rsidP="004C5E56">
            <w:pPr>
              <w:pStyle w:val="NormalWeb"/>
              <w:widowControl w:val="0"/>
              <w:adjustRightInd w:val="0"/>
              <w:snapToGrid w:val="0"/>
              <w:spacing w:before="0" w:beforeAutospacing="0" w:after="0" w:afterAutospacing="0"/>
              <w:ind w:left="-111" w:firstLine="81"/>
              <w:jc w:val="right"/>
              <w:rPr>
                <w:color w:val="FFFFFF" w:themeColor="background1"/>
                <w:sz w:val="18"/>
                <w:szCs w:val="20"/>
                <w:lang w:val="pt-BR"/>
              </w:rPr>
            </w:pPr>
            <w:r>
              <w:rPr>
                <w:rFonts w:ascii="Arial" w:hAnsi="Arial" w:cs="Arial"/>
                <w:b/>
                <w:color w:val="FFFFFF" w:themeColor="background1"/>
                <w:sz w:val="18"/>
                <w:szCs w:val="18"/>
                <w:lang w:val="pt-BR"/>
              </w:rPr>
              <w:t>Honorários Totais dos Serviços Profissionais</w:t>
            </w:r>
          </w:p>
        </w:tc>
        <w:tc>
          <w:tcPr>
            <w:tcW w:w="471" w:type="pct"/>
            <w:shd w:val="clear" w:color="auto" w:fill="1F4C78"/>
            <w:tcMar>
              <w:top w:w="0" w:type="dxa"/>
              <w:left w:w="115" w:type="dxa"/>
              <w:bottom w:w="0" w:type="dxa"/>
              <w:right w:w="115" w:type="dxa"/>
            </w:tcMar>
            <w:vAlign w:val="bottom"/>
            <w:hideMark/>
          </w:tcPr>
          <w:p w14:paraId="6BAA65E6" w14:textId="2BAAB3CF" w:rsidR="00477C7B" w:rsidRDefault="00477C7B" w:rsidP="004C5E56">
            <w:pPr>
              <w:pStyle w:val="NormalWeb"/>
              <w:widowControl w:val="0"/>
              <w:adjustRightInd w:val="0"/>
              <w:snapToGrid w:val="0"/>
              <w:spacing w:before="0" w:beforeAutospacing="0" w:after="0" w:afterAutospacing="0"/>
              <w:ind w:left="-25" w:hanging="4"/>
              <w:jc w:val="center"/>
              <w:rPr>
                <w:color w:val="FFFFFF" w:themeColor="background1"/>
                <w:sz w:val="18"/>
                <w:szCs w:val="20"/>
              </w:rPr>
            </w:pPr>
          </w:p>
        </w:tc>
        <w:tc>
          <w:tcPr>
            <w:tcW w:w="855" w:type="pct"/>
            <w:gridSpan w:val="2"/>
            <w:shd w:val="clear" w:color="auto" w:fill="1F4C78"/>
            <w:vAlign w:val="bottom"/>
          </w:tcPr>
          <w:p w14:paraId="2FCAED13" w14:textId="34A1A5AD" w:rsidR="00477C7B" w:rsidRDefault="00477C7B" w:rsidP="00B64536">
            <w:pPr>
              <w:pStyle w:val="NormalWeb"/>
              <w:widowControl w:val="0"/>
              <w:adjustRightInd w:val="0"/>
              <w:snapToGrid w:val="0"/>
              <w:spacing w:before="0" w:beforeAutospacing="0" w:after="0" w:afterAutospacing="0"/>
              <w:ind w:left="0"/>
              <w:jc w:val="center"/>
              <w:rPr>
                <w:color w:val="FFFFFF" w:themeColor="background1"/>
                <w:sz w:val="18"/>
                <w:szCs w:val="20"/>
              </w:rPr>
            </w:pPr>
            <w:r>
              <w:rPr>
                <w:rFonts w:ascii="Arial" w:hAnsi="Arial" w:cs="Arial"/>
                <w:b/>
                <w:color w:val="FFFFFF" w:themeColor="background1"/>
                <w:sz w:val="18"/>
                <w:szCs w:val="20"/>
              </w:rPr>
              <w:t>R$ 643.416,64</w:t>
            </w:r>
          </w:p>
        </w:tc>
        <w:tc>
          <w:tcPr>
            <w:tcW w:w="727" w:type="pct"/>
            <w:shd w:val="clear" w:color="auto" w:fill="1F4C78"/>
            <w:vAlign w:val="bottom"/>
          </w:tcPr>
          <w:p w14:paraId="58EA18B4" w14:textId="13EE1375" w:rsidR="00477C7B" w:rsidRDefault="00477C7B" w:rsidP="004C5E56">
            <w:pPr>
              <w:pStyle w:val="NormalWeb"/>
              <w:widowControl w:val="0"/>
              <w:adjustRightInd w:val="0"/>
              <w:snapToGrid w:val="0"/>
              <w:spacing w:before="0" w:beforeAutospacing="0" w:after="0" w:afterAutospacing="0"/>
              <w:ind w:left="0"/>
              <w:jc w:val="center"/>
              <w:rPr>
                <w:rFonts w:ascii="Arial" w:hAnsi="Arial" w:cs="Arial"/>
                <w:b/>
                <w:color w:val="FFFFFF" w:themeColor="background1"/>
                <w:sz w:val="18"/>
                <w:szCs w:val="20"/>
              </w:rPr>
            </w:pPr>
            <w:r w:rsidRPr="00477C7B">
              <w:rPr>
                <w:rFonts w:ascii="Arial" w:hAnsi="Arial" w:cs="Arial"/>
                <w:b/>
                <w:color w:val="FFFFFF" w:themeColor="background1"/>
                <w:sz w:val="18"/>
                <w:szCs w:val="20"/>
              </w:rPr>
              <w:t>R</w:t>
            </w:r>
            <w:r>
              <w:rPr>
                <w:rFonts w:ascii="Arial" w:hAnsi="Arial" w:cs="Arial"/>
                <w:b/>
                <w:color w:val="FFFFFF" w:themeColor="background1"/>
                <w:sz w:val="18"/>
                <w:szCs w:val="20"/>
              </w:rPr>
              <w:t xml:space="preserve">$ </w:t>
            </w:r>
            <w:r w:rsidRPr="00477C7B">
              <w:rPr>
                <w:rFonts w:ascii="Arial" w:hAnsi="Arial" w:cs="Arial"/>
                <w:b/>
                <w:color w:val="FFFFFF" w:themeColor="background1"/>
                <w:sz w:val="18"/>
                <w:szCs w:val="20"/>
              </w:rPr>
              <w:t>688.514,33</w:t>
            </w:r>
          </w:p>
        </w:tc>
      </w:tr>
      <w:tr w:rsidR="004C5E56" w14:paraId="30D06359" w14:textId="27C28F94" w:rsidTr="004C5E56">
        <w:trPr>
          <w:trHeight w:val="107"/>
        </w:trPr>
        <w:tc>
          <w:tcPr>
            <w:tcW w:w="153" w:type="pct"/>
            <w:noWrap/>
            <w:vAlign w:val="bottom"/>
          </w:tcPr>
          <w:p w14:paraId="16F5BEEE"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color w:val="000000"/>
                <w:sz w:val="20"/>
                <w:szCs w:val="20"/>
              </w:rPr>
            </w:pPr>
          </w:p>
        </w:tc>
        <w:tc>
          <w:tcPr>
            <w:tcW w:w="2794" w:type="pct"/>
            <w:gridSpan w:val="2"/>
            <w:tcMar>
              <w:top w:w="0" w:type="dxa"/>
              <w:left w:w="115" w:type="dxa"/>
              <w:bottom w:w="0" w:type="dxa"/>
              <w:right w:w="115" w:type="dxa"/>
            </w:tcMar>
            <w:vAlign w:val="bottom"/>
            <w:hideMark/>
          </w:tcPr>
          <w:p w14:paraId="6CAA7FCF" w14:textId="77777777" w:rsidR="004C5E56" w:rsidRDefault="004C5E56" w:rsidP="004C5E56">
            <w:pPr>
              <w:pStyle w:val="NormalWeb"/>
              <w:widowControl w:val="0"/>
              <w:adjustRightInd w:val="0"/>
              <w:snapToGrid w:val="0"/>
              <w:spacing w:before="0" w:beforeAutospacing="0" w:after="0" w:afterAutospacing="0"/>
              <w:ind w:left="-111"/>
              <w:jc w:val="right"/>
              <w:rPr>
                <w:sz w:val="20"/>
                <w:szCs w:val="20"/>
                <w:lang w:val="pt-BR"/>
              </w:rPr>
            </w:pPr>
            <w:r>
              <w:rPr>
                <w:rFonts w:ascii="Arial" w:hAnsi="Arial" w:cs="Arial"/>
                <w:color w:val="000000"/>
                <w:sz w:val="18"/>
                <w:szCs w:val="18"/>
                <w:lang w:val="pt-BR"/>
              </w:rPr>
              <w:t>Alíquota de Impostos na Data de Vigência </w:t>
            </w:r>
          </w:p>
        </w:tc>
        <w:tc>
          <w:tcPr>
            <w:tcW w:w="2053" w:type="pct"/>
            <w:gridSpan w:val="4"/>
            <w:tcMar>
              <w:top w:w="0" w:type="dxa"/>
              <w:left w:w="115" w:type="dxa"/>
              <w:bottom w:w="0" w:type="dxa"/>
              <w:right w:w="115" w:type="dxa"/>
            </w:tcMar>
            <w:vAlign w:val="bottom"/>
            <w:hideMark/>
          </w:tcPr>
          <w:p w14:paraId="6E0AE09A" w14:textId="5815C02F"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6,55</w:t>
            </w:r>
          </w:p>
        </w:tc>
      </w:tr>
      <w:tr w:rsidR="004C5E56" w14:paraId="73B2250F" w14:textId="32576ADC" w:rsidTr="004C5E56">
        <w:trPr>
          <w:trHeight w:val="107"/>
        </w:trPr>
        <w:tc>
          <w:tcPr>
            <w:tcW w:w="153" w:type="pct"/>
            <w:noWrap/>
            <w:vAlign w:val="bottom"/>
          </w:tcPr>
          <w:p w14:paraId="71C713A3"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color w:val="000000"/>
                <w:sz w:val="20"/>
                <w:szCs w:val="20"/>
              </w:rPr>
            </w:pPr>
          </w:p>
        </w:tc>
        <w:tc>
          <w:tcPr>
            <w:tcW w:w="2794" w:type="pct"/>
            <w:gridSpan w:val="2"/>
            <w:tcMar>
              <w:top w:w="0" w:type="dxa"/>
              <w:left w:w="115" w:type="dxa"/>
              <w:bottom w:w="0" w:type="dxa"/>
              <w:right w:w="115" w:type="dxa"/>
            </w:tcMar>
            <w:vAlign w:val="bottom"/>
            <w:hideMark/>
          </w:tcPr>
          <w:p w14:paraId="7D493AB7" w14:textId="77777777" w:rsidR="004C5E56" w:rsidRDefault="004C5E56" w:rsidP="004C5E56">
            <w:pPr>
              <w:pStyle w:val="NormalWeb"/>
              <w:widowControl w:val="0"/>
              <w:adjustRightInd w:val="0"/>
              <w:snapToGrid w:val="0"/>
              <w:spacing w:before="0" w:beforeAutospacing="0" w:after="0" w:afterAutospacing="0"/>
              <w:ind w:left="-111"/>
              <w:jc w:val="right"/>
              <w:rPr>
                <w:sz w:val="20"/>
                <w:szCs w:val="20"/>
              </w:rPr>
            </w:pPr>
            <w:r>
              <w:rPr>
                <w:rFonts w:ascii="Arial" w:hAnsi="Arial" w:cs="Arial"/>
                <w:color w:val="000000"/>
                <w:sz w:val="18"/>
                <w:szCs w:val="18"/>
              </w:rPr>
              <w:t>Impostos Estimados</w:t>
            </w:r>
          </w:p>
        </w:tc>
        <w:tc>
          <w:tcPr>
            <w:tcW w:w="2053" w:type="pct"/>
            <w:gridSpan w:val="4"/>
            <w:tcMar>
              <w:top w:w="0" w:type="dxa"/>
              <w:left w:w="115" w:type="dxa"/>
              <w:bottom w:w="0" w:type="dxa"/>
              <w:right w:w="115" w:type="dxa"/>
            </w:tcMar>
            <w:vAlign w:val="bottom"/>
            <w:hideMark/>
          </w:tcPr>
          <w:p w14:paraId="5EAB3796" w14:textId="61B611DD"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R$ 45</w:t>
            </w:r>
            <w:r w:rsidR="00543B62">
              <w:rPr>
                <w:rFonts w:ascii="Arial" w:hAnsi="Arial" w:cs="Arial"/>
                <w:color w:val="000000"/>
                <w:sz w:val="20"/>
                <w:szCs w:val="20"/>
              </w:rPr>
              <w:t>.</w:t>
            </w:r>
            <w:r>
              <w:rPr>
                <w:rFonts w:ascii="Arial" w:hAnsi="Arial" w:cs="Arial"/>
                <w:color w:val="000000"/>
                <w:sz w:val="20"/>
                <w:szCs w:val="20"/>
              </w:rPr>
              <w:t>097</w:t>
            </w:r>
            <w:r w:rsidR="00543B62">
              <w:rPr>
                <w:rFonts w:ascii="Arial" w:hAnsi="Arial" w:cs="Arial"/>
                <w:color w:val="000000"/>
                <w:sz w:val="20"/>
                <w:szCs w:val="20"/>
              </w:rPr>
              <w:t>,</w:t>
            </w:r>
            <w:r>
              <w:rPr>
                <w:rFonts w:ascii="Arial" w:hAnsi="Arial" w:cs="Arial"/>
                <w:color w:val="000000"/>
                <w:sz w:val="20"/>
                <w:szCs w:val="20"/>
              </w:rPr>
              <w:t>6</w:t>
            </w:r>
            <w:r w:rsidR="00543B62">
              <w:rPr>
                <w:rFonts w:ascii="Arial" w:hAnsi="Arial" w:cs="Arial"/>
                <w:color w:val="000000"/>
                <w:sz w:val="20"/>
                <w:szCs w:val="20"/>
              </w:rPr>
              <w:t>9</w:t>
            </w:r>
          </w:p>
        </w:tc>
      </w:tr>
      <w:tr w:rsidR="004C5E56" w14:paraId="382DD80E" w14:textId="69806223" w:rsidTr="004C5E56">
        <w:trPr>
          <w:trHeight w:val="98"/>
        </w:trPr>
        <w:tc>
          <w:tcPr>
            <w:tcW w:w="153" w:type="pct"/>
            <w:noWrap/>
            <w:vAlign w:val="bottom"/>
          </w:tcPr>
          <w:p w14:paraId="2A37F377"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color w:val="000000"/>
                <w:sz w:val="20"/>
                <w:szCs w:val="20"/>
              </w:rPr>
            </w:pPr>
          </w:p>
        </w:tc>
        <w:tc>
          <w:tcPr>
            <w:tcW w:w="2794" w:type="pct"/>
            <w:gridSpan w:val="2"/>
            <w:tcMar>
              <w:top w:w="0" w:type="dxa"/>
              <w:left w:w="115" w:type="dxa"/>
              <w:bottom w:w="0" w:type="dxa"/>
              <w:right w:w="115" w:type="dxa"/>
            </w:tcMar>
            <w:vAlign w:val="bottom"/>
            <w:hideMark/>
          </w:tcPr>
          <w:p w14:paraId="3F83E416" w14:textId="77777777" w:rsidR="004C5E56" w:rsidRDefault="004C5E56" w:rsidP="004C5E56">
            <w:pPr>
              <w:pStyle w:val="NormalWeb"/>
              <w:widowControl w:val="0"/>
              <w:adjustRightInd w:val="0"/>
              <w:snapToGrid w:val="0"/>
              <w:spacing w:before="0" w:beforeAutospacing="0" w:after="0" w:afterAutospacing="0"/>
              <w:ind w:left="-111" w:firstLine="25"/>
              <w:jc w:val="right"/>
              <w:rPr>
                <w:sz w:val="20"/>
                <w:szCs w:val="20"/>
              </w:rPr>
            </w:pPr>
            <w:r>
              <w:rPr>
                <w:rFonts w:ascii="Arial" w:hAnsi="Arial" w:cs="Arial"/>
                <w:color w:val="000000"/>
                <w:sz w:val="18"/>
                <w:szCs w:val="18"/>
              </w:rPr>
              <w:t>T&amp;E Estimadas</w:t>
            </w:r>
          </w:p>
        </w:tc>
        <w:tc>
          <w:tcPr>
            <w:tcW w:w="2053" w:type="pct"/>
            <w:gridSpan w:val="4"/>
            <w:tcMar>
              <w:top w:w="0" w:type="dxa"/>
              <w:left w:w="115" w:type="dxa"/>
              <w:bottom w:w="0" w:type="dxa"/>
              <w:right w:w="115" w:type="dxa"/>
            </w:tcMar>
            <w:vAlign w:val="bottom"/>
            <w:hideMark/>
          </w:tcPr>
          <w:p w14:paraId="7D41C116" w14:textId="11D0257D"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R$ 0,00</w:t>
            </w:r>
          </w:p>
        </w:tc>
      </w:tr>
      <w:tr w:rsidR="004C5E56" w14:paraId="51DF457E" w14:textId="5E996A2B" w:rsidTr="004C5E56">
        <w:trPr>
          <w:trHeight w:val="52"/>
        </w:trPr>
        <w:tc>
          <w:tcPr>
            <w:tcW w:w="153" w:type="pct"/>
            <w:noWrap/>
            <w:vAlign w:val="bottom"/>
          </w:tcPr>
          <w:p w14:paraId="3086C540" w14:textId="77777777" w:rsidR="004C5E56" w:rsidRDefault="004C5E56" w:rsidP="004C5E56">
            <w:pPr>
              <w:pStyle w:val="NormalWeb"/>
              <w:widowControl w:val="0"/>
              <w:adjustRightInd w:val="0"/>
              <w:snapToGrid w:val="0"/>
              <w:spacing w:before="0" w:beforeAutospacing="0" w:after="0" w:afterAutospacing="0"/>
              <w:jc w:val="center"/>
              <w:rPr>
                <w:rFonts w:ascii="Arial" w:hAnsi="Arial" w:cs="Arial"/>
                <w:b/>
                <w:color w:val="000000"/>
                <w:sz w:val="20"/>
                <w:szCs w:val="20"/>
              </w:rPr>
            </w:pPr>
          </w:p>
        </w:tc>
        <w:tc>
          <w:tcPr>
            <w:tcW w:w="2794" w:type="pct"/>
            <w:gridSpan w:val="2"/>
            <w:tcMar>
              <w:top w:w="0" w:type="dxa"/>
              <w:left w:w="115" w:type="dxa"/>
              <w:bottom w:w="0" w:type="dxa"/>
              <w:right w:w="115" w:type="dxa"/>
            </w:tcMar>
            <w:vAlign w:val="bottom"/>
            <w:hideMark/>
          </w:tcPr>
          <w:p w14:paraId="3D49E94A" w14:textId="77777777" w:rsidR="004C5E56" w:rsidRDefault="004C5E56" w:rsidP="004C5E56">
            <w:pPr>
              <w:pStyle w:val="NormalWeb"/>
              <w:widowControl w:val="0"/>
              <w:adjustRightInd w:val="0"/>
              <w:snapToGrid w:val="0"/>
              <w:spacing w:before="0" w:beforeAutospacing="0" w:after="0" w:afterAutospacing="0"/>
              <w:ind w:left="-111"/>
              <w:jc w:val="right"/>
              <w:rPr>
                <w:sz w:val="20"/>
                <w:szCs w:val="20"/>
                <w:lang w:val="pt-BR"/>
              </w:rPr>
            </w:pPr>
            <w:r>
              <w:rPr>
                <w:rFonts w:ascii="Arial" w:hAnsi="Arial" w:cs="Arial"/>
                <w:b/>
                <w:color w:val="000000"/>
                <w:sz w:val="18"/>
                <w:szCs w:val="18"/>
                <w:lang w:val="pt-BR"/>
              </w:rPr>
              <w:t>Total estimado</w:t>
            </w:r>
            <w:r>
              <w:rPr>
                <w:rFonts w:ascii="Arial" w:hAnsi="Arial" w:cs="Arial"/>
                <w:color w:val="000000"/>
                <w:sz w:val="18"/>
                <w:szCs w:val="18"/>
                <w:lang w:val="pt-BR"/>
              </w:rPr>
              <w:t xml:space="preserve"> (Honorários, Impostos e T&amp;E)</w:t>
            </w:r>
          </w:p>
        </w:tc>
        <w:tc>
          <w:tcPr>
            <w:tcW w:w="2053" w:type="pct"/>
            <w:gridSpan w:val="4"/>
            <w:tcMar>
              <w:top w:w="0" w:type="dxa"/>
              <w:left w:w="115" w:type="dxa"/>
              <w:bottom w:w="0" w:type="dxa"/>
              <w:right w:w="115" w:type="dxa"/>
            </w:tcMar>
            <w:vAlign w:val="bottom"/>
            <w:hideMark/>
          </w:tcPr>
          <w:p w14:paraId="3E8AD328" w14:textId="522185B9" w:rsidR="004C5E56" w:rsidRDefault="004C5E56" w:rsidP="004C5E56">
            <w:pPr>
              <w:pStyle w:val="NormalWeb"/>
              <w:widowControl w:val="0"/>
              <w:adjustRightInd w:val="0"/>
              <w:snapToGrid w:val="0"/>
              <w:spacing w:before="0" w:beforeAutospacing="0" w:after="0" w:afterAutospacing="0"/>
              <w:ind w:left="0"/>
              <w:rPr>
                <w:rFonts w:ascii="Arial" w:hAnsi="Arial" w:cs="Arial"/>
                <w:color w:val="000000"/>
                <w:sz w:val="20"/>
                <w:szCs w:val="20"/>
              </w:rPr>
            </w:pPr>
            <w:r>
              <w:rPr>
                <w:rFonts w:ascii="Arial" w:hAnsi="Arial" w:cs="Arial"/>
                <w:color w:val="000000"/>
                <w:sz w:val="20"/>
                <w:szCs w:val="20"/>
              </w:rPr>
              <w:t>R$ 688,514.33</w:t>
            </w:r>
          </w:p>
        </w:tc>
      </w:tr>
    </w:tbl>
    <w:p w14:paraId="05994220" w14:textId="77777777" w:rsidR="00211257" w:rsidRDefault="00000000">
      <w:pPr>
        <w:pStyle w:val="Ttulo2"/>
        <w:jc w:val="left"/>
        <w:rPr>
          <w:lang w:val="pt-BR"/>
        </w:rPr>
      </w:pPr>
      <w:r>
        <w:rPr>
          <w:lang w:val="pt-BR"/>
        </w:rPr>
        <w:lastRenderedPageBreak/>
        <w:t>Requerimentos de Viagens e Despesas (T&amp;E)</w:t>
      </w:r>
    </w:p>
    <w:p w14:paraId="10639191" w14:textId="77777777" w:rsidR="002B2190" w:rsidRDefault="00000000" w:rsidP="00FF7FAD">
      <w:pPr>
        <w:rPr>
          <w:lang w:val="pt-BR"/>
        </w:rPr>
      </w:pPr>
      <w:r>
        <w:rPr>
          <w:lang w:val="pt-BR"/>
        </w:rPr>
        <w:t xml:space="preserve">As </w:t>
      </w:r>
      <w:proofErr w:type="spellStart"/>
      <w:r>
        <w:rPr>
          <w:lang w:val="pt-BR"/>
        </w:rPr>
        <w:t>T&amp;Es</w:t>
      </w:r>
      <w:proofErr w:type="spellEnd"/>
      <w:r>
        <w:rPr>
          <w:lang w:val="pt-BR"/>
        </w:rPr>
        <w:t xml:space="preserve"> </w:t>
      </w:r>
      <w:r w:rsidR="00543B62">
        <w:rPr>
          <w:lang w:val="pt-BR"/>
        </w:rPr>
        <w:t xml:space="preserve">não </w:t>
      </w:r>
      <w:r>
        <w:rPr>
          <w:lang w:val="pt-BR"/>
        </w:rPr>
        <w:t xml:space="preserve">estão atualmente estimadas </w:t>
      </w:r>
      <w:r w:rsidR="00AD5281">
        <w:rPr>
          <w:lang w:val="pt-BR"/>
        </w:rPr>
        <w:t>e, portanto,</w:t>
      </w:r>
      <w:r w:rsidR="00543B62">
        <w:rPr>
          <w:lang w:val="pt-BR"/>
        </w:rPr>
        <w:t xml:space="preserve"> </w:t>
      </w:r>
      <w:r>
        <w:rPr>
          <w:lang w:val="pt-BR"/>
        </w:rPr>
        <w:t xml:space="preserve">não estão incluídas nos honorários de Serviços Profissionais estabelecidos nesta SOW. </w:t>
      </w:r>
    </w:p>
    <w:p w14:paraId="53F6717F" w14:textId="593BADDE" w:rsidR="00FF7FAD" w:rsidRPr="00FF7FAD" w:rsidRDefault="00FF7FAD" w:rsidP="00FF7FAD">
      <w:pPr>
        <w:rPr>
          <w:lang w:val="pt-BR"/>
        </w:rPr>
      </w:pPr>
      <w:r w:rsidRPr="00FF7FAD">
        <w:rPr>
          <w:lang w:val="pt-BR"/>
        </w:rPr>
        <w:t xml:space="preserve">Embora este projeto tenha como premissa principal a execução remota, a SFDC e o Cliente </w:t>
      </w:r>
      <w:r w:rsidR="00AD5281" w:rsidRPr="00FF7FAD">
        <w:rPr>
          <w:lang w:val="pt-BR"/>
        </w:rPr>
        <w:t>reconhecem</w:t>
      </w:r>
      <w:r w:rsidRPr="00FF7FAD">
        <w:rPr>
          <w:lang w:val="pt-BR"/>
        </w:rPr>
        <w:t xml:space="preserve"> a importância de momentos presenciais para determinadas atividades críticas ao sucesso do projeto</w:t>
      </w:r>
      <w:r w:rsidR="002B2190">
        <w:rPr>
          <w:lang w:val="pt-BR"/>
        </w:rPr>
        <w:t xml:space="preserve"> como: </w:t>
      </w:r>
      <w:r w:rsidRPr="00FF7FAD">
        <w:rPr>
          <w:lang w:val="pt-BR"/>
        </w:rPr>
        <w:t xml:space="preserve">workshops de descoberta, PI Planning, refinamento de HDU, sessões de alinhamento estratégico, validação de entregas e atividades de capacitação técnica. Não são consideradas atividades </w:t>
      </w:r>
      <w:proofErr w:type="spellStart"/>
      <w:r w:rsidRPr="00FF7FAD">
        <w:rPr>
          <w:lang w:val="pt-BR"/>
        </w:rPr>
        <w:t>critícas</w:t>
      </w:r>
      <w:proofErr w:type="spellEnd"/>
      <w:r w:rsidRPr="00FF7FAD">
        <w:rPr>
          <w:lang w:val="pt-BR"/>
        </w:rPr>
        <w:t>: desenvolvimento, acompanhamento de testes e sustentação.</w:t>
      </w:r>
    </w:p>
    <w:p w14:paraId="5EA59827" w14:textId="2D6EE9A8" w:rsidR="00FF7FAD" w:rsidRPr="00FF7FAD" w:rsidRDefault="00FF7FAD" w:rsidP="00FF7FAD">
      <w:pPr>
        <w:rPr>
          <w:lang w:val="pt-BR"/>
        </w:rPr>
      </w:pPr>
      <w:r w:rsidRPr="00FF7FAD">
        <w:rPr>
          <w:lang w:val="pt-BR"/>
        </w:rPr>
        <w:t>A utilização desta capacidade será acompanhada pela Gestão do Projeto SFDC</w:t>
      </w:r>
      <w:r w:rsidR="002B2190">
        <w:rPr>
          <w:lang w:val="pt-BR"/>
        </w:rPr>
        <w:t xml:space="preserve"> e os </w:t>
      </w:r>
      <w:r w:rsidRPr="00FF7FAD">
        <w:rPr>
          <w:lang w:val="pt-BR"/>
        </w:rPr>
        <w:t xml:space="preserve">critérios de criticidade devem ser respeitados pelo Cliente e, caso </w:t>
      </w:r>
      <w:r w:rsidR="002B2190">
        <w:rPr>
          <w:lang w:val="pt-BR"/>
        </w:rPr>
        <w:t>contrário</w:t>
      </w:r>
      <w:r w:rsidRPr="00FF7FAD">
        <w:rPr>
          <w:lang w:val="pt-BR"/>
        </w:rPr>
        <w:t xml:space="preserve">, as </w:t>
      </w:r>
      <w:proofErr w:type="spellStart"/>
      <w:r w:rsidRPr="00FF7FAD">
        <w:rPr>
          <w:lang w:val="pt-BR"/>
        </w:rPr>
        <w:t>T&amp;Es</w:t>
      </w:r>
      <w:proofErr w:type="spellEnd"/>
      <w:r w:rsidRPr="00FF7FAD">
        <w:rPr>
          <w:lang w:val="pt-BR"/>
        </w:rPr>
        <w:t xml:space="preserve"> serão faturadas separadamente e reembolsadas pelo Cliente de acordo com a política de Viagens e Despesas da </w:t>
      </w:r>
      <w:proofErr w:type="spellStart"/>
      <w:r w:rsidRPr="00FF7FAD">
        <w:rPr>
          <w:lang w:val="pt-BR"/>
        </w:rPr>
        <w:t>Salesforce</w:t>
      </w:r>
      <w:proofErr w:type="spellEnd"/>
      <w:r w:rsidRPr="00FF7FAD">
        <w:rPr>
          <w:lang w:val="pt-BR"/>
        </w:rPr>
        <w:t>.</w:t>
      </w:r>
    </w:p>
    <w:p w14:paraId="1AD24645" w14:textId="77777777" w:rsidR="00211257" w:rsidRDefault="00000000">
      <w:pPr>
        <w:pStyle w:val="Ttulo2"/>
        <w:jc w:val="left"/>
        <w:rPr>
          <w:lang w:val="pt-BR"/>
        </w:rPr>
      </w:pPr>
      <w:proofErr w:type="spellStart"/>
      <w:r>
        <w:rPr>
          <w:lang w:val="pt-BR"/>
        </w:rPr>
        <w:t>Informacões</w:t>
      </w:r>
      <w:proofErr w:type="spellEnd"/>
      <w:r>
        <w:rPr>
          <w:lang w:val="pt-BR"/>
        </w:rPr>
        <w:t xml:space="preserve"> Fiscais do Cliente</w:t>
      </w:r>
    </w:p>
    <w:p w14:paraId="0FDE795F" w14:textId="64446DF9" w:rsidR="00211257" w:rsidRDefault="00000000">
      <w:pPr>
        <w:pStyle w:val="Ttulo3"/>
      </w:pPr>
      <w:bookmarkStart w:id="4" w:name="_Hlk165903594"/>
      <w:r>
        <w:t xml:space="preserve">CNPJ#:  </w:t>
      </w:r>
      <w:r w:rsidR="00543B62">
        <w:rPr>
          <w:color w:val="000000"/>
          <w:szCs w:val="18"/>
        </w:rPr>
        <w:t>40.432.544/0001-47</w:t>
      </w:r>
    </w:p>
    <w:bookmarkEnd w:id="4"/>
    <w:p w14:paraId="64E2DCBE" w14:textId="59BF1174" w:rsidR="00211257" w:rsidRDefault="00000000">
      <w:pPr>
        <w:pStyle w:val="Ttulo3"/>
        <w:rPr>
          <w:lang w:val="pt-BR"/>
        </w:rPr>
      </w:pPr>
      <w:r>
        <w:rPr>
          <w:lang w:val="pt-BR"/>
        </w:rPr>
        <w:t>Isento de Tributos? N</w:t>
      </w:r>
      <w:r w:rsidR="00543B62">
        <w:rPr>
          <w:lang w:val="pt-BR"/>
        </w:rPr>
        <w:t>ão</w:t>
      </w:r>
    </w:p>
    <w:p w14:paraId="6E3B5DCE" w14:textId="77777777" w:rsidR="00211257" w:rsidRDefault="00000000">
      <w:pPr>
        <w:pStyle w:val="Ttulo3"/>
      </w:pPr>
      <w:r>
        <w:t>Moeda: BRL</w:t>
      </w:r>
    </w:p>
    <w:p w14:paraId="768AA08B" w14:textId="77777777" w:rsidR="00211257" w:rsidRDefault="00000000">
      <w:pPr>
        <w:pStyle w:val="Ttulo2"/>
        <w:jc w:val="left"/>
      </w:pPr>
      <w:r>
        <w:t>Requisitos de PO do Cliente</w:t>
      </w:r>
    </w:p>
    <w:p w14:paraId="3F3DE650" w14:textId="77777777" w:rsidR="00211257" w:rsidRDefault="00000000">
      <w:pPr>
        <w:ind w:left="792"/>
      </w:pPr>
      <w:r>
        <w:rPr>
          <w:lang w:val="pt-BR"/>
        </w:rPr>
        <w:t xml:space="preserve">Uma Ordem de Compra (“PO”) é requerida para a compra ou pagamento dos serviços desta SOW. </w:t>
      </w:r>
      <w:r>
        <w:rPr>
          <w:rFonts w:eastAsia="Arial"/>
          <w:b/>
          <w:color w:val="1C212B"/>
          <w:szCs w:val="18"/>
          <w:shd w:val="clear" w:color="auto" w:fill="FFFFFF"/>
          <w:lang w:val="pt-BR"/>
        </w:rPr>
        <w:t xml:space="preserve"> </w:t>
      </w:r>
    </w:p>
    <w:p w14:paraId="44B9619B" w14:textId="69627E1A" w:rsidR="00211257" w:rsidRDefault="00000000">
      <w:pPr>
        <w:pStyle w:val="Ttulo2"/>
        <w:jc w:val="left"/>
      </w:pPr>
      <w:r>
        <w:rPr>
          <w:rFonts w:eastAsia="Arial"/>
          <w:color w:val="1C212B"/>
          <w:szCs w:val="18"/>
          <w:shd w:val="clear" w:color="auto" w:fill="FFFFFF"/>
        </w:rPr>
        <w:t>PO#</w:t>
      </w:r>
      <w:r w:rsidR="00543B62">
        <w:rPr>
          <w:rFonts w:eastAsia="Arial"/>
          <w:color w:val="1C212B"/>
          <w:szCs w:val="18"/>
          <w:shd w:val="clear" w:color="auto" w:fill="FFFFFF"/>
        </w:rPr>
        <w:t xml:space="preserve"> do </w:t>
      </w:r>
      <w:proofErr w:type="spellStart"/>
      <w:r w:rsidR="00543B62">
        <w:rPr>
          <w:rFonts w:eastAsia="Arial"/>
          <w:color w:val="1C212B"/>
          <w:szCs w:val="18"/>
          <w:shd w:val="clear" w:color="auto" w:fill="FFFFFF"/>
        </w:rPr>
        <w:t>Cliente</w:t>
      </w:r>
      <w:proofErr w:type="spellEnd"/>
      <w:r>
        <w:rPr>
          <w:rFonts w:eastAsia="Arial"/>
          <w:color w:val="1C212B"/>
          <w:szCs w:val="18"/>
          <w:shd w:val="clear" w:color="auto" w:fill="FFFFFF"/>
        </w:rPr>
        <w:t xml:space="preserve">: </w:t>
      </w:r>
    </w:p>
    <w:p w14:paraId="16E24948" w14:textId="2A9E9229" w:rsidR="00211257" w:rsidRDefault="00543B62">
      <w:pPr>
        <w:ind w:left="792"/>
        <w:rPr>
          <w:rFonts w:eastAsia="Arial"/>
          <w:color w:val="000000"/>
          <w:szCs w:val="18"/>
          <w:shd w:val="clear" w:color="auto" w:fill="FFFFFF"/>
        </w:rPr>
      </w:pPr>
      <w:r>
        <w:rPr>
          <w:rFonts w:eastAsia="Arial"/>
          <w:b/>
          <w:color w:val="1C212B"/>
          <w:szCs w:val="18"/>
          <w:shd w:val="clear" w:color="auto" w:fill="FFFFFF"/>
        </w:rPr>
        <w:t xml:space="preserve">Valor da </w:t>
      </w:r>
      <w:r w:rsidR="00000000">
        <w:rPr>
          <w:rFonts w:eastAsia="Arial"/>
          <w:b/>
          <w:color w:val="1C212B"/>
          <w:szCs w:val="18"/>
          <w:shd w:val="clear" w:color="auto" w:fill="FFFFFF"/>
        </w:rPr>
        <w:t>PO</w:t>
      </w:r>
      <w:r w:rsidR="00000000">
        <w:rPr>
          <w:rFonts w:eastAsia="Arial"/>
          <w:color w:val="1C212B"/>
          <w:szCs w:val="18"/>
          <w:shd w:val="clear" w:color="auto" w:fill="FFFFFF"/>
        </w:rPr>
        <w:t xml:space="preserve">: </w:t>
      </w:r>
    </w:p>
    <w:p w14:paraId="02221E0F" w14:textId="77777777" w:rsidR="00211257" w:rsidRDefault="00000000">
      <w:pPr>
        <w:pStyle w:val="Ttulo2"/>
        <w:jc w:val="left"/>
      </w:pPr>
      <w:r>
        <w:t>*** REFORMA TRIBUTÁRIA BRASILEIRA ***</w:t>
      </w:r>
    </w:p>
    <w:p w14:paraId="71E7E330" w14:textId="77777777" w:rsidR="00211257" w:rsidRDefault="00000000">
      <w:pPr>
        <w:rPr>
          <w:lang w:val="en"/>
        </w:rPr>
      </w:pPr>
      <w:r>
        <w:rPr>
          <w:lang w:val="en"/>
        </w:rPr>
        <w:t>A partir de 1º de janeiro de 2026, as notas fiscais emitidas pela Salesforce refletirão as mudanças determinadas pela Lei Complementar 214/2025, conforme detalhado abaixo:</w:t>
      </w:r>
    </w:p>
    <w:p w14:paraId="68039C0D" w14:textId="77777777" w:rsidR="00211257" w:rsidRDefault="00000000">
      <w:pPr>
        <w:rPr>
          <w:lang w:val="en"/>
        </w:rPr>
      </w:pPr>
      <w:r>
        <w:rPr>
          <w:lang w:val="en"/>
        </w:rPr>
        <w:t xml:space="preserve">(a) Durante o ano de 2026, a CBS e o IBS serão mencionados nas notas fiscais  apenas para fins informativos, porém não serão incluídos no valor bruto dos Serviços Profissionais. Neste período, o PIS, a COFINS e o ISS continuarão sendo incluídos no valor bruto dos Serviços Profissionais. </w:t>
      </w:r>
    </w:p>
    <w:p w14:paraId="5FCE044E" w14:textId="3ED7A9E7" w:rsidR="00211257" w:rsidRPr="00736AFD" w:rsidRDefault="00000000" w:rsidP="00736AFD">
      <w:pPr>
        <w:rPr>
          <w:lang w:val="en"/>
        </w:rPr>
      </w:pPr>
      <w:r>
        <w:rPr>
          <w:lang w:val="en"/>
        </w:rPr>
        <w:t xml:space="preserve">(b) A partir de 2027, o PIS e a COFINS serão extintos e a CBS e o IBS passarão a integrar o valor bruto dos Serviços Profissionais, conforme as alíquotas determinadas na legislação aplicável. O ISS continuará incluído no valor bruto dos Serviços Profissionais, conforme </w:t>
      </w:r>
      <w:proofErr w:type="gramStart"/>
      <w:r>
        <w:rPr>
          <w:lang w:val="en"/>
        </w:rPr>
        <w:t>a</w:t>
      </w:r>
      <w:proofErr w:type="gramEnd"/>
      <w:r>
        <w:rPr>
          <w:lang w:val="en"/>
        </w:rPr>
        <w:t xml:space="preserve"> alíquota </w:t>
      </w:r>
      <w:proofErr w:type="spellStart"/>
      <w:r>
        <w:rPr>
          <w:lang w:val="en"/>
        </w:rPr>
        <w:t>determinada</w:t>
      </w:r>
      <w:proofErr w:type="spellEnd"/>
      <w:r>
        <w:rPr>
          <w:lang w:val="en"/>
        </w:rPr>
        <w:t xml:space="preserve"> </w:t>
      </w:r>
      <w:proofErr w:type="spellStart"/>
      <w:r>
        <w:rPr>
          <w:lang w:val="en"/>
        </w:rPr>
        <w:t>na</w:t>
      </w:r>
      <w:proofErr w:type="spellEnd"/>
      <w:r>
        <w:rPr>
          <w:lang w:val="en"/>
        </w:rPr>
        <w:t xml:space="preserve"> </w:t>
      </w:r>
      <w:proofErr w:type="spellStart"/>
      <w:r>
        <w:rPr>
          <w:lang w:val="en"/>
        </w:rPr>
        <w:t>legislação</w:t>
      </w:r>
      <w:proofErr w:type="spellEnd"/>
      <w:r>
        <w:rPr>
          <w:lang w:val="en"/>
        </w:rPr>
        <w:t xml:space="preserve"> </w:t>
      </w:r>
      <w:proofErr w:type="spellStart"/>
      <w:r>
        <w:rPr>
          <w:lang w:val="en"/>
        </w:rPr>
        <w:t>aplicável</w:t>
      </w:r>
      <w:proofErr w:type="spellEnd"/>
      <w:r>
        <w:rPr>
          <w:lang w:val="en"/>
        </w:rPr>
        <w:t>.</w:t>
      </w:r>
    </w:p>
    <w:tbl>
      <w:tblPr>
        <w:tblW w:w="8421" w:type="dxa"/>
        <w:jc w:val="center"/>
        <w:tblLayout w:type="fixed"/>
        <w:tblCellMar>
          <w:top w:w="15" w:type="dxa"/>
          <w:left w:w="15" w:type="dxa"/>
          <w:bottom w:w="15" w:type="dxa"/>
          <w:right w:w="15" w:type="dxa"/>
        </w:tblCellMar>
        <w:tblLook w:val="04A0" w:firstRow="1" w:lastRow="0" w:firstColumn="1" w:lastColumn="0" w:noHBand="0" w:noVBand="1"/>
      </w:tblPr>
      <w:tblGrid>
        <w:gridCol w:w="1049"/>
        <w:gridCol w:w="949"/>
        <w:gridCol w:w="971"/>
        <w:gridCol w:w="992"/>
        <w:gridCol w:w="851"/>
        <w:gridCol w:w="850"/>
        <w:gridCol w:w="851"/>
        <w:gridCol w:w="819"/>
        <w:gridCol w:w="1089"/>
      </w:tblGrid>
      <w:tr w:rsidR="00211257" w14:paraId="3D01F501" w14:textId="77777777">
        <w:trPr>
          <w:trHeight w:val="808"/>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D88012B" w14:textId="77777777" w:rsidR="00211257" w:rsidRDefault="00000000">
            <w:pPr>
              <w:spacing w:after="120"/>
              <w:ind w:left="0"/>
            </w:pPr>
            <w:r>
              <w:rPr>
                <w:rFonts w:ascii="Salesforce Sans" w:eastAsia="Salesforce Sans" w:hAnsi="Salesforce Sans" w:cs="Salesforce Sans"/>
                <w:b/>
                <w:sz w:val="20"/>
                <w:szCs w:val="20"/>
                <w:lang w:val="en"/>
              </w:rPr>
              <w:t>Tributos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5A1D0D8" w14:textId="77777777" w:rsidR="00211257" w:rsidRDefault="00000000">
            <w:pPr>
              <w:spacing w:after="120"/>
              <w:ind w:left="288"/>
            </w:pPr>
            <w:r>
              <w:rPr>
                <w:b/>
              </w:rPr>
              <w:t>2026</w:t>
            </w:r>
          </w:p>
        </w:tc>
        <w:tc>
          <w:tcPr>
            <w:tcW w:w="97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BD5E2D6" w14:textId="77777777" w:rsidR="00211257" w:rsidRDefault="00000000">
            <w:pPr>
              <w:spacing w:after="120"/>
              <w:ind w:left="288"/>
            </w:pPr>
            <w:r>
              <w:rPr>
                <w:b/>
              </w:rPr>
              <w:t>2027</w:t>
            </w:r>
          </w:p>
        </w:tc>
        <w:tc>
          <w:tcPr>
            <w:tcW w:w="992"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76BE297" w14:textId="77777777" w:rsidR="00211257" w:rsidRDefault="00000000">
            <w:pPr>
              <w:spacing w:after="120"/>
              <w:ind w:left="288"/>
            </w:pPr>
            <w:r>
              <w:rPr>
                <w:b/>
              </w:rPr>
              <w:t>2028</w:t>
            </w:r>
          </w:p>
        </w:tc>
        <w:tc>
          <w:tcPr>
            <w:tcW w:w="85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0E09331" w14:textId="77777777" w:rsidR="00211257" w:rsidRDefault="00000000">
            <w:pPr>
              <w:spacing w:after="120"/>
              <w:ind w:left="288"/>
            </w:pPr>
            <w:r>
              <w:rPr>
                <w:b/>
              </w:rPr>
              <w:t>2029</w:t>
            </w:r>
          </w:p>
        </w:tc>
        <w:tc>
          <w:tcPr>
            <w:tcW w:w="8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27BC4EB" w14:textId="77777777" w:rsidR="00211257" w:rsidRDefault="00000000">
            <w:pPr>
              <w:spacing w:after="120"/>
              <w:ind w:left="288"/>
            </w:pPr>
            <w:r>
              <w:rPr>
                <w:b/>
              </w:rPr>
              <w:t>2030</w:t>
            </w:r>
          </w:p>
        </w:tc>
        <w:tc>
          <w:tcPr>
            <w:tcW w:w="851"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113E70D2" w14:textId="77777777" w:rsidR="00211257" w:rsidRDefault="00000000">
            <w:pPr>
              <w:spacing w:after="120"/>
              <w:ind w:left="288"/>
            </w:pPr>
            <w:r>
              <w:rPr>
                <w:b/>
              </w:rPr>
              <w:t>2031</w:t>
            </w:r>
          </w:p>
        </w:tc>
        <w:tc>
          <w:tcPr>
            <w:tcW w:w="81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37AEF19" w14:textId="77777777" w:rsidR="00211257" w:rsidRDefault="00000000">
            <w:pPr>
              <w:spacing w:after="120"/>
              <w:ind w:left="288"/>
            </w:pPr>
            <w:r>
              <w:rPr>
                <w:b/>
              </w:rPr>
              <w:t>2032</w:t>
            </w:r>
          </w:p>
        </w:tc>
        <w:tc>
          <w:tcPr>
            <w:tcW w:w="108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E335E82" w14:textId="77777777" w:rsidR="00211257" w:rsidRDefault="00000000">
            <w:pPr>
              <w:spacing w:after="120"/>
              <w:ind w:left="288"/>
            </w:pPr>
            <w:r>
              <w:rPr>
                <w:b/>
              </w:rPr>
              <w:t>2033</w:t>
            </w:r>
          </w:p>
        </w:tc>
      </w:tr>
      <w:tr w:rsidR="00211257" w14:paraId="59DF516E" w14:textId="77777777">
        <w:trPr>
          <w:trHeight w:val="791"/>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3BD858E" w14:textId="77777777" w:rsidR="00211257" w:rsidRDefault="00000000">
            <w:pPr>
              <w:spacing w:after="120"/>
              <w:ind w:left="288"/>
              <w:jc w:val="center"/>
            </w:pPr>
            <w:r>
              <w:rPr>
                <w:b/>
              </w:rPr>
              <w:t>CBS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8B97ABE" w14:textId="77777777" w:rsidR="00211257" w:rsidRDefault="00000000">
            <w:pPr>
              <w:spacing w:after="120"/>
              <w:ind w:left="288"/>
            </w:pPr>
            <w:r>
              <w:t>*0.90%</w:t>
            </w:r>
          </w:p>
        </w:tc>
        <w:tc>
          <w:tcPr>
            <w:tcW w:w="6423" w:type="dxa"/>
            <w:gridSpan w:val="7"/>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EA6A2E9" w14:textId="77777777" w:rsidR="00211257" w:rsidRDefault="00000000">
            <w:pPr>
              <w:spacing w:after="120"/>
              <w:ind w:left="288"/>
              <w:jc w:val="center"/>
            </w:pPr>
            <w:r>
              <w:rPr>
                <w:rFonts w:ascii="Salesforce Sans" w:eastAsia="Salesforce Sans" w:hAnsi="Salesforce Sans" w:cs="Salesforce Sans"/>
                <w:sz w:val="20"/>
                <w:szCs w:val="20"/>
                <w:lang w:val="en"/>
              </w:rPr>
              <w:t>Conforme alíquotas determinadas na legislação aplicável</w:t>
            </w:r>
          </w:p>
        </w:tc>
      </w:tr>
      <w:tr w:rsidR="00211257" w14:paraId="05304EBF" w14:textId="77777777">
        <w:trPr>
          <w:trHeight w:val="791"/>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9C4C753" w14:textId="77777777" w:rsidR="00211257" w:rsidRDefault="00000000">
            <w:pPr>
              <w:spacing w:after="120"/>
              <w:ind w:left="288"/>
              <w:jc w:val="center"/>
            </w:pPr>
            <w:r>
              <w:rPr>
                <w:b/>
              </w:rPr>
              <w:t>IBS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D1F663C" w14:textId="77777777" w:rsidR="00211257" w:rsidRDefault="00000000">
            <w:pPr>
              <w:spacing w:after="120"/>
              <w:ind w:left="288"/>
            </w:pPr>
            <w:r>
              <w:t>*0.10%</w:t>
            </w:r>
          </w:p>
        </w:tc>
        <w:tc>
          <w:tcPr>
            <w:tcW w:w="971" w:type="dxa"/>
            <w:tcBorders>
              <w:top w:val="single" w:sz="6" w:space="0" w:color="000000"/>
              <w:left w:val="single" w:sz="6" w:space="0" w:color="000000"/>
              <w:bottom w:val="single" w:sz="6" w:space="0" w:color="000000"/>
              <w:right w:val="single" w:sz="6" w:space="0" w:color="000000"/>
            </w:tcBorders>
            <w:vAlign w:val="center"/>
            <w:hideMark/>
          </w:tcPr>
          <w:p w14:paraId="18A1F6A6" w14:textId="77777777" w:rsidR="00211257" w:rsidRDefault="00000000">
            <w:pPr>
              <w:spacing w:after="120"/>
              <w:ind w:left="288"/>
            </w:pPr>
            <w:r>
              <w:t>**0.10%</w:t>
            </w:r>
          </w:p>
        </w:tc>
        <w:tc>
          <w:tcPr>
            <w:tcW w:w="992" w:type="dxa"/>
            <w:tcBorders>
              <w:top w:val="single" w:sz="6" w:space="0" w:color="000000"/>
              <w:left w:val="single" w:sz="6" w:space="0" w:color="000000"/>
              <w:bottom w:val="single" w:sz="6" w:space="0" w:color="000000"/>
              <w:right w:val="single" w:sz="6" w:space="0" w:color="000000"/>
            </w:tcBorders>
            <w:vAlign w:val="center"/>
          </w:tcPr>
          <w:p w14:paraId="187FF288" w14:textId="77777777" w:rsidR="00211257" w:rsidRDefault="00000000">
            <w:pPr>
              <w:spacing w:after="120"/>
              <w:ind w:left="288"/>
            </w:pPr>
            <w:r>
              <w:t>**0.10%</w:t>
            </w:r>
          </w:p>
        </w:tc>
        <w:tc>
          <w:tcPr>
            <w:tcW w:w="4460" w:type="dxa"/>
            <w:gridSpan w:val="5"/>
            <w:tcBorders>
              <w:top w:val="single" w:sz="6" w:space="0" w:color="000000"/>
              <w:left w:val="single" w:sz="6" w:space="0" w:color="000000"/>
              <w:bottom w:val="single" w:sz="6" w:space="0" w:color="000000"/>
              <w:right w:val="single" w:sz="6" w:space="0" w:color="000000"/>
            </w:tcBorders>
            <w:vAlign w:val="center"/>
          </w:tcPr>
          <w:p w14:paraId="7F881608" w14:textId="77777777" w:rsidR="00211257" w:rsidRDefault="00000000">
            <w:pPr>
              <w:spacing w:after="120"/>
              <w:ind w:left="288"/>
              <w:jc w:val="center"/>
            </w:pPr>
            <w:r>
              <w:rPr>
                <w:rFonts w:ascii="Salesforce Sans" w:eastAsia="Salesforce Sans" w:hAnsi="Salesforce Sans" w:cs="Salesforce Sans"/>
                <w:sz w:val="20"/>
                <w:szCs w:val="20"/>
                <w:lang w:val="en"/>
              </w:rPr>
              <w:t>Conforme alíquotas determinadas na legislação aplicável</w:t>
            </w:r>
          </w:p>
        </w:tc>
      </w:tr>
      <w:tr w:rsidR="00211257" w14:paraId="6B5E7262" w14:textId="77777777">
        <w:trPr>
          <w:trHeight w:val="791"/>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2C22DD0" w14:textId="77777777" w:rsidR="00211257" w:rsidRDefault="00000000">
            <w:pPr>
              <w:spacing w:after="120"/>
              <w:ind w:left="288"/>
              <w:jc w:val="center"/>
            </w:pPr>
            <w:r>
              <w:rPr>
                <w:b/>
              </w:rPr>
              <w:t>PIS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E64569D" w14:textId="77777777" w:rsidR="00211257" w:rsidRDefault="00000000">
            <w:pPr>
              <w:spacing w:after="120"/>
              <w:ind w:left="288"/>
              <w:jc w:val="center"/>
            </w:pPr>
            <w:r>
              <w:t>0.65%</w:t>
            </w:r>
          </w:p>
        </w:tc>
        <w:tc>
          <w:tcPr>
            <w:tcW w:w="6423" w:type="dxa"/>
            <w:gridSpan w:val="7"/>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A5B748A" w14:textId="77777777" w:rsidR="00211257" w:rsidRDefault="00000000">
            <w:pPr>
              <w:spacing w:after="120"/>
              <w:ind w:left="288"/>
              <w:jc w:val="center"/>
            </w:pPr>
            <w:r>
              <w:rPr>
                <w:rFonts w:ascii="Salesforce Sans" w:eastAsia="Salesforce Sans" w:hAnsi="Salesforce Sans" w:cs="Salesforce Sans"/>
                <w:b/>
                <w:sz w:val="20"/>
                <w:szCs w:val="20"/>
                <w:lang w:val="en"/>
              </w:rPr>
              <w:t>Extinto</w:t>
            </w:r>
          </w:p>
        </w:tc>
      </w:tr>
      <w:tr w:rsidR="00211257" w14:paraId="1246795B" w14:textId="77777777">
        <w:trPr>
          <w:trHeight w:val="869"/>
          <w:jc w:val="center"/>
        </w:trPr>
        <w:tc>
          <w:tcPr>
            <w:tcW w:w="10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192B21D" w14:textId="77777777" w:rsidR="00211257" w:rsidRDefault="00000000">
            <w:pPr>
              <w:spacing w:after="120"/>
              <w:ind w:left="288"/>
              <w:jc w:val="center"/>
            </w:pPr>
            <w:r>
              <w:rPr>
                <w:b/>
              </w:rPr>
              <w:t>COFINS</w:t>
            </w:r>
          </w:p>
        </w:tc>
        <w:tc>
          <w:tcPr>
            <w:tcW w:w="9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3C7F686" w14:textId="77777777" w:rsidR="00211257" w:rsidRDefault="00000000">
            <w:pPr>
              <w:spacing w:after="120"/>
              <w:ind w:left="288"/>
              <w:jc w:val="center"/>
            </w:pPr>
            <w:r>
              <w:t>3%</w:t>
            </w:r>
          </w:p>
        </w:tc>
        <w:tc>
          <w:tcPr>
            <w:tcW w:w="6423" w:type="dxa"/>
            <w:gridSpan w:val="7"/>
            <w:vMerge/>
            <w:tcBorders>
              <w:top w:val="single" w:sz="6" w:space="0" w:color="000000"/>
              <w:left w:val="single" w:sz="6" w:space="0" w:color="000000"/>
              <w:bottom w:val="single" w:sz="6" w:space="0" w:color="000000"/>
              <w:right w:val="single" w:sz="6" w:space="0" w:color="000000"/>
            </w:tcBorders>
            <w:vAlign w:val="center"/>
            <w:hideMark/>
          </w:tcPr>
          <w:p w14:paraId="3949536A" w14:textId="77777777" w:rsidR="00211257" w:rsidRDefault="00211257">
            <w:pPr>
              <w:spacing w:after="120"/>
              <w:ind w:left="288"/>
              <w:jc w:val="center"/>
            </w:pPr>
          </w:p>
        </w:tc>
      </w:tr>
      <w:tr w:rsidR="00211257" w14:paraId="13DBD4B6" w14:textId="77777777">
        <w:trPr>
          <w:trHeight w:val="916"/>
          <w:jc w:val="center"/>
        </w:trPr>
        <w:tc>
          <w:tcPr>
            <w:tcW w:w="1049" w:type="dxa"/>
            <w:tcBorders>
              <w:top w:val="single" w:sz="6"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14:paraId="4D11D017" w14:textId="77777777" w:rsidR="00211257" w:rsidRDefault="00000000">
            <w:pPr>
              <w:spacing w:after="120"/>
              <w:ind w:left="288"/>
              <w:jc w:val="center"/>
            </w:pPr>
            <w:r>
              <w:rPr>
                <w:b/>
              </w:rPr>
              <w:t>ISS</w:t>
            </w:r>
          </w:p>
        </w:tc>
        <w:tc>
          <w:tcPr>
            <w:tcW w:w="2912" w:type="dxa"/>
            <w:gridSpan w:val="3"/>
            <w:tcBorders>
              <w:top w:val="single" w:sz="6"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14:paraId="3F68E03E" w14:textId="77777777" w:rsidR="00211257" w:rsidRDefault="00000000">
            <w:pPr>
              <w:spacing w:after="120"/>
              <w:ind w:left="288"/>
              <w:jc w:val="center"/>
            </w:pPr>
            <w:r>
              <w:t>2.9%</w:t>
            </w:r>
          </w:p>
        </w:tc>
        <w:tc>
          <w:tcPr>
            <w:tcW w:w="3371" w:type="dxa"/>
            <w:gridSpan w:val="4"/>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56F74DA" w14:textId="77777777" w:rsidR="00211257" w:rsidRDefault="00211257">
            <w:pPr>
              <w:spacing w:after="120"/>
              <w:ind w:left="288"/>
              <w:jc w:val="center"/>
            </w:pPr>
          </w:p>
          <w:p w14:paraId="0FE2B03B" w14:textId="77777777" w:rsidR="00211257" w:rsidRDefault="00000000">
            <w:pPr>
              <w:spacing w:after="120"/>
              <w:ind w:left="288"/>
              <w:jc w:val="center"/>
            </w:pPr>
            <w:r>
              <w:t>Gradual rate reduction</w:t>
            </w:r>
          </w:p>
        </w:tc>
        <w:tc>
          <w:tcPr>
            <w:tcW w:w="1089" w:type="dxa"/>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8F8388" w14:textId="77777777" w:rsidR="00211257" w:rsidRDefault="00211257">
            <w:pPr>
              <w:spacing w:after="120"/>
              <w:ind w:left="288"/>
              <w:jc w:val="center"/>
            </w:pPr>
          </w:p>
          <w:p w14:paraId="4AB59F72" w14:textId="77777777" w:rsidR="00211257" w:rsidRDefault="00000000">
            <w:pPr>
              <w:spacing w:after="120"/>
              <w:ind w:left="0"/>
            </w:pPr>
            <w:r>
              <w:rPr>
                <w:b/>
              </w:rPr>
              <w:t>Extinct</w:t>
            </w:r>
          </w:p>
        </w:tc>
      </w:tr>
    </w:tbl>
    <w:p w14:paraId="34B2A43E" w14:textId="77777777" w:rsidR="00211257" w:rsidRDefault="00000000">
      <w:pPr>
        <w:pStyle w:val="NormalWeb"/>
        <w:spacing w:before="0" w:beforeAutospacing="0" w:after="0" w:afterAutospacing="0"/>
        <w:ind w:left="792"/>
        <w:jc w:val="both"/>
        <w:rPr>
          <w:rFonts w:ascii="Arial" w:eastAsiaTheme="minorHAnsi" w:hAnsi="Arial" w:cs="Arial"/>
          <w:sz w:val="18"/>
          <w:szCs w:val="22"/>
        </w:rPr>
      </w:pPr>
      <w:r>
        <w:rPr>
          <w:rFonts w:ascii="Arial" w:eastAsiaTheme="minorHAnsi" w:hAnsi="Arial" w:cs="Arial"/>
          <w:sz w:val="18"/>
          <w:szCs w:val="22"/>
        </w:rPr>
        <w:t>*Alíquota para fins informativos apenas, não integra valor bruto dos Serviços Profissionais</w:t>
      </w:r>
    </w:p>
    <w:p w14:paraId="4453B178" w14:textId="77777777" w:rsidR="00211257" w:rsidRDefault="00000000">
      <w:pPr>
        <w:pStyle w:val="NormalWeb"/>
        <w:spacing w:before="0" w:beforeAutospacing="0" w:after="0" w:afterAutospacing="0"/>
        <w:ind w:left="792"/>
        <w:jc w:val="both"/>
        <w:rPr>
          <w:rFonts w:ascii="Arial" w:eastAsiaTheme="minorHAnsi" w:hAnsi="Arial" w:cs="Arial"/>
          <w:sz w:val="18"/>
          <w:szCs w:val="22"/>
        </w:rPr>
      </w:pPr>
      <w:r>
        <w:rPr>
          <w:rFonts w:ascii="Arial" w:eastAsiaTheme="minorHAnsi" w:hAnsi="Arial" w:cs="Arial"/>
          <w:sz w:val="18"/>
          <w:szCs w:val="22"/>
        </w:rPr>
        <w:t>**Conforme determinado no Art. 344 da Lei Complementar 214/2025.</w:t>
      </w:r>
    </w:p>
    <w:p w14:paraId="59CC255B" w14:textId="77777777" w:rsidR="00211257" w:rsidRDefault="00000000">
      <w:pPr>
        <w:spacing w:after="0"/>
        <w:ind w:left="792"/>
      </w:pPr>
      <w:r>
        <w:lastRenderedPageBreak/>
        <w:t> </w:t>
      </w:r>
    </w:p>
    <w:p w14:paraId="07C1E8F5" w14:textId="77777777" w:rsidR="00211257" w:rsidRDefault="00000000">
      <w:r>
        <w:t>Os valores líquidos dos Serviços Profissionais não serão alterados em razão da implementação da Lei Complementar 214/2025, porém os valores brutos poderão sofrer alterações. Conforme determinado no PSA, todos os Tributos incidentes sobre os Serviços Profissionais serão suportados pelo Cliente. </w:t>
      </w:r>
    </w:p>
    <w:p w14:paraId="3512AAC3" w14:textId="77777777" w:rsidR="00211257" w:rsidRDefault="00000000">
      <w:pPr>
        <w:pStyle w:val="Ttulo1"/>
        <w:jc w:val="left"/>
        <w:rPr>
          <w:lang w:val="pt-BR"/>
        </w:rPr>
      </w:pPr>
      <w:r>
        <w:rPr>
          <w:lang w:val="pt-BR"/>
        </w:rPr>
        <w:t xml:space="preserve">Recursos da SFDC </w:t>
      </w:r>
    </w:p>
    <w:p w14:paraId="282DD7AE" w14:textId="77777777" w:rsidR="00211257" w:rsidRDefault="00000000">
      <w:pPr>
        <w:pStyle w:val="Ttulo2"/>
        <w:jc w:val="left"/>
        <w:rPr>
          <w:b w:val="0"/>
        </w:rPr>
      </w:pPr>
      <w:r>
        <w:t>Trabalhos Faturáveis</w:t>
      </w:r>
    </w:p>
    <w:p w14:paraId="01B7E3B7" w14:textId="77777777" w:rsidR="00211257" w:rsidRDefault="00000000">
      <w:pPr>
        <w:pStyle w:val="Ttulo3"/>
        <w:numPr>
          <w:ilvl w:val="0"/>
          <w:numId w:val="0"/>
        </w:numPr>
        <w:ind w:left="720"/>
        <w:rPr>
          <w:lang w:val="pt-BR"/>
        </w:rPr>
      </w:pPr>
      <w:r>
        <w:rPr>
          <w:lang w:val="pt-BR"/>
        </w:rPr>
        <w:t xml:space="preserve">Todos os trabalhos </w:t>
      </w:r>
      <w:r>
        <w:rPr>
          <w:color w:val="000000"/>
          <w:lang w:val="pt-BR"/>
        </w:rPr>
        <w:t xml:space="preserve">conduzidos por recursos sob esta SOW são considerados Serviços Profissionais faturáveis e não estão relacionados a serviços habilitados fornecidos por programas SFDC (por exemplo, Suporte ao Produto, Sucesso do Cliente etc.). O </w:t>
      </w:r>
      <w:r>
        <w:rPr>
          <w:lang w:val="pt-BR"/>
        </w:rPr>
        <w:t>C</w:t>
      </w:r>
      <w:r>
        <w:rPr>
          <w:color w:val="000000"/>
          <w:lang w:val="pt-BR"/>
        </w:rPr>
        <w:t xml:space="preserve">liente submeterá os casos de suporte técnico em geral à equipe de suporte da Salesforce associada ao uso dos serviços online do Cliente. </w:t>
      </w:r>
      <w:r>
        <w:rPr>
          <w:lang w:val="pt-BR"/>
        </w:rPr>
        <w:t>A</w:t>
      </w:r>
      <w:r>
        <w:rPr>
          <w:color w:val="000000"/>
          <w:lang w:val="pt-BR"/>
        </w:rPr>
        <w:t xml:space="preserve"> SFDC não executará tarefas gerais de suporte técnico sob esta SOW.</w:t>
      </w:r>
    </w:p>
    <w:p w14:paraId="06A78B1F" w14:textId="77777777" w:rsidR="00211257" w:rsidRDefault="00000000">
      <w:pPr>
        <w:pStyle w:val="Ttulo2"/>
        <w:jc w:val="left"/>
        <w:rPr>
          <w:b w:val="0"/>
        </w:rPr>
      </w:pPr>
      <w:r>
        <w:t>Proficiência</w:t>
      </w:r>
    </w:p>
    <w:p w14:paraId="6490DB1C" w14:textId="77777777" w:rsidR="00211257" w:rsidRDefault="00000000">
      <w:pPr>
        <w:pStyle w:val="Ttulo3"/>
        <w:numPr>
          <w:ilvl w:val="0"/>
          <w:numId w:val="0"/>
        </w:numPr>
        <w:ind w:left="720"/>
        <w:rPr>
          <w:lang w:val="pt-BR"/>
        </w:rPr>
      </w:pPr>
      <w:r>
        <w:rPr>
          <w:lang w:val="pt-BR"/>
        </w:rPr>
        <w:t xml:space="preserve">A SFDC proverá proficiência exclusivamente na Aplicação e não garante que os recursos sejam proficientes em outras linguagens de programação ou plataformas. </w:t>
      </w:r>
    </w:p>
    <w:p w14:paraId="2432B083" w14:textId="77777777" w:rsidR="00211257" w:rsidRDefault="00000000">
      <w:pPr>
        <w:pStyle w:val="Ttulo2"/>
        <w:jc w:val="left"/>
        <w:rPr>
          <w:b w:val="0"/>
        </w:rPr>
      </w:pPr>
      <w:r>
        <w:t>Horário Fora do Expediente</w:t>
      </w:r>
    </w:p>
    <w:p w14:paraId="47AA60A4" w14:textId="77777777" w:rsidR="00211257" w:rsidRDefault="00000000">
      <w:pPr>
        <w:pStyle w:val="Ttulo3"/>
        <w:numPr>
          <w:ilvl w:val="0"/>
          <w:numId w:val="0"/>
        </w:numPr>
        <w:ind w:left="720"/>
        <w:rPr>
          <w:lang w:val="pt-BR"/>
        </w:rPr>
      </w:pPr>
      <w:r>
        <w:rPr>
          <w:lang w:val="pt-BR"/>
        </w:rPr>
        <w:t xml:space="preserve">Os </w:t>
      </w:r>
      <w:r>
        <w:rPr>
          <w:color w:val="000000"/>
          <w:lang w:val="pt-BR"/>
        </w:rPr>
        <w:t>Serviços Profissionais serão realizados durante o horário comercial normal (de segunda a sexta-feira, das 8h30 às 17h30 no fuso horário do local onde está localizado o recurso de Serviços Profissionais, salvo acordo em contrário por escrito entre as partes (e-mail é suficiente), excluindo feriados. Programação de trabalho fora desse horário comercial normal (</w:t>
      </w:r>
      <w:r>
        <w:rPr>
          <w:b/>
          <w:color w:val="000000"/>
          <w:lang w:val="pt-BR"/>
        </w:rPr>
        <w:t>"Trabalho fora do horário comercial"</w:t>
      </w:r>
      <w:r>
        <w:rPr>
          <w:color w:val="000000"/>
          <w:lang w:val="pt-BR"/>
        </w:rPr>
        <w:t>) requer considerações sobre o pessoal e precisa ser planejada com pelo menos 20 (vinte) dias úteis de antecedência da necessidade</w:t>
      </w:r>
      <w:r>
        <w:rPr>
          <w:lang w:val="pt-BR"/>
        </w:rPr>
        <w:t xml:space="preserve"> </w:t>
      </w:r>
    </w:p>
    <w:p w14:paraId="31698BFD" w14:textId="41D79C3E" w:rsidR="00211257" w:rsidRDefault="00000000" w:rsidP="00736AFD">
      <w:pPr>
        <w:rPr>
          <w:lang w:val="pt-BR"/>
        </w:rPr>
      </w:pPr>
      <w:r>
        <w:rPr>
          <w:color w:val="000000"/>
          <w:lang w:val="pt-BR"/>
        </w:rPr>
        <w:t>Os recursos dos Serviços Profissionais serão alocados de acordo com um plano de alocação mutuamente acordado no início do engajamento. Desde que envie uma notificação prévia com 2 (duas) semanas de antecedência à SFDC, o Cliente poderá solicitar alterações ao plano de alocação dos recursos dos Serviços Profissionais, incluindo os exemplos listados abaixo. Caso o Cliente solicite alterações com notificação prévia inferior a 2 (duas) semanas, a continuidade dos recursos da SFDC não poderá ser garantida e a SFDC poderá faturar o Cliente pelas horas planejadas e quaisquer custos não reembolsáveis (ex. T&amp;E) relativos àquelas 2 (duas) semanas. Exemplos de alterações que o Cliente poderá solicitar incluem, sem limitação, o seguinte:</w:t>
      </w:r>
    </w:p>
    <w:p w14:paraId="392C27A0" w14:textId="77777777" w:rsidR="00211257" w:rsidRDefault="00000000">
      <w:pPr>
        <w:pStyle w:val="Bullet2"/>
        <w:numPr>
          <w:ilvl w:val="1"/>
          <w:numId w:val="14"/>
        </w:numPr>
        <w:jc w:val="left"/>
        <w:rPr>
          <w:lang w:val="pt-BR"/>
        </w:rPr>
      </w:pPr>
      <w:r>
        <w:rPr>
          <w:lang w:val="pt-BR"/>
        </w:rPr>
        <w:t xml:space="preserve">mudança da data de início do projeto; </w:t>
      </w:r>
    </w:p>
    <w:p w14:paraId="6DF9003C" w14:textId="77777777" w:rsidR="00211257" w:rsidRDefault="00000000">
      <w:pPr>
        <w:pStyle w:val="Bullet2"/>
        <w:numPr>
          <w:ilvl w:val="1"/>
          <w:numId w:val="14"/>
        </w:numPr>
        <w:jc w:val="left"/>
        <w:rPr>
          <w:lang w:val="pt-BR"/>
        </w:rPr>
      </w:pPr>
      <w:r>
        <w:rPr>
          <w:lang w:val="pt-BR"/>
        </w:rPr>
        <w:t>atrasos ou suspensão das Descrição do projeto;</w:t>
      </w:r>
    </w:p>
    <w:p w14:paraId="048AF935" w14:textId="77777777" w:rsidR="00211257" w:rsidRDefault="00000000">
      <w:pPr>
        <w:pStyle w:val="Bullet2"/>
        <w:numPr>
          <w:ilvl w:val="1"/>
          <w:numId w:val="14"/>
        </w:numPr>
        <w:jc w:val="left"/>
        <w:rPr>
          <w:lang w:val="pt-BR"/>
        </w:rPr>
      </w:pPr>
      <w:r>
        <w:rPr>
          <w:lang w:val="pt-BR"/>
        </w:rPr>
        <w:t>redução da alocação de recursos dos Serviços Profissionais; e</w:t>
      </w:r>
    </w:p>
    <w:p w14:paraId="78868E83" w14:textId="047B0153" w:rsidR="00211257" w:rsidRPr="00736AFD" w:rsidRDefault="00000000" w:rsidP="00736AFD">
      <w:pPr>
        <w:pStyle w:val="Bullet2"/>
        <w:numPr>
          <w:ilvl w:val="1"/>
          <w:numId w:val="14"/>
        </w:numPr>
        <w:jc w:val="left"/>
        <w:rPr>
          <w:lang w:val="pt-BR"/>
        </w:rPr>
      </w:pPr>
      <w:r>
        <w:rPr>
          <w:lang w:val="pt-BR"/>
        </w:rPr>
        <w:t>extensão desta SOW além da data final do engajamento.</w:t>
      </w:r>
    </w:p>
    <w:p w14:paraId="5D16255C" w14:textId="77777777" w:rsidR="00211257" w:rsidRDefault="00000000">
      <w:pPr>
        <w:pStyle w:val="Ttulo2"/>
        <w:ind w:left="792"/>
        <w:jc w:val="left"/>
        <w:rPr>
          <w:lang w:val="pt-BR"/>
        </w:rPr>
      </w:pPr>
      <w:r>
        <w:rPr>
          <w:lang w:val="pt-BR"/>
        </w:rPr>
        <w:t>Consentimento para o Uso de Subcontratados e Subprocessadores Aprovados</w:t>
      </w:r>
    </w:p>
    <w:p w14:paraId="35A4184F" w14:textId="77777777" w:rsidR="00211257" w:rsidRDefault="00000000">
      <w:pPr>
        <w:pStyle w:val="Ttulo3"/>
        <w:numPr>
          <w:ilvl w:val="0"/>
          <w:numId w:val="0"/>
        </w:numPr>
        <w:ind w:left="720"/>
        <w:rPr>
          <w:color w:val="000000"/>
          <w:lang w:val="pt-BR"/>
        </w:rPr>
      </w:pPr>
      <w:r>
        <w:rPr>
          <w:lang w:val="pt-BR"/>
        </w:rPr>
        <w:t xml:space="preserve">A </w:t>
      </w:r>
      <w:r>
        <w:rPr>
          <w:color w:val="000000"/>
          <w:lang w:val="pt-BR"/>
        </w:rPr>
        <w:t xml:space="preserve">SFDC será responsável pela execução dos Serviços Profissionais por seu pessoal, incluindo subcontratados (se houver), exceto conforme de outra forma aqui especificado. O Cliente concorda, ao assinar esta SOW, que a SFDC poderá utilizar subcontratados para a execução dos Serviços Profissionais. Caso o Cliente forneça à SFDC acesso a Dados Pessoais, o Cliente concorda que o pessoal da SFDC e suas Afiliadas (conforme aplicável), poderão processar tais Dados Pessoais mediante o uso de ferramentas de terceiros baseadas na nuvem listadas em </w:t>
      </w:r>
      <w:hyperlink r:id="rId8" w:history="1">
        <w:r>
          <w:rPr>
            <w:rStyle w:val="Hyperlink"/>
            <w:lang w:val="pt-BR"/>
          </w:rPr>
          <w:t>https://www.salesforce.com/content/dam/web/en_us/www/documents/legal/Agreements/professional-service-agreements-and-terms/psa-infrastructure-and-subprocessors.pdf</w:t>
        </w:r>
      </w:hyperlink>
      <w:r>
        <w:rPr>
          <w:color w:val="000000"/>
          <w:lang w:val="pt-BR"/>
        </w:rPr>
        <w:t xml:space="preserve"> a partir da Data Efetiva. Para os fins desta SOW,   Dados Pessoais significam informações eletrônicas relativas a uma pessoa física identificada ou identificável, sendo tais dados fornecidos à SFDC para a execução dos Serviços Profissionais.</w:t>
      </w:r>
    </w:p>
    <w:p w14:paraId="5D16255C" w14:textId="77777777" w:rsidR="00211257" w:rsidRDefault="00000000">
      <w:pPr>
        <w:pStyle w:val="Ttulo2"/>
        <w:ind w:left="792"/>
        <w:jc w:val="left"/>
        <w:rPr>
          <w:lang w:val="pt-BR"/>
        </w:rPr>
      </w:pPr>
      <w:r>
        <w:rPr>
          <w:lang w:val="pt-BR"/>
        </w:rPr>
        <w:t xml:space="preserve">Consentimento para o Uso de Ferramentas de Inteligência Artificial (IA)</w:t>
      </w:r>
    </w:p>
    <w:p w14:paraId="35A4184F" w14:textId="77777777" w:rsidR="00211257" w:rsidRDefault="00000000">
      <w:pPr>
        <w:pStyle w:val="Ttulo3"/>
        <w:numPr>
          <w:ilvl w:val="0"/>
          <w:numId w:val="0"/>
        </w:numPr>
        <w:ind w:left="720"/>
        <w:rPr>
          <w:color w:val="000000"/>
          <w:lang w:val="pt-BR"/>
        </w:rPr>
      </w:pPr>
      <w:r>
        <w:rPr>
          <w:lang w:val="pt-BR"/>
        </w:rPr>
        <w:t xml:space="preserve">O Cliente reconhece e concorda, ao assinar esta SOW, que a SFDC e suas Afiliadas poderão utilizar ferramentas de Inteligência Artificial (IA), incluindo IA generativa, próprias ou de subprocessadores aprovados, para apoiar a execução dos Serviços Profissionais — por exemplo, na aceleração de descoberta, modelagem de dados, geração e revisão de configuração, documentação e artefatos de projeto. O uso de tais ferramentas observará os princípios de IA Confiável (Trusted AI) da Salesforce, os termos do Contrato e as políticas aplicáveis de proteção de dados, sendo a relação de subprocessadores e ferramentas de terceiros aprovados aquela disponível no endereço referido na cláusula anterior. O prazo de entrega do desenvolvimento em 8 (oito) semanas e os Honorários estabelecidos nesta SOW estão condicionados a este consentimento; na ausência dele, o cronograma, os Marcos e os Honorários poderão ser reajustados mediante Pedido de Alteração.</w:t>
      </w:r>
      <w:hyperlink r:id="rId8" w:history="1">
        <w:r>
          <w:rPr>
            <w:rStyle w:val="Hyperlink"/>
            <w:lang w:val="pt-BR"/>
          </w:rPr>
          <w:t>https://www.salesforce.com/content/dam/web/en_us/www/documents/legal/Agreements/professional-service-agreements-and-terms/psa-infrastructure-and-subprocessors.pdf</w:t>
        </w:r>
      </w:hyperlink>
    </w:p>
    <w:p w14:paraId="73455906" w14:textId="77777777" w:rsidR="00211257" w:rsidRDefault="00000000">
      <w:pPr>
        <w:pStyle w:val="Ttulo1"/>
        <w:keepNext/>
        <w:keepLines/>
        <w:spacing w:beforeLines="240" w:before="576" w:after="120" w:line="276" w:lineRule="auto"/>
        <w:ind w:left="432" w:hanging="432"/>
        <w:contextualSpacing w:val="0"/>
        <w:jc w:val="left"/>
      </w:pPr>
      <w:bookmarkStart w:id="5" w:name="_Hlk165904903"/>
      <w:r>
        <w:t>Responsabilidades do Cliente</w:t>
      </w:r>
    </w:p>
    <w:bookmarkEnd w:id="5"/>
    <w:p w14:paraId="46754293" w14:textId="77777777" w:rsidR="00211257" w:rsidRDefault="00000000">
      <w:pPr>
        <w:rPr>
          <w:lang w:val="pt-BR"/>
        </w:rPr>
      </w:pPr>
      <w:r>
        <w:rPr>
          <w:lang w:val="pt-BR"/>
        </w:rPr>
        <w:t xml:space="preserve">A SFDC espera executar as Descrição descritas nesta SOW como um fluxo ininterrupto de trabalho. O desempenho tempestivo dos Serviços Profissionais de acordo com esta SOW requer colaboração contínua entre a SFDC e o Cliente. O Cliente é responsável por determinadas tarefas importantes, contribuições e revisões em tempo hábil para permitir que a SFDC execute suas obrigações sob esta SOW. Atrasos na execução dos Serviços Profissionais causados pelo Cliente podem resultar em encargos adicionais aplicáveis pelo tempo do recurso. A SFDC não será responsável por atrasos ou outros danos causados pelo descumprimento do Cliente das suas obrigações.  </w:t>
      </w:r>
    </w:p>
    <w:p w14:paraId="1B87E3F0" w14:textId="77777777" w:rsidR="00211257" w:rsidRDefault="00000000">
      <w:pPr>
        <w:pStyle w:val="Ttulo2"/>
        <w:keepNext/>
        <w:keepLines/>
        <w:ind w:left="1026" w:hanging="576"/>
        <w:contextualSpacing w:val="0"/>
        <w:jc w:val="left"/>
      </w:pPr>
      <w:r>
        <w:t xml:space="preserve">Cooperação do Cliente </w:t>
      </w:r>
    </w:p>
    <w:p w14:paraId="47401C31" w14:textId="77777777" w:rsidR="00211257" w:rsidRDefault="00000000">
      <w:pPr>
        <w:rPr>
          <w:lang w:val="pt-BR"/>
        </w:rPr>
      </w:pPr>
      <w:bookmarkStart w:id="6" w:name="_Hlk165906068"/>
      <w:r>
        <w:rPr>
          <w:lang w:val="pt-BR"/>
        </w:rPr>
        <w:t>O Cliente cooperará com a SFDC em seu desempenho dos Serviços Profissionais mediante as seguintes Descrição, sem limitação:</w:t>
      </w:r>
      <w:bookmarkEnd w:id="6"/>
    </w:p>
    <w:p w14:paraId="018671E0" w14:textId="77777777" w:rsidR="00211257" w:rsidRDefault="00000000">
      <w:pPr>
        <w:numPr>
          <w:ilvl w:val="2"/>
          <w:numId w:val="3"/>
        </w:numPr>
        <w:contextualSpacing/>
        <w:rPr>
          <w:lang w:val="pt-BR"/>
        </w:rPr>
      </w:pPr>
      <w:r>
        <w:rPr>
          <w:lang w:val="pt-BR"/>
        </w:rPr>
        <w:lastRenderedPageBreak/>
        <w:t>Trabalhar com os stakeholders e a equipe de implementação do Cliente e a SFDC para determinar prazos e cronogramas de recursos mutuamente aceitáveis para o projeto;</w:t>
      </w:r>
    </w:p>
    <w:p w14:paraId="1DCB4B56" w14:textId="77777777" w:rsidR="00211257" w:rsidRDefault="00000000">
      <w:pPr>
        <w:numPr>
          <w:ilvl w:val="2"/>
          <w:numId w:val="3"/>
        </w:numPr>
        <w:contextualSpacing/>
        <w:rPr>
          <w:lang w:val="pt-BR"/>
        </w:rPr>
      </w:pPr>
      <w:r>
        <w:rPr>
          <w:lang w:val="pt-BR"/>
        </w:rPr>
        <w:t>Entregar em tempo hábil as garantias e outras obrigações do Cliente exigidas por esta SOW;</w:t>
      </w:r>
    </w:p>
    <w:p w14:paraId="1B15D51F" w14:textId="77777777" w:rsidR="00211257" w:rsidRDefault="00000000">
      <w:pPr>
        <w:numPr>
          <w:ilvl w:val="2"/>
          <w:numId w:val="3"/>
        </w:numPr>
        <w:contextualSpacing/>
        <w:rPr>
          <w:lang w:val="pt-BR"/>
        </w:rPr>
      </w:pPr>
      <w:r>
        <w:rPr>
          <w:lang w:val="pt-BR"/>
        </w:rPr>
        <w:t xml:space="preserve">Responder prontamente às consultas da SFDC relacionadas com os Serviços Profissionais; </w:t>
      </w:r>
    </w:p>
    <w:p w14:paraId="2F9DD20E" w14:textId="77777777" w:rsidR="00211257" w:rsidRDefault="00000000">
      <w:pPr>
        <w:numPr>
          <w:ilvl w:val="2"/>
          <w:numId w:val="3"/>
        </w:numPr>
        <w:contextualSpacing/>
        <w:rPr>
          <w:lang w:val="pt-BR"/>
        </w:rPr>
      </w:pPr>
      <w:r>
        <w:rPr>
          <w:lang w:val="pt-BR"/>
        </w:rPr>
        <w:t>Fornecer informações, dados e feedback completos, precisos e tempestivos, conforme razoavelmente necessário;</w:t>
      </w:r>
    </w:p>
    <w:p w14:paraId="54901F5D" w14:textId="77777777" w:rsidR="00211257" w:rsidRDefault="00000000">
      <w:pPr>
        <w:numPr>
          <w:ilvl w:val="2"/>
          <w:numId w:val="3"/>
        </w:numPr>
        <w:contextualSpacing/>
        <w:rPr>
          <w:lang w:val="pt-BR"/>
        </w:rPr>
      </w:pPr>
      <w:r>
        <w:rPr>
          <w:lang w:val="pt-BR"/>
        </w:rPr>
        <w:t xml:space="preserve">Trabalhar  </w:t>
      </w:r>
      <w:r>
        <w:rPr>
          <w:color w:val="000000"/>
          <w:szCs w:val="16"/>
          <w:lang w:val="pt-BR"/>
        </w:rPr>
        <w:t>em colaboração com a SFDC durante todo o projeto para mitigar riscos, escalar e resolver problemas rapidamente, e priorizar esforços a fim de alcançar os prazos acordados</w:t>
      </w:r>
      <w:r>
        <w:rPr>
          <w:lang w:val="pt-BR"/>
        </w:rPr>
        <w:t>;</w:t>
      </w:r>
    </w:p>
    <w:p w14:paraId="381024CA" w14:textId="77777777" w:rsidR="00211257" w:rsidRDefault="00000000">
      <w:pPr>
        <w:numPr>
          <w:ilvl w:val="2"/>
          <w:numId w:val="3"/>
        </w:numPr>
        <w:contextualSpacing/>
        <w:rPr>
          <w:lang w:val="pt-BR"/>
        </w:rPr>
      </w:pPr>
      <w:r>
        <w:rPr>
          <w:lang w:val="pt-BR"/>
        </w:rPr>
        <w:t>Colaborar com a SFDC para validar que as tarefas-chave e as dependências de cronograma estejam alinhadas com o gerenciamento global do projeto;</w:t>
      </w:r>
    </w:p>
    <w:p w14:paraId="5E602E20" w14:textId="77777777" w:rsidR="00211257" w:rsidRDefault="00000000">
      <w:pPr>
        <w:numPr>
          <w:ilvl w:val="2"/>
          <w:numId w:val="3"/>
        </w:numPr>
        <w:contextualSpacing/>
        <w:rPr>
          <w:lang w:val="pt-BR"/>
        </w:rPr>
      </w:pPr>
      <w:r>
        <w:rPr>
          <w:lang w:val="pt-BR"/>
        </w:rPr>
        <w:t>Participar de pontos de verificação formais durante todo o projeto, que serão definidos nos Documentos de Planejamento durante as etapas de Definição e Desenho (</w:t>
      </w:r>
      <w:r>
        <w:rPr>
          <w:i/>
          <w:lang w:val="pt-BR"/>
        </w:rPr>
        <w:t>Define &amp; Design)</w:t>
      </w:r>
      <w:r>
        <w:rPr>
          <w:lang w:val="pt-BR"/>
        </w:rPr>
        <w:t xml:space="preserve"> do projeto;</w:t>
      </w:r>
    </w:p>
    <w:p w14:paraId="7F00B90F" w14:textId="05AAEA7F" w:rsidR="00211257" w:rsidRPr="00736AFD" w:rsidRDefault="00000000" w:rsidP="00736AFD">
      <w:pPr>
        <w:numPr>
          <w:ilvl w:val="2"/>
          <w:numId w:val="3"/>
        </w:numPr>
        <w:contextualSpacing/>
        <w:rPr>
          <w:lang w:val="pt-BR"/>
        </w:rPr>
      </w:pPr>
      <w:r>
        <w:rPr>
          <w:lang w:val="pt-BR"/>
        </w:rPr>
        <w:t>Participar de reuniões semanais para rever o status do projeto, riscos, questões em aberto e abordagem de mitigação. As reuniões semanais de status incluirão, mas não estarão limitadas às seguintes partes: Gerente de Projeto do Cliente, Proprietário de Produto do Cliente e Gerente de Projeto ou Gerente de Engajamento SFD</w:t>
      </w:r>
      <w:r w:rsidR="00736AFD">
        <w:rPr>
          <w:lang w:val="pt-BR"/>
        </w:rPr>
        <w:t>C.</w:t>
      </w:r>
    </w:p>
    <w:p w14:paraId="59C875ED" w14:textId="77777777" w:rsidR="00211257" w:rsidRDefault="00000000">
      <w:pPr>
        <w:pStyle w:val="Ttulo2"/>
        <w:jc w:val="left"/>
      </w:pPr>
      <w:r>
        <w:t>Equipe do Cliente</w:t>
      </w:r>
    </w:p>
    <w:p w14:paraId="7A60DA23" w14:textId="77777777" w:rsidR="00211257" w:rsidRDefault="00000000">
      <w:pPr>
        <w:rPr>
          <w:lang w:val="pt-BR"/>
        </w:rPr>
      </w:pPr>
      <w:bookmarkStart w:id="7" w:name="_Hlk165906308"/>
      <w:r>
        <w:rPr>
          <w:lang w:val="pt-BR"/>
        </w:rPr>
        <w:t>O Cliente disponibilizará recursos adequados e conhecedores do Cliente, incluindo, mas não se limitando aos recursos conforme estabelecido na tabela abaixo, para proporcionar participação ativa e contínua, incluindo, mas não se limitando a revisão, feedback, aprovações e tomada de decisões em tempo hábil. Todos os recursos do Cliente envolvidos no projeto devem ter nível adequado de familiaridade com a Aplicação, suas funcionalidades padrão e terminologia associada.</w:t>
      </w:r>
    </w:p>
    <w:p w14:paraId="709D7722" w14:textId="77777777" w:rsidR="00211257" w:rsidRDefault="00000000">
      <w:pPr>
        <w:pStyle w:val="PargrafodaLista"/>
        <w:numPr>
          <w:ilvl w:val="2"/>
          <w:numId w:val="3"/>
        </w:numPr>
      </w:pPr>
      <w:r>
        <w:t>Executivo Responsável</w:t>
      </w:r>
    </w:p>
    <w:p w14:paraId="63F04E4F" w14:textId="77777777" w:rsidR="00211257" w:rsidRDefault="00000000">
      <w:pPr>
        <w:pStyle w:val="PargrafodaLista"/>
        <w:numPr>
          <w:ilvl w:val="3"/>
          <w:numId w:val="3"/>
        </w:numPr>
        <w:rPr>
          <w:color w:val="000000"/>
          <w:szCs w:val="18"/>
          <w:lang w:val="pt-BR"/>
        </w:rPr>
      </w:pPr>
      <w:r>
        <w:rPr>
          <w:color w:val="000000"/>
          <w:szCs w:val="18"/>
          <w:lang w:val="pt-BR"/>
        </w:rPr>
        <w:t xml:space="preserve">Fornecer liderança de ideias e orientação geral do projeto </w:t>
      </w:r>
    </w:p>
    <w:p w14:paraId="14F90963" w14:textId="77777777" w:rsidR="00211257" w:rsidRDefault="00000000">
      <w:pPr>
        <w:pStyle w:val="PargrafodaLista"/>
        <w:numPr>
          <w:ilvl w:val="3"/>
          <w:numId w:val="3"/>
        </w:numPr>
        <w:rPr>
          <w:color w:val="000000"/>
          <w:szCs w:val="18"/>
          <w:lang w:val="pt-BR"/>
        </w:rPr>
      </w:pPr>
      <w:r>
        <w:rPr>
          <w:color w:val="000000"/>
          <w:szCs w:val="18"/>
          <w:lang w:val="pt-BR"/>
        </w:rPr>
        <w:t xml:space="preserve">Participar ativamente das reuniões e Descrição do Comitê de Direção,  </w:t>
      </w:r>
    </w:p>
    <w:p w14:paraId="30E9E8E4" w14:textId="77777777" w:rsidR="00211257" w:rsidRDefault="00000000">
      <w:pPr>
        <w:pStyle w:val="PargrafodaLista"/>
        <w:numPr>
          <w:ilvl w:val="3"/>
          <w:numId w:val="3"/>
        </w:numPr>
        <w:rPr>
          <w:color w:val="000000"/>
          <w:szCs w:val="18"/>
          <w:lang w:val="pt-BR"/>
        </w:rPr>
      </w:pPr>
      <w:r>
        <w:rPr>
          <w:color w:val="000000"/>
          <w:szCs w:val="18"/>
          <w:lang w:val="pt-BR"/>
        </w:rPr>
        <w:t>Atuar como um ponto de contato para escalações; e</w:t>
      </w:r>
    </w:p>
    <w:p w14:paraId="18984913" w14:textId="77777777" w:rsidR="00211257" w:rsidRDefault="00000000">
      <w:pPr>
        <w:pStyle w:val="PargrafodaLista"/>
        <w:numPr>
          <w:ilvl w:val="3"/>
          <w:numId w:val="3"/>
        </w:numPr>
        <w:rPr>
          <w:sz w:val="20"/>
          <w:szCs w:val="24"/>
          <w:lang w:val="pt-BR"/>
        </w:rPr>
      </w:pPr>
      <w:r>
        <w:rPr>
          <w:color w:val="000000"/>
          <w:szCs w:val="18"/>
          <w:lang w:val="pt-BR"/>
        </w:rPr>
        <w:t xml:space="preserve">Ser responsável pela execução das responsabilidades gerais e internas de gerenciamento do programa do </w:t>
      </w:r>
      <w:r>
        <w:rPr>
          <w:szCs w:val="18"/>
          <w:lang w:val="pt-BR"/>
        </w:rPr>
        <w:t>C</w:t>
      </w:r>
      <w:r>
        <w:rPr>
          <w:color w:val="000000"/>
          <w:szCs w:val="18"/>
          <w:lang w:val="pt-BR"/>
        </w:rPr>
        <w:t xml:space="preserve">liente.  </w:t>
      </w:r>
    </w:p>
    <w:p w14:paraId="31AA5F3E" w14:textId="7626E4D3" w:rsidR="00211257" w:rsidRDefault="00000000">
      <w:pPr>
        <w:pStyle w:val="PargrafodaLista"/>
        <w:numPr>
          <w:ilvl w:val="2"/>
          <w:numId w:val="3"/>
        </w:numPr>
      </w:pPr>
      <w:proofErr w:type="spellStart"/>
      <w:r>
        <w:t>Proprietário</w:t>
      </w:r>
      <w:proofErr w:type="spellEnd"/>
      <w:r>
        <w:t xml:space="preserve"> do </w:t>
      </w:r>
      <w:proofErr w:type="spellStart"/>
      <w:r>
        <w:t>Produto</w:t>
      </w:r>
      <w:proofErr w:type="spellEnd"/>
      <w:r>
        <w:t xml:space="preserve"> </w:t>
      </w:r>
    </w:p>
    <w:p w14:paraId="7014ADE1" w14:textId="77777777" w:rsidR="00211257" w:rsidRDefault="00000000">
      <w:pPr>
        <w:pStyle w:val="PargrafodaLista"/>
        <w:ind w:left="1728"/>
        <w:rPr>
          <w:lang w:val="pt-BR"/>
        </w:rPr>
      </w:pPr>
      <w:r>
        <w:rPr>
          <w:lang w:val="pt-BR"/>
        </w:rPr>
        <w:t xml:space="preserve"> Ser responsável pela visão do produto e pela maximização do valor de negócios do esforço de implementação;</w:t>
      </w:r>
    </w:p>
    <w:p w14:paraId="645F8134" w14:textId="77777777" w:rsidR="00211257" w:rsidRDefault="00000000">
      <w:pPr>
        <w:pStyle w:val="PargrafodaLista"/>
        <w:numPr>
          <w:ilvl w:val="3"/>
          <w:numId w:val="3"/>
        </w:numPr>
        <w:rPr>
          <w:lang w:val="pt-BR"/>
        </w:rPr>
      </w:pPr>
      <w:r>
        <w:rPr>
          <w:lang w:val="pt-BR"/>
        </w:rPr>
        <w:t xml:space="preserve">Representar os stakeholders do Cliente durante todo o projeto; </w:t>
      </w:r>
    </w:p>
    <w:p w14:paraId="3EEC9A75" w14:textId="77777777" w:rsidR="00211257" w:rsidRDefault="00000000">
      <w:pPr>
        <w:pStyle w:val="PargrafodaLista"/>
        <w:numPr>
          <w:ilvl w:val="3"/>
          <w:numId w:val="3"/>
        </w:numPr>
        <w:rPr>
          <w:lang w:val="pt-BR"/>
        </w:rPr>
      </w:pPr>
      <w:r>
        <w:rPr>
          <w:lang w:val="pt-BR"/>
        </w:rPr>
        <w:t>Gerenciar o conteúdo do backlog do produto;</w:t>
      </w:r>
    </w:p>
    <w:p w14:paraId="15EE49EE" w14:textId="77777777" w:rsidR="00211257" w:rsidRDefault="00000000">
      <w:pPr>
        <w:pStyle w:val="PargrafodaLista"/>
        <w:numPr>
          <w:ilvl w:val="3"/>
          <w:numId w:val="3"/>
        </w:numPr>
        <w:rPr>
          <w:lang w:val="pt-BR"/>
        </w:rPr>
      </w:pPr>
      <w:r>
        <w:rPr>
          <w:lang w:val="pt-BR"/>
        </w:rPr>
        <w:t>Fornecer conteúdo para Histórias de Usuário e auxiliar na criação dos critérios de aceitação;</w:t>
      </w:r>
    </w:p>
    <w:p w14:paraId="7196F79D" w14:textId="77777777" w:rsidR="00211257" w:rsidRDefault="00000000">
      <w:pPr>
        <w:pStyle w:val="PargrafodaLista"/>
        <w:numPr>
          <w:ilvl w:val="3"/>
          <w:numId w:val="3"/>
        </w:numPr>
        <w:rPr>
          <w:lang w:val="pt-BR"/>
        </w:rPr>
      </w:pPr>
      <w:r>
        <w:rPr>
          <w:lang w:val="pt-BR"/>
        </w:rPr>
        <w:t>Priorizar histórias no backlog do produto;</w:t>
      </w:r>
    </w:p>
    <w:p w14:paraId="47A63F2A" w14:textId="77777777" w:rsidR="00211257" w:rsidRDefault="00000000">
      <w:pPr>
        <w:pStyle w:val="PargrafodaLista"/>
        <w:numPr>
          <w:ilvl w:val="3"/>
          <w:numId w:val="3"/>
        </w:numPr>
        <w:rPr>
          <w:lang w:val="pt-BR"/>
        </w:rPr>
      </w:pPr>
      <w:r>
        <w:rPr>
          <w:lang w:val="pt-BR"/>
        </w:rPr>
        <w:t>Trabalhar com a SFDC para determinar a ordem na qual as histórias serão implementadas; e</w:t>
      </w:r>
    </w:p>
    <w:p w14:paraId="4FD21522" w14:textId="77777777" w:rsidR="00211257" w:rsidRDefault="00000000">
      <w:pPr>
        <w:pStyle w:val="PargrafodaLista"/>
        <w:numPr>
          <w:ilvl w:val="3"/>
          <w:numId w:val="3"/>
        </w:numPr>
        <w:rPr>
          <w:lang w:val="pt-BR"/>
        </w:rPr>
      </w:pPr>
      <w:r>
        <w:rPr>
          <w:lang w:val="pt-BR"/>
        </w:rPr>
        <w:t>Aceitar cada História de Usuário após demonstração de que ela atende aos critérios de aceitação, de acordo com a Aceitação.</w:t>
      </w:r>
    </w:p>
    <w:p w14:paraId="4981A240" w14:textId="77777777" w:rsidR="00211257" w:rsidRDefault="00000000">
      <w:pPr>
        <w:pStyle w:val="PargrafodaLista"/>
        <w:numPr>
          <w:ilvl w:val="2"/>
          <w:numId w:val="3"/>
        </w:numPr>
      </w:pPr>
      <w:r>
        <w:t xml:space="preserve">Especialistas em Assuntos de Negócios </w:t>
      </w:r>
    </w:p>
    <w:p w14:paraId="0D3A567B" w14:textId="77777777" w:rsidR="00211257" w:rsidRDefault="00000000">
      <w:pPr>
        <w:pStyle w:val="PargrafodaLista"/>
        <w:numPr>
          <w:ilvl w:val="3"/>
          <w:numId w:val="3"/>
        </w:numPr>
        <w:rPr>
          <w:lang w:val="pt-BR"/>
        </w:rPr>
      </w:pPr>
      <w:r>
        <w:rPr>
          <w:lang w:val="pt-BR"/>
        </w:rPr>
        <w:t xml:space="preserve">Ajudar a definir os requisitos de negócio e os casos de teste; </w:t>
      </w:r>
    </w:p>
    <w:p w14:paraId="12146F5F" w14:textId="77777777" w:rsidR="00211257" w:rsidRDefault="00000000">
      <w:pPr>
        <w:pStyle w:val="PargrafodaLista"/>
        <w:numPr>
          <w:ilvl w:val="3"/>
          <w:numId w:val="3"/>
        </w:numPr>
        <w:rPr>
          <w:lang w:val="pt-BR"/>
        </w:rPr>
      </w:pPr>
      <w:r>
        <w:rPr>
          <w:lang w:val="pt-BR"/>
        </w:rPr>
        <w:t>Participar nas sessões de planejamento e requisitos; e</w:t>
      </w:r>
    </w:p>
    <w:p w14:paraId="35015C50" w14:textId="77777777" w:rsidR="00211257" w:rsidRDefault="00000000">
      <w:pPr>
        <w:pStyle w:val="PargrafodaLista"/>
        <w:numPr>
          <w:ilvl w:val="3"/>
          <w:numId w:val="3"/>
        </w:numPr>
        <w:rPr>
          <w:lang w:val="pt-BR"/>
        </w:rPr>
      </w:pPr>
      <w:r>
        <w:rPr>
          <w:lang w:val="pt-BR"/>
        </w:rPr>
        <w:t>Ser responsável pelos Testes de Aceitação do Usuário e de Usabilidade.</w:t>
      </w:r>
    </w:p>
    <w:p w14:paraId="103F49E0" w14:textId="77777777" w:rsidR="00211257" w:rsidRDefault="00000000">
      <w:pPr>
        <w:pStyle w:val="PargrafodaLista"/>
        <w:numPr>
          <w:ilvl w:val="2"/>
          <w:numId w:val="3"/>
        </w:numPr>
      </w:pPr>
      <w:r>
        <w:t>Líder de Tecnologia/TI;</w:t>
      </w:r>
    </w:p>
    <w:p w14:paraId="6701BD8F" w14:textId="77777777" w:rsidR="00211257" w:rsidRDefault="00000000">
      <w:pPr>
        <w:pStyle w:val="PargrafodaLista"/>
        <w:numPr>
          <w:ilvl w:val="3"/>
          <w:numId w:val="3"/>
        </w:numPr>
        <w:rPr>
          <w:lang w:val="pt-BR"/>
        </w:rPr>
      </w:pPr>
      <w:r>
        <w:rPr>
          <w:lang w:val="pt-BR"/>
        </w:rPr>
        <w:t xml:space="preserve">Fornecer suporte, se necessário, para completar a configuração da rede do Cliente; </w:t>
      </w:r>
    </w:p>
    <w:p w14:paraId="48D21714" w14:textId="77777777" w:rsidR="00211257" w:rsidRDefault="00000000">
      <w:pPr>
        <w:pStyle w:val="PargrafodaLista"/>
        <w:numPr>
          <w:ilvl w:val="3"/>
          <w:numId w:val="3"/>
        </w:numPr>
      </w:pPr>
      <w:r>
        <w:t>Fornecer requisitos de segurança;</w:t>
      </w:r>
    </w:p>
    <w:p w14:paraId="3ECC24F8" w14:textId="77777777" w:rsidR="00211257" w:rsidRDefault="00000000">
      <w:pPr>
        <w:pStyle w:val="PargrafodaLista"/>
        <w:numPr>
          <w:ilvl w:val="3"/>
          <w:numId w:val="3"/>
        </w:numPr>
        <w:rPr>
          <w:lang w:val="pt-BR"/>
        </w:rPr>
      </w:pPr>
      <w:r>
        <w:rPr>
          <w:lang w:val="pt-BR"/>
        </w:rPr>
        <w:t xml:space="preserve">Fornecer suporte de SSO </w:t>
      </w:r>
      <w:r>
        <w:rPr>
          <w:i/>
          <w:lang w:val="pt-BR"/>
        </w:rPr>
        <w:t>(Single-Sign On)</w:t>
      </w:r>
      <w:r>
        <w:rPr>
          <w:lang w:val="pt-BR"/>
        </w:rPr>
        <w:t xml:space="preserve"> conforme necessário; </w:t>
      </w:r>
    </w:p>
    <w:p w14:paraId="38B31B9B" w14:textId="77777777" w:rsidR="00211257" w:rsidRDefault="00000000">
      <w:pPr>
        <w:pStyle w:val="PargrafodaLista"/>
        <w:numPr>
          <w:ilvl w:val="3"/>
          <w:numId w:val="3"/>
        </w:numPr>
        <w:rPr>
          <w:lang w:val="pt-BR"/>
        </w:rPr>
      </w:pPr>
      <w:r>
        <w:rPr>
          <w:lang w:val="pt-BR"/>
        </w:rPr>
        <w:t xml:space="preserve">Participar de discussões/decisões de arquitetura; </w:t>
      </w:r>
    </w:p>
    <w:p w14:paraId="4A36D729" w14:textId="77777777" w:rsidR="00211257" w:rsidRDefault="00000000">
      <w:pPr>
        <w:pStyle w:val="PargrafodaLista"/>
        <w:numPr>
          <w:ilvl w:val="3"/>
          <w:numId w:val="3"/>
        </w:numPr>
        <w:rPr>
          <w:lang w:val="pt-BR"/>
        </w:rPr>
      </w:pPr>
      <w:r>
        <w:rPr>
          <w:lang w:val="pt-BR"/>
        </w:rPr>
        <w:t>Ajudar a criar casos de teste para apoiar os requerimentos técnicos;</w:t>
      </w:r>
    </w:p>
    <w:p w14:paraId="34E90F2B" w14:textId="77777777" w:rsidR="00211257" w:rsidRDefault="00000000">
      <w:pPr>
        <w:pStyle w:val="PargrafodaLista"/>
        <w:numPr>
          <w:ilvl w:val="3"/>
          <w:numId w:val="3"/>
        </w:numPr>
        <w:rPr>
          <w:lang w:val="pt-BR"/>
        </w:rPr>
      </w:pPr>
      <w:r>
        <w:rPr>
          <w:lang w:val="pt-BR"/>
        </w:rPr>
        <w:t>Ser responsável pela aceitação do usuário, desempenho e testes de volume;</w:t>
      </w:r>
    </w:p>
    <w:p w14:paraId="6BF7C534" w14:textId="77777777" w:rsidR="00211257" w:rsidRDefault="00000000">
      <w:pPr>
        <w:pStyle w:val="PargrafodaLista"/>
        <w:numPr>
          <w:ilvl w:val="3"/>
          <w:numId w:val="3"/>
        </w:numPr>
        <w:rPr>
          <w:lang w:val="pt-BR"/>
        </w:rPr>
      </w:pPr>
      <w:r>
        <w:rPr>
          <w:lang w:val="pt-BR"/>
        </w:rPr>
        <w:t>Supervisionar e participar da transferência de conhecimentos;</w:t>
      </w:r>
    </w:p>
    <w:p w14:paraId="1B553AE7" w14:textId="77777777" w:rsidR="00211257" w:rsidRDefault="00000000">
      <w:pPr>
        <w:pStyle w:val="PargrafodaLista"/>
        <w:numPr>
          <w:ilvl w:val="3"/>
          <w:numId w:val="3"/>
        </w:numPr>
        <w:rPr>
          <w:lang w:val="pt-BR"/>
        </w:rPr>
      </w:pPr>
      <w:r>
        <w:rPr>
          <w:lang w:val="pt-BR"/>
        </w:rPr>
        <w:t>Fornecer suporte geral para acesso à rede e ao sistema, conforme necessário; e</w:t>
      </w:r>
    </w:p>
    <w:p w14:paraId="2FC16FAF" w14:textId="77777777" w:rsidR="00211257" w:rsidRDefault="00000000">
      <w:pPr>
        <w:pStyle w:val="PargrafodaLista"/>
        <w:numPr>
          <w:ilvl w:val="3"/>
          <w:numId w:val="3"/>
        </w:numPr>
        <w:rPr>
          <w:lang w:val="pt-BR"/>
        </w:rPr>
      </w:pPr>
      <w:r>
        <w:rPr>
          <w:lang w:val="pt-BR"/>
        </w:rPr>
        <w:t>Fornecer suporte contínuo às operações após o go-live.</w:t>
      </w:r>
    </w:p>
    <w:p w14:paraId="2AE65628" w14:textId="77777777" w:rsidR="00211257" w:rsidRDefault="00000000">
      <w:pPr>
        <w:pStyle w:val="PargrafodaLista"/>
        <w:numPr>
          <w:ilvl w:val="2"/>
          <w:numId w:val="3"/>
        </w:numPr>
      </w:pPr>
      <w:r>
        <w:t xml:space="preserve">Líder de Gestão de Alteração Organizacional </w:t>
      </w:r>
    </w:p>
    <w:p w14:paraId="6183FE3E" w14:textId="77777777" w:rsidR="00211257" w:rsidRDefault="00000000">
      <w:pPr>
        <w:pStyle w:val="PargrafodaLista"/>
        <w:numPr>
          <w:ilvl w:val="3"/>
          <w:numId w:val="3"/>
        </w:numPr>
        <w:rPr>
          <w:lang w:val="pt-BR"/>
        </w:rPr>
      </w:pPr>
      <w:r>
        <w:rPr>
          <w:lang w:val="pt-BR"/>
        </w:rPr>
        <w:t>Responsável pelas Descrição de gestão de alterações do Cliente, incluindo, mas não se limitando a:</w:t>
      </w:r>
    </w:p>
    <w:p w14:paraId="1FBD75D4" w14:textId="77777777" w:rsidR="00211257" w:rsidRDefault="00000000">
      <w:pPr>
        <w:pStyle w:val="PargrafodaLista"/>
        <w:numPr>
          <w:ilvl w:val="3"/>
          <w:numId w:val="3"/>
        </w:numPr>
      </w:pPr>
      <w:r>
        <w:t xml:space="preserve">Realizar análise dos stakeholders; </w:t>
      </w:r>
    </w:p>
    <w:p w14:paraId="425E0FAC" w14:textId="77777777" w:rsidR="00211257" w:rsidRDefault="00000000">
      <w:pPr>
        <w:pStyle w:val="PargrafodaLista"/>
        <w:numPr>
          <w:ilvl w:val="3"/>
          <w:numId w:val="3"/>
        </w:numPr>
        <w:rPr>
          <w:lang w:val="pt-BR"/>
        </w:rPr>
      </w:pPr>
      <w:r>
        <w:rPr>
          <w:lang w:val="pt-BR"/>
        </w:rPr>
        <w:t>Supervisionar o plano de comunicação em torno de lançamentos, mudanças organizacionais e anúncios;</w:t>
      </w:r>
    </w:p>
    <w:p w14:paraId="2D8C022B" w14:textId="77777777" w:rsidR="00211257" w:rsidRDefault="00000000">
      <w:pPr>
        <w:pStyle w:val="PargrafodaLista"/>
        <w:numPr>
          <w:ilvl w:val="3"/>
          <w:numId w:val="3"/>
        </w:numPr>
        <w:rPr>
          <w:lang w:val="pt-BR"/>
        </w:rPr>
      </w:pPr>
      <w:r>
        <w:rPr>
          <w:lang w:val="pt-BR"/>
        </w:rPr>
        <w:t xml:space="preserve">Comunicar a mudança aos usuários finais; </w:t>
      </w:r>
    </w:p>
    <w:p w14:paraId="6F3BE670" w14:textId="77777777" w:rsidR="00211257" w:rsidRDefault="00000000">
      <w:pPr>
        <w:pStyle w:val="PargrafodaLista"/>
        <w:numPr>
          <w:ilvl w:val="3"/>
          <w:numId w:val="3"/>
        </w:numPr>
        <w:rPr>
          <w:lang w:val="pt-BR"/>
        </w:rPr>
      </w:pPr>
      <w:r>
        <w:rPr>
          <w:lang w:val="pt-BR"/>
        </w:rPr>
        <w:t>Monitorar e garantir a adoção pelos usuários finais; e</w:t>
      </w:r>
    </w:p>
    <w:p w14:paraId="68044714" w14:textId="77777777" w:rsidR="00211257" w:rsidRDefault="00000000">
      <w:pPr>
        <w:pStyle w:val="PargrafodaLista"/>
        <w:numPr>
          <w:ilvl w:val="3"/>
          <w:numId w:val="3"/>
        </w:numPr>
        <w:rPr>
          <w:lang w:val="pt-BR"/>
        </w:rPr>
      </w:pPr>
      <w:r>
        <w:rPr>
          <w:lang w:val="pt-BR"/>
        </w:rPr>
        <w:t>Capturar e medir o valor real do negócio resultante dos Serviços Profissionais</w:t>
      </w:r>
    </w:p>
    <w:p w14:paraId="0727B5CB" w14:textId="77777777" w:rsidR="00211257" w:rsidRDefault="00000000">
      <w:pPr>
        <w:pStyle w:val="PargrafodaLista"/>
        <w:numPr>
          <w:ilvl w:val="2"/>
          <w:numId w:val="3"/>
        </w:numPr>
      </w:pPr>
      <w:r>
        <w:t xml:space="preserve">Líder de Treinamento </w:t>
      </w:r>
    </w:p>
    <w:p w14:paraId="1975D2F6" w14:textId="77777777" w:rsidR="00211257" w:rsidRDefault="00000000">
      <w:pPr>
        <w:pStyle w:val="PargrafodaLista"/>
        <w:numPr>
          <w:ilvl w:val="3"/>
          <w:numId w:val="3"/>
        </w:numPr>
        <w:rPr>
          <w:lang w:val="pt-BR"/>
        </w:rPr>
      </w:pPr>
      <w:r>
        <w:rPr>
          <w:lang w:val="pt-BR"/>
        </w:rPr>
        <w:t xml:space="preserve">Responsável pelo treinamento dos usuários finais do Cliente, incluindo, mas não se limitando a: </w:t>
      </w:r>
    </w:p>
    <w:p w14:paraId="582AF345" w14:textId="77777777" w:rsidR="00211257" w:rsidRDefault="00000000">
      <w:pPr>
        <w:pStyle w:val="PargrafodaLista"/>
        <w:numPr>
          <w:ilvl w:val="3"/>
          <w:numId w:val="3"/>
        </w:numPr>
        <w:rPr>
          <w:lang w:val="pt-BR"/>
        </w:rPr>
      </w:pPr>
      <w:r>
        <w:rPr>
          <w:lang w:val="pt-BR"/>
        </w:rPr>
        <w:lastRenderedPageBreak/>
        <w:t xml:space="preserve">Desenvolver a estratégia de treinamento, material e currículo; </w:t>
      </w:r>
    </w:p>
    <w:p w14:paraId="02C377FC" w14:textId="77777777" w:rsidR="00211257" w:rsidRDefault="00000000">
      <w:pPr>
        <w:pStyle w:val="PargrafodaLista"/>
        <w:numPr>
          <w:ilvl w:val="3"/>
          <w:numId w:val="3"/>
        </w:numPr>
      </w:pPr>
      <w:r>
        <w:rPr>
          <w:lang w:val="pt-BR"/>
        </w:rPr>
        <w:t xml:space="preserve">Administrar o treinamento de usuários finais, inclusive salas de aula ou logística virtual. </w:t>
      </w:r>
    </w:p>
    <w:bookmarkEnd w:id="7"/>
    <w:p w14:paraId="1FDEB0D3" w14:textId="77777777" w:rsidR="00211257" w:rsidRDefault="00000000">
      <w:pPr>
        <w:pStyle w:val="Ttulo2"/>
        <w:jc w:val="left"/>
      </w:pPr>
      <w:r>
        <w:t>Obrigações Adicionais</w:t>
      </w:r>
    </w:p>
    <w:p w14:paraId="3D3263EC" w14:textId="77777777" w:rsidR="00211257" w:rsidRDefault="00000000">
      <w:pPr>
        <w:pStyle w:val="PargrafodaLista"/>
        <w:numPr>
          <w:ilvl w:val="2"/>
          <w:numId w:val="3"/>
        </w:numPr>
        <w:rPr>
          <w:lang w:val="pt-BR"/>
        </w:rPr>
      </w:pPr>
      <w:r>
        <w:rPr>
          <w:lang w:val="pt-BR"/>
        </w:rPr>
        <w:t>Acesso à Tecnologia e à Aplicação</w:t>
      </w:r>
    </w:p>
    <w:p w14:paraId="51303A56" w14:textId="77777777" w:rsidR="00211257" w:rsidRDefault="00000000">
      <w:pPr>
        <w:pStyle w:val="PargrafodaLista"/>
        <w:numPr>
          <w:ilvl w:val="3"/>
          <w:numId w:val="3"/>
        </w:numPr>
        <w:rPr>
          <w:lang w:val="pt-BR"/>
        </w:rPr>
      </w:pPr>
      <w:r>
        <w:rPr>
          <w:lang w:val="pt-BR"/>
        </w:rPr>
        <w:t>O Cliente irá adquirir, instalar, hospedar, testar, implantar, monitorar e manter equipamentos, infraestrutura, hardware, software, infraestrutura técnica, Internet estável com largura de banda suficiente, acesso a segurança e outras tecnologias, incluindo patches e atualizações de cada uma das anteriores, se necessárias para viabilizar a prestação dos Serviços Profissionais.</w:t>
      </w:r>
    </w:p>
    <w:p w14:paraId="423ADAC5" w14:textId="77777777" w:rsidR="00211257" w:rsidRDefault="00000000">
      <w:pPr>
        <w:pStyle w:val="PargrafodaLista"/>
        <w:numPr>
          <w:ilvl w:val="3"/>
          <w:numId w:val="3"/>
        </w:numPr>
        <w:rPr>
          <w:lang w:val="pt-BR"/>
        </w:rPr>
      </w:pPr>
      <w:r>
        <w:rPr>
          <w:lang w:val="pt-BR"/>
        </w:rPr>
        <w:t xml:space="preserve">O Cliente identificará e habilitará permissões para o pessoal da SFDC como administradores de sistema ou usuários das Instâncias de Aplicação do Cliente, conforme razoavelmente necessário para a prestação dos Serviços Profissionais. A SFDC pode baixar dados dos arquivos de registro e carregar arquivos de dados para desempenhar suas funções. </w:t>
      </w:r>
    </w:p>
    <w:p w14:paraId="66E79620" w14:textId="77777777" w:rsidR="00211257" w:rsidRDefault="00000000">
      <w:pPr>
        <w:pStyle w:val="PargrafodaLista"/>
        <w:numPr>
          <w:ilvl w:val="3"/>
          <w:numId w:val="3"/>
        </w:numPr>
        <w:rPr>
          <w:lang w:val="pt-BR"/>
        </w:rPr>
      </w:pPr>
      <w:sdt>
        <w:sdtPr>
          <w:tag w:val="goog_rdk_17"/>
          <w:id w:val="-641813196"/>
        </w:sdtPr>
        <w:sdtContent/>
      </w:sdt>
      <w:r>
        <w:rPr>
          <w:lang w:val="pt-BR"/>
        </w:rPr>
        <w:t>A SFDC terá acesso apenas à Aplicação do Cliente e não aos sistemas não-SFDC do Cliente, incluindo, mas não se limitando a: plataforma empresarial interna, plataformas de compra, servidores de anúncios, aplicações de terceiros, sistemas de registro de tempo, sistemas de gerenciamento de projetos e ferramentas de gerenciamento de defeitos. Caso as partes acordem mutuamente que tal acesso é necessário, o Cliente proverá acesso suficiente aos sistemas internos do Cliente (logs de defeitos, JIRA, etc.) conforme requerido para que a SFDC execute suas obrigações ora estabelecidas.</w:t>
      </w:r>
    </w:p>
    <w:p w14:paraId="5D772C4E" w14:textId="77777777" w:rsidR="00211257" w:rsidRDefault="00000000">
      <w:pPr>
        <w:pStyle w:val="PargrafodaLista"/>
        <w:numPr>
          <w:ilvl w:val="3"/>
          <w:numId w:val="3"/>
        </w:numPr>
        <w:rPr>
          <w:lang w:val="pt-BR"/>
        </w:rPr>
      </w:pPr>
      <w:r>
        <w:rPr>
          <w:lang w:val="pt-BR"/>
        </w:rPr>
        <w:t>O Cliente revogará o acesso do pessoal da SFDC aos sistemas internos e à Aplicação do Cliente (se houver) quando da conclusão do Prazo da SOW. Não obstante o anterior, a SFDC reserva o direito de revogar o acesso do pessoal da SFDC à Aplicação do Cliente, a menos que tal pessoal esteja alocado em um compromisso existente de Serviços Profissionais com o Cliente.</w:t>
      </w:r>
    </w:p>
    <w:p w14:paraId="3FEB8EA4" w14:textId="77777777" w:rsidR="00211257" w:rsidRDefault="00000000">
      <w:pPr>
        <w:pStyle w:val="PargrafodaLista"/>
        <w:numPr>
          <w:ilvl w:val="3"/>
          <w:numId w:val="3"/>
        </w:numPr>
        <w:rPr>
          <w:lang w:val="pt-BR"/>
        </w:rPr>
      </w:pPr>
      <w:r>
        <w:rPr>
          <w:lang w:val="pt-BR"/>
        </w:rPr>
        <w:t>A SFDC poderá prover acesso ao Cliente a ferramentas específicas de projeto durante a Prazo da SOW. O Cliente é responsável por realizar a transição das ferramentas aplicáveis (ex. exportar quaisquer dados disponibilizados na ferramenta) antes do término da Prazo da SOW.</w:t>
      </w:r>
    </w:p>
    <w:p w14:paraId="4ACC0F68" w14:textId="77777777" w:rsidR="00211257" w:rsidRDefault="00000000">
      <w:pPr>
        <w:pStyle w:val="PargrafodaLista"/>
        <w:numPr>
          <w:ilvl w:val="2"/>
          <w:numId w:val="3"/>
        </w:numPr>
        <w:rPr>
          <w:lang w:val="pt-BR"/>
        </w:rPr>
      </w:pPr>
      <w:r>
        <w:rPr>
          <w:lang w:val="pt-BR"/>
        </w:rPr>
        <w:t>Coordenação e Localização dos Serviços</w:t>
      </w:r>
    </w:p>
    <w:p w14:paraId="1177DCDB" w14:textId="77777777" w:rsidR="00211257" w:rsidRDefault="00000000">
      <w:pPr>
        <w:pStyle w:val="PargrafodaLista"/>
        <w:numPr>
          <w:ilvl w:val="3"/>
          <w:numId w:val="3"/>
        </w:numPr>
        <w:rPr>
          <w:lang w:val="pt-BR"/>
        </w:rPr>
      </w:pPr>
      <w:r>
        <w:rPr>
          <w:lang w:val="pt-BR"/>
        </w:rPr>
        <w:t>Os Serviços Profissionais descritos nesta SOW serão entregues virtualmente, a menos que as partes acordem por escrito de outra forma (e-mail é suficiente). Se o trabalho for realizado nas instalações do Cliente ou de qualquer uma de suas Afiliadas, então o Cliente fornecerá, sem custos para a SFDC, espaço de trabalho de escritório, equipamento de computador adequadamente configurado, Internet estável com largura de banda suficiente e acesso aos funcionários e agentes do Cliente apropriados e conhecedores.  O trabalho realizado presencialmente está sujeito a T&amp;Es, de acordo com a Seção 3.</w:t>
      </w:r>
    </w:p>
    <w:p w14:paraId="3E606964" w14:textId="77777777" w:rsidR="00211257" w:rsidRDefault="00000000">
      <w:pPr>
        <w:pStyle w:val="PargrafodaLista"/>
        <w:numPr>
          <w:ilvl w:val="2"/>
          <w:numId w:val="3"/>
        </w:numPr>
        <w:rPr>
          <w:lang w:val="pt-BR"/>
        </w:rPr>
      </w:pPr>
      <w:r>
        <w:rPr>
          <w:lang w:val="pt-BR"/>
        </w:rPr>
        <w:t>Disponibilidade e Qualidade de Dados</w:t>
      </w:r>
    </w:p>
    <w:p w14:paraId="13B80523" w14:textId="77777777" w:rsidR="00211257" w:rsidRDefault="00000000">
      <w:pPr>
        <w:pStyle w:val="PargrafodaLista"/>
        <w:numPr>
          <w:ilvl w:val="3"/>
          <w:numId w:val="3"/>
        </w:numPr>
        <w:rPr>
          <w:lang w:val="pt-BR"/>
        </w:rPr>
      </w:pPr>
      <w:r>
        <w:rPr>
          <w:lang w:val="pt-BR"/>
        </w:rPr>
        <w:t xml:space="preserve"> O Cliente terá uma ou mais de suas fontes de dados prontas para importação antes do início dos Serviços Profissionais. </w:t>
      </w:r>
    </w:p>
    <w:p w14:paraId="15A9C118" w14:textId="77777777" w:rsidR="00211257" w:rsidRDefault="00000000">
      <w:pPr>
        <w:pStyle w:val="PargrafodaLista"/>
        <w:numPr>
          <w:ilvl w:val="3"/>
          <w:numId w:val="3"/>
        </w:numPr>
        <w:rPr>
          <w:lang w:val="pt-BR"/>
        </w:rPr>
      </w:pPr>
      <w:r>
        <w:rPr>
          <w:lang w:val="pt-BR"/>
        </w:rPr>
        <w:t xml:space="preserve">Os dados externos importados como parte da automação devem estar no formato definido pela SFDC. </w:t>
      </w:r>
    </w:p>
    <w:p w14:paraId="2C618418" w14:textId="77777777" w:rsidR="00211257" w:rsidRDefault="00000000">
      <w:pPr>
        <w:pStyle w:val="PargrafodaLista"/>
        <w:numPr>
          <w:ilvl w:val="3"/>
          <w:numId w:val="3"/>
        </w:numPr>
        <w:rPr>
          <w:lang w:val="pt-BR"/>
        </w:rPr>
      </w:pPr>
      <w:r>
        <w:rPr>
          <w:lang w:val="pt-BR"/>
        </w:rPr>
        <w:t>O Cliente fornecerá à SFDC acesso às fontes de dados a serem integradas e os pontos finais necessários.</w:t>
      </w:r>
    </w:p>
    <w:p w14:paraId="34156669" w14:textId="77777777" w:rsidR="00211257" w:rsidRDefault="00000000">
      <w:pPr>
        <w:pStyle w:val="PargrafodaLista"/>
        <w:numPr>
          <w:ilvl w:val="3"/>
          <w:numId w:val="3"/>
        </w:numPr>
        <w:rPr>
          <w:lang w:val="pt-BR"/>
        </w:rPr>
      </w:pPr>
      <w:r>
        <w:rPr>
          <w:lang w:val="pt-BR"/>
        </w:rPr>
        <w:t>Fontes de dados não-API serão fornecidas no formato definido pela SFDC.</w:t>
      </w:r>
    </w:p>
    <w:p w14:paraId="34068DE1" w14:textId="77777777" w:rsidR="00211257" w:rsidRDefault="00000000">
      <w:pPr>
        <w:pStyle w:val="PargrafodaLista"/>
        <w:numPr>
          <w:ilvl w:val="3"/>
          <w:numId w:val="3"/>
        </w:numPr>
        <w:rPr>
          <w:lang w:val="pt-BR"/>
        </w:rPr>
      </w:pPr>
      <w:r>
        <w:rPr>
          <w:lang w:val="pt-BR"/>
        </w:rPr>
        <w:t xml:space="preserve">O Cliente é responsável pela qualidade dos dados, incluindo, mas não se limitando a: </w:t>
      </w:r>
    </w:p>
    <w:p w14:paraId="7A7DD25E" w14:textId="77777777" w:rsidR="00211257" w:rsidRDefault="00000000">
      <w:pPr>
        <w:pStyle w:val="PargrafodaLista"/>
        <w:numPr>
          <w:ilvl w:val="3"/>
          <w:numId w:val="3"/>
        </w:numPr>
        <w:rPr>
          <w:lang w:val="pt-BR"/>
        </w:rPr>
      </w:pPr>
      <w:r>
        <w:rPr>
          <w:lang w:val="pt-BR"/>
        </w:rPr>
        <w:t xml:space="preserve">Transformação de dados, limpeza, agregação, fusão e desduplicação da importação ou exportação do Cliente; </w:t>
      </w:r>
    </w:p>
    <w:p w14:paraId="47FC53FD" w14:textId="77777777" w:rsidR="00211257" w:rsidRDefault="00000000">
      <w:pPr>
        <w:pStyle w:val="PargrafodaLista"/>
        <w:numPr>
          <w:ilvl w:val="3"/>
          <w:numId w:val="3"/>
        </w:numPr>
        <w:rPr>
          <w:lang w:val="pt-BR"/>
        </w:rPr>
      </w:pPr>
      <w:r>
        <w:rPr>
          <w:lang w:val="pt-BR"/>
        </w:rPr>
        <w:t>Configuração de dados, processamento de extratos e testes de garantia de qualidade dos dados antes de serem submetidos à SFDC;</w:t>
      </w:r>
    </w:p>
    <w:p w14:paraId="362EE3B5" w14:textId="77777777" w:rsidR="00211257" w:rsidRDefault="00000000">
      <w:pPr>
        <w:pStyle w:val="PargrafodaLista"/>
        <w:numPr>
          <w:ilvl w:val="3"/>
          <w:numId w:val="3"/>
        </w:numPr>
        <w:rPr>
          <w:lang w:val="pt-BR"/>
        </w:rPr>
      </w:pPr>
      <w:r>
        <w:rPr>
          <w:lang w:val="pt-BR"/>
        </w:rPr>
        <w:t>Eliminação ou sobregravação de registros de dados; e</w:t>
      </w:r>
    </w:p>
    <w:p w14:paraId="3FE26594" w14:textId="77777777" w:rsidR="00211257" w:rsidRDefault="00000000">
      <w:pPr>
        <w:pStyle w:val="PargrafodaLista"/>
        <w:numPr>
          <w:ilvl w:val="3"/>
          <w:numId w:val="3"/>
        </w:numPr>
        <w:rPr>
          <w:lang w:val="pt-BR"/>
        </w:rPr>
      </w:pPr>
      <w:r>
        <w:rPr>
          <w:lang w:val="pt-BR"/>
        </w:rPr>
        <w:t xml:space="preserve">Tarefas de integração de dados após os arquivos atingirem seus pontos finais definidos. </w:t>
      </w:r>
    </w:p>
    <w:p w14:paraId="6B5FBBE6" w14:textId="77777777" w:rsidR="00211257" w:rsidRDefault="00000000">
      <w:pPr>
        <w:pStyle w:val="PargrafodaLista"/>
        <w:numPr>
          <w:ilvl w:val="2"/>
          <w:numId w:val="3"/>
        </w:numPr>
      </w:pPr>
      <w:r>
        <w:t>Ativos Criativos</w:t>
      </w:r>
    </w:p>
    <w:p w14:paraId="52B85E4A" w14:textId="77777777" w:rsidR="00211257" w:rsidRDefault="00000000">
      <w:pPr>
        <w:pStyle w:val="PargrafodaLista"/>
        <w:numPr>
          <w:ilvl w:val="3"/>
          <w:numId w:val="3"/>
        </w:numPr>
        <w:rPr>
          <w:lang w:val="pt-BR"/>
        </w:rPr>
      </w:pPr>
      <w:r>
        <w:rPr>
          <w:lang w:val="pt-BR"/>
        </w:rPr>
        <w:t xml:space="preserve">O Cliente identificará, adquirirá e fornecerá à SFDC conteúdo criativo, incluindo, mas não se limitando a: </w:t>
      </w:r>
    </w:p>
    <w:p w14:paraId="060620C4" w14:textId="77777777" w:rsidR="00211257" w:rsidRDefault="00000000">
      <w:pPr>
        <w:pStyle w:val="PargrafodaLista"/>
        <w:numPr>
          <w:ilvl w:val="3"/>
          <w:numId w:val="3"/>
        </w:numPr>
        <w:rPr>
          <w:lang w:val="pt-BR"/>
        </w:rPr>
      </w:pPr>
      <w:r>
        <w:rPr>
          <w:lang w:val="pt-BR"/>
        </w:rPr>
        <w:t>Copywriting e traduções de idiomas;</w:t>
      </w:r>
    </w:p>
    <w:p w14:paraId="3423B78D" w14:textId="77777777" w:rsidR="00211257" w:rsidRDefault="00000000">
      <w:pPr>
        <w:pStyle w:val="PargrafodaLista"/>
        <w:numPr>
          <w:ilvl w:val="3"/>
          <w:numId w:val="3"/>
        </w:numPr>
        <w:rPr>
          <w:lang w:val="pt-BR"/>
        </w:rPr>
      </w:pPr>
      <w:r>
        <w:rPr>
          <w:lang w:val="pt-BR"/>
        </w:rPr>
        <w:t xml:space="preserve">Diretrizes de desenho, desenvolvimento, conteúdo e marca; e </w:t>
      </w:r>
    </w:p>
    <w:p w14:paraId="5945667A" w14:textId="77777777" w:rsidR="00211257" w:rsidRDefault="00000000">
      <w:pPr>
        <w:pStyle w:val="PargrafodaLista"/>
        <w:numPr>
          <w:ilvl w:val="3"/>
          <w:numId w:val="3"/>
        </w:numPr>
        <w:rPr>
          <w:lang w:val="pt-BR"/>
        </w:rPr>
      </w:pPr>
      <w:r>
        <w:rPr>
          <w:lang w:val="pt-BR"/>
        </w:rPr>
        <w:t>Ativos gráficos incluindo, mas não se limitando a: fontes, logotipos, links, fotografia de estoque, gráficos, código HTML e arquivos .PSD.</w:t>
      </w:r>
    </w:p>
    <w:p w14:paraId="56793062" w14:textId="77777777" w:rsidR="00211257" w:rsidRDefault="00000000">
      <w:pPr>
        <w:pStyle w:val="PargrafodaLista"/>
        <w:numPr>
          <w:ilvl w:val="2"/>
          <w:numId w:val="3"/>
        </w:numPr>
      </w:pPr>
      <w:r>
        <w:t>Uso dos Serviços</w:t>
      </w:r>
    </w:p>
    <w:p w14:paraId="0242062F" w14:textId="77777777" w:rsidR="00211257" w:rsidRDefault="00000000">
      <w:pPr>
        <w:pStyle w:val="PargrafodaLista"/>
        <w:numPr>
          <w:ilvl w:val="3"/>
          <w:numId w:val="3"/>
        </w:numPr>
        <w:rPr>
          <w:lang w:val="pt-BR"/>
        </w:rPr>
      </w:pPr>
      <w:r>
        <w:rPr>
          <w:lang w:val="pt-BR"/>
        </w:rPr>
        <w:t>O Cliente é responsável por seu uso e distribuição dos Entregáveis resultantes dos Serviços Profissionais.</w:t>
      </w:r>
    </w:p>
    <w:p w14:paraId="39F3DFBD" w14:textId="77777777" w:rsidR="00211257" w:rsidRDefault="00000000">
      <w:pPr>
        <w:pStyle w:val="Ttulo2"/>
        <w:jc w:val="left"/>
        <w:rPr>
          <w:lang w:val="pt-BR"/>
        </w:rPr>
      </w:pPr>
      <w:r>
        <w:rPr>
          <w:lang w:val="pt-BR"/>
        </w:rPr>
        <w:t>Produtos e Serviços de Terceiros</w:t>
      </w:r>
    </w:p>
    <w:p w14:paraId="5BDB2503" w14:textId="77777777" w:rsidR="00211257" w:rsidRDefault="00000000">
      <w:pPr>
        <w:rPr>
          <w:lang w:val="pt-BR"/>
        </w:rPr>
      </w:pPr>
      <w:r>
        <w:rPr>
          <w:lang w:val="pt-BR"/>
        </w:rPr>
        <w:t xml:space="preserve">“Produtos de Terceiros” significa produtos ou serviços fornecidos ou adquiridos pelo Cliente em conexão com os Serviços Profissionais, incluindo, sem limitação, aplicações disponíveis num Marketplace Salesforce (ex. AppExchange). A SFDC não é responsável, nem garante Produtos de Terceiros. O Cliente é responsável (i) pela aquisição  licenciamento (incluindo custos associados) e pelo uso de quaisquer Produtos de Terceiros, (ii) a menos que definido de outra forma como escopo na Seção 2, pela integração, instalação, implementação e configuração de tais Produtos de Terceiros, incluindo qualquer manutenção </w:t>
      </w:r>
      <w:r>
        <w:rPr>
          <w:lang w:val="pt-BR"/>
        </w:rPr>
        <w:lastRenderedPageBreak/>
        <w:t>necessária para suportá-los, (iii)  pela coordenação e gestão de provedores ou fornecedores de Produtos de Terceiros que possam estar envolvidos no projeto e (iv) por assegurar que quaisquer Produtos de Terceiros e a infraestrutura relacionada estejam prontos dentro de período de tempo razoável para a execução dos Serviços Profissionais. A SFDC não terá uma linha direta com os provedores de APIs ou com qualquer fornecedor terceirizado do Cliente.</w:t>
      </w:r>
    </w:p>
    <w:p w14:paraId="0127BC49" w14:textId="77777777" w:rsidR="00211257" w:rsidRDefault="00000000">
      <w:pPr>
        <w:rPr>
          <w:lang w:val="pt-BR"/>
        </w:rPr>
      </w:pPr>
      <w:r>
        <w:rPr>
          <w:lang w:val="pt-BR"/>
        </w:rPr>
        <w:t>O Cliente fornecerá acesso suficiente aos contatos dos Produtos de Terceiros à SFDC, conforme necessário para que a SFDC cumpra suas obrigações aqui descritas.  A SFDC receberá orientação somente do Cliente e não dos fornecedores de Produtos de Terceiros.</w:t>
      </w:r>
    </w:p>
    <w:p w14:paraId="6C6EE7FA" w14:textId="77777777" w:rsidR="00211257" w:rsidRDefault="00000000">
      <w:pPr>
        <w:pStyle w:val="Ttulo1"/>
        <w:keepNext/>
        <w:keepLines/>
        <w:spacing w:beforeLines="240" w:before="576" w:after="120" w:line="276" w:lineRule="auto"/>
        <w:ind w:left="432" w:hanging="432"/>
        <w:contextualSpacing w:val="0"/>
        <w:jc w:val="left"/>
      </w:pPr>
      <w:r>
        <w:t xml:space="preserve">Termos Gerais </w:t>
      </w:r>
    </w:p>
    <w:p w14:paraId="75C64925" w14:textId="77777777" w:rsidR="00211257" w:rsidRDefault="00000000">
      <w:pPr>
        <w:pStyle w:val="Ttulo2"/>
        <w:keepNext/>
        <w:keepLines/>
        <w:ind w:left="1026" w:hanging="576"/>
        <w:contextualSpacing w:val="0"/>
        <w:jc w:val="left"/>
      </w:pPr>
      <w:bookmarkStart w:id="8" w:name="_Hlk165906933"/>
      <w:r>
        <w:t>Controle de Mudança</w:t>
      </w:r>
    </w:p>
    <w:p w14:paraId="52F10840" w14:textId="77777777" w:rsidR="00211257" w:rsidRDefault="00000000">
      <w:pPr>
        <w:rPr>
          <w:lang w:val="pt-BR"/>
        </w:rPr>
      </w:pPr>
      <w:bookmarkStart w:id="9" w:name="_Hlk165906960"/>
      <w:bookmarkEnd w:id="8"/>
      <w:r>
        <w:rPr>
          <w:lang w:val="pt-BR"/>
        </w:rPr>
        <w:t xml:space="preserve">No caso de mudanças no escopo do trabalho ou em outros termos desta SOW, as partes trabalharão juntas de boa fé para acordar um Pedido de Mudança apropriado a esta SOW, seguindo o Processo de Controle de Mudança definido abaixo.  A SFDC não terá obrigação de executar serviços profissionais adicionais ou modificados na ausência de acordo sobre um Pedido de Mudança. </w:t>
      </w:r>
    </w:p>
    <w:p w14:paraId="03D66A2D" w14:textId="77777777" w:rsidR="00211257" w:rsidRDefault="00000000">
      <w:pPr>
        <w:rPr>
          <w:lang w:val="pt-BR"/>
        </w:rPr>
      </w:pPr>
      <w:r>
        <w:rPr>
          <w:lang w:val="pt-BR"/>
        </w:rPr>
        <w:t xml:space="preserve">As taxas de Serviços Profissionais ou Termo SOW podem estar sujeitas a um Pedido de Alteração no caso de uma mudança material ou deficiência nas informações fornecidas pelo Cliente à SFDC, um evento imprevisto que mude materialmente as necessidades ou exigências de serviço do Cliente, uma mudança na lei, regulamentação ou aplicação que afete os Serviços Profissionais, ou um evento de força maior. </w:t>
      </w:r>
    </w:p>
    <w:p w14:paraId="53B3FB8A" w14:textId="77777777" w:rsidR="00211257" w:rsidRDefault="00000000">
      <w:pPr>
        <w:pStyle w:val="Ttulo3"/>
      </w:pPr>
      <w:bookmarkStart w:id="10" w:name="_Hlk165906989"/>
      <w:bookmarkEnd w:id="9"/>
      <w:r>
        <w:t>Definições de Controle de Mudança</w:t>
      </w:r>
    </w:p>
    <w:p w14:paraId="3AC5CA01" w14:textId="77777777" w:rsidR="00211257" w:rsidRDefault="00000000">
      <w:pPr>
        <w:pStyle w:val="Ttulo3"/>
        <w:numPr>
          <w:ilvl w:val="3"/>
          <w:numId w:val="1"/>
        </w:numPr>
        <w:rPr>
          <w:lang w:val="pt-BR"/>
        </w:rPr>
      </w:pPr>
      <w:bookmarkStart w:id="11" w:name="_Hlk165907040"/>
      <w:bookmarkEnd w:id="10"/>
      <w:r>
        <w:rPr>
          <w:lang w:val="pt-BR"/>
        </w:rPr>
        <w:t>"</w:t>
      </w:r>
      <w:r>
        <w:rPr>
          <w:b/>
          <w:lang w:val="pt-BR"/>
        </w:rPr>
        <w:t>Controle de Mudanças</w:t>
      </w:r>
      <w:r>
        <w:rPr>
          <w:lang w:val="pt-BR"/>
        </w:rPr>
        <w:t>" descreve o processo para gerenciar mudanças potenciais do projeto.</w:t>
      </w:r>
    </w:p>
    <w:p w14:paraId="50E35F48" w14:textId="77777777" w:rsidR="00211257" w:rsidRDefault="00000000">
      <w:pPr>
        <w:pStyle w:val="Ttulo3"/>
        <w:numPr>
          <w:ilvl w:val="3"/>
          <w:numId w:val="1"/>
        </w:numPr>
        <w:rPr>
          <w:lang w:val="pt-BR"/>
        </w:rPr>
      </w:pPr>
      <w:r>
        <w:rPr>
          <w:b/>
          <w:lang w:val="pt-BR"/>
        </w:rPr>
        <w:t>“Solicitação de Mudança"</w:t>
      </w:r>
      <w:r>
        <w:rPr>
          <w:lang w:val="pt-BR"/>
        </w:rPr>
        <w:t xml:space="preserve"> é uma solicitação informal do Cliente ou SFDC para modificar os Serviços Profissionais a serem fornecidos de acordo com esta SOW.</w:t>
      </w:r>
    </w:p>
    <w:p w14:paraId="3DCB1B9B" w14:textId="77777777" w:rsidR="00211257" w:rsidRDefault="00000000">
      <w:pPr>
        <w:pStyle w:val="Ttulo3"/>
        <w:numPr>
          <w:ilvl w:val="3"/>
          <w:numId w:val="1"/>
        </w:numPr>
        <w:rPr>
          <w:lang w:val="pt-BR"/>
        </w:rPr>
      </w:pPr>
      <w:r>
        <w:rPr>
          <w:lang w:val="pt-BR"/>
        </w:rPr>
        <w:t>“</w:t>
      </w:r>
      <w:r>
        <w:rPr>
          <w:b/>
          <w:lang w:val="pt-BR"/>
        </w:rPr>
        <w:t>Pedido de Mudança</w:t>
      </w:r>
      <w:r>
        <w:rPr>
          <w:lang w:val="pt-BR"/>
        </w:rPr>
        <w:t>" é uma emenda formal a esta SOW, conforme definido na Seção 1.4.</w:t>
      </w:r>
    </w:p>
    <w:bookmarkEnd w:id="11"/>
    <w:p w14:paraId="33EEE9F8" w14:textId="77777777" w:rsidR="00211257" w:rsidRDefault="00211257">
      <w:pPr>
        <w:pStyle w:val="B1"/>
        <w:numPr>
          <w:ilvl w:val="0"/>
          <w:numId w:val="0"/>
        </w:numPr>
        <w:ind w:left="1225" w:hanging="374"/>
        <w:rPr>
          <w:lang w:val="pt-BR"/>
        </w:rPr>
      </w:pPr>
    </w:p>
    <w:p w14:paraId="6F928EB5" w14:textId="77777777" w:rsidR="00211257" w:rsidRDefault="00000000">
      <w:pPr>
        <w:pStyle w:val="Ttulo3"/>
      </w:pPr>
      <w:bookmarkStart w:id="12" w:name="_Hlk165907113"/>
      <w:r>
        <w:t>Processo de Controle de Mudança</w:t>
      </w:r>
    </w:p>
    <w:bookmarkEnd w:id="12"/>
    <w:p w14:paraId="647997C2" w14:textId="77777777" w:rsidR="00211257" w:rsidRDefault="00000000">
      <w:pPr>
        <w:pStyle w:val="PargrafodaLista"/>
        <w:ind w:left="1080"/>
        <w:rPr>
          <w:lang w:val="pt-BR"/>
        </w:rPr>
      </w:pPr>
      <w:r>
        <w:rPr>
          <w:lang w:val="pt-BR"/>
        </w:rPr>
        <w:t xml:space="preserve">A SFDC continuará executando os Serviços Profissionais de acordo com esta SOW até que as partes concordem por escrito sobre a alteração no escopo do trabalho, recursos, cronograma, honorários e outros termos aplicáveis. Os itens abaixo representam um resumo do processo a ser seguido caso se deseje uma alteração a esta SOW: </w:t>
      </w:r>
    </w:p>
    <w:p w14:paraId="27BFDDCC" w14:textId="77777777" w:rsidR="00211257" w:rsidRDefault="00211257">
      <w:pPr>
        <w:pStyle w:val="PargrafodaLista"/>
        <w:ind w:left="1440"/>
        <w:rPr>
          <w:lang w:val="pt-BR"/>
        </w:rPr>
      </w:pPr>
    </w:p>
    <w:p w14:paraId="06AC994E" w14:textId="77777777" w:rsidR="00211257" w:rsidRDefault="00000000">
      <w:pPr>
        <w:pStyle w:val="PargrafodaLista"/>
        <w:numPr>
          <w:ilvl w:val="4"/>
          <w:numId w:val="15"/>
        </w:numPr>
        <w:rPr>
          <w:lang w:val="pt-BR"/>
        </w:rPr>
      </w:pPr>
      <w:r>
        <w:rPr>
          <w:lang w:val="pt-BR"/>
        </w:rPr>
        <w:t>O Cliente ou a SFDC apresenta uma Solicitação de Alteração por escrito (e-mail aceitável), incluindo o seguinte: (i) descrição da alteração, detalhando o que é solicitado a ser alterado nesta SOW; (ii) justificativa para a alteração; e (iii) o impacto que a Alteração pode ter sobre os Serviços Profissionais.</w:t>
      </w:r>
    </w:p>
    <w:p w14:paraId="2681EFAC" w14:textId="77777777" w:rsidR="00211257" w:rsidRDefault="00000000">
      <w:pPr>
        <w:pStyle w:val="PargrafodaLista"/>
        <w:numPr>
          <w:ilvl w:val="4"/>
          <w:numId w:val="15"/>
        </w:numPr>
        <w:rPr>
          <w:lang w:val="pt-BR"/>
        </w:rPr>
      </w:pPr>
      <w:r>
        <w:rPr>
          <w:lang w:val="pt-BR"/>
        </w:rPr>
        <w:t xml:space="preserve">Tanto o Cliente quanto a SFDC revisam a Solicitação de Alteração para determinar o mérito da solicitação e o impacto no escopo, recursos, cronograma, honorários e em outros termos e condições desta SOW que podem resultar da implementação da Solicitação de Alteração.  </w:t>
      </w:r>
    </w:p>
    <w:p w14:paraId="61D46503" w14:textId="77777777" w:rsidR="00211257" w:rsidRDefault="00000000">
      <w:pPr>
        <w:pStyle w:val="PargrafodaLista"/>
        <w:numPr>
          <w:ilvl w:val="4"/>
          <w:numId w:val="15"/>
        </w:numPr>
        <w:rPr>
          <w:lang w:val="pt-BR"/>
        </w:rPr>
      </w:pPr>
      <w:r>
        <w:rPr>
          <w:lang w:val="pt-BR"/>
        </w:rPr>
        <w:t>As partes decidem aceitar ou rejeitar a alteração solicitada.</w:t>
      </w:r>
    </w:p>
    <w:p w14:paraId="2C340187" w14:textId="77777777" w:rsidR="00211257" w:rsidRDefault="00000000">
      <w:pPr>
        <w:pStyle w:val="PargrafodaLista"/>
        <w:numPr>
          <w:ilvl w:val="4"/>
          <w:numId w:val="15"/>
        </w:numPr>
        <w:rPr>
          <w:lang w:val="pt-BR"/>
        </w:rPr>
      </w:pPr>
      <w:r>
        <w:rPr>
          <w:lang w:val="pt-BR"/>
        </w:rPr>
        <w:t xml:space="preserve">Se aceita, a SFDC prepara uma Pedido de Alteração, que inclui uma descrição das alterações aplicáveis ao escopo, recursos planejados, linha do tempo, honorários e outros termos e condições. </w:t>
      </w:r>
    </w:p>
    <w:p w14:paraId="622B5EEC" w14:textId="77777777" w:rsidR="00211257" w:rsidRDefault="00000000">
      <w:pPr>
        <w:pStyle w:val="PargrafodaLista"/>
        <w:numPr>
          <w:ilvl w:val="4"/>
          <w:numId w:val="15"/>
        </w:numPr>
        <w:rPr>
          <w:lang w:val="pt-BR"/>
        </w:rPr>
      </w:pPr>
      <w:r>
        <w:rPr>
          <w:lang w:val="pt-BR"/>
        </w:rPr>
        <w:t>A SFDC assina o Pedido de Alteração e o envia ao Cliente.</w:t>
      </w:r>
    </w:p>
    <w:p w14:paraId="34E57D7E" w14:textId="77777777" w:rsidR="00211257" w:rsidRDefault="00000000">
      <w:pPr>
        <w:pStyle w:val="PargrafodaLista"/>
        <w:numPr>
          <w:ilvl w:val="4"/>
          <w:numId w:val="15"/>
        </w:numPr>
        <w:rPr>
          <w:lang w:val="pt-BR"/>
        </w:rPr>
      </w:pPr>
      <w:r>
        <w:rPr>
          <w:lang w:val="pt-BR"/>
        </w:rPr>
        <w:t xml:space="preserve">O Cliente assina o Pedido de Alteração e, se aplicável, gera um pedido de compra associado a esse Pedido de Alteração. </w:t>
      </w:r>
    </w:p>
    <w:p w14:paraId="630C2AFB" w14:textId="77777777" w:rsidR="00211257" w:rsidRDefault="00000000">
      <w:pPr>
        <w:pStyle w:val="PargrafodaLista"/>
        <w:numPr>
          <w:ilvl w:val="4"/>
          <w:numId w:val="15"/>
        </w:numPr>
        <w:rPr>
          <w:lang w:val="pt-BR"/>
        </w:rPr>
      </w:pPr>
      <w:r>
        <w:rPr>
          <w:lang w:val="pt-BR"/>
        </w:rPr>
        <w:t xml:space="preserve">Os Serviços Profissionais descritos no Pedido de Alteração totalmente assinado serão executados pela SFDC e incluídos como parte desta SOW. </w:t>
      </w:r>
    </w:p>
    <w:p w14:paraId="64D9C1B6" w14:textId="77777777" w:rsidR="00211257" w:rsidRDefault="00000000">
      <w:pPr>
        <w:pStyle w:val="Ttulo2"/>
        <w:jc w:val="left"/>
      </w:pPr>
      <w:r>
        <w:t xml:space="preserve">Segmentação  </w:t>
      </w:r>
    </w:p>
    <w:p w14:paraId="10E95DDA" w14:textId="77777777" w:rsidR="00211257" w:rsidRDefault="00000000">
      <w:pPr>
        <w:rPr>
          <w:lang w:val="pt-BR"/>
        </w:rPr>
      </w:pPr>
      <w:r>
        <w:rPr>
          <w:lang w:val="pt-BR"/>
        </w:rPr>
        <w:t>O Cliente reconhece que esta SOW é limitada aos Serviços Profissionais e não transmite qualquer direito de uso da Aplicação.  Qualquer uso da Aplicação pelo Cliente será regido por um acordo separado. O Cliente concorda que sua aquisição dos Serviços Profissionais não está condicionada à entrega de nenhuma funcionalidade ou características futuras da Aplicação (exceto Entregáveis sob esta SOW, de acordo e sujeito aos termos desta SOW), ou a quaisquer comentários públicos orais ou escritos da SFDC a respeito de funcionalidades ou características futuras da Aplicação.</w:t>
      </w:r>
    </w:p>
    <w:p w14:paraId="63C23BE6" w14:textId="77777777" w:rsidR="00211257" w:rsidRDefault="00211257">
      <w:pPr>
        <w:pStyle w:val="Ttulo2"/>
        <w:numPr>
          <w:ilvl w:val="0"/>
          <w:numId w:val="0"/>
        </w:numPr>
        <w:ind w:left="792" w:hanging="432"/>
        <w:jc w:val="left"/>
        <w:rPr>
          <w:lang w:val="pt-BR"/>
        </w:rPr>
      </w:pPr>
    </w:p>
    <w:p w14:paraId="2D80E03D" w14:textId="77777777" w:rsidR="00211257" w:rsidRDefault="00000000">
      <w:pPr>
        <w:pStyle w:val="Ttulo2"/>
        <w:jc w:val="left"/>
      </w:pPr>
      <w:r>
        <w:t>Rescisão</w:t>
      </w:r>
    </w:p>
    <w:p w14:paraId="44275D66" w14:textId="77777777" w:rsidR="00211257" w:rsidRDefault="00000000">
      <w:pPr>
        <w:rPr>
          <w:lang w:val="pt-BR"/>
        </w:rPr>
      </w:pPr>
      <w:r>
        <w:rPr>
          <w:rFonts w:eastAsia="Arial"/>
          <w:szCs w:val="18"/>
          <w:lang w:val="pt-BR"/>
        </w:rPr>
        <w:lastRenderedPageBreak/>
        <w:t>Esta SOW não poderá ser rescindida por conveniência</w:t>
      </w:r>
      <w:r>
        <w:rPr>
          <w:lang w:val="pt-BR"/>
        </w:rPr>
        <w:t xml:space="preserve">.  </w:t>
      </w:r>
      <w:r>
        <w:rPr>
          <w:color w:val="000000"/>
          <w:lang w:val="pt-BR"/>
        </w:rPr>
        <w:t>Qualquer uma das partes pode rescindir esta SOW por justa causa: (i) mediante notificação escrita à outra parte, com trinta (30) dias de antecedência, de uma violação material, se tal violação permanecer não resolvida ao término de tal período, ou (ii) se a outra parte se tornar objeto de um pedido de falência ou de qualquer outro processo relativo a insolvência, recuperação judicial, liquidação ou cessão em benefício de credores</w:t>
      </w:r>
      <w:r>
        <w:rPr>
          <w:lang w:val="pt-BR"/>
        </w:rPr>
        <w:t>.</w:t>
      </w:r>
    </w:p>
    <w:p w14:paraId="3536F8B5" w14:textId="77777777" w:rsidR="00211257" w:rsidRDefault="00000000">
      <w:pPr>
        <w:pStyle w:val="Ttulo2"/>
        <w:jc w:val="left"/>
      </w:pPr>
      <w:r>
        <w:t>Geral</w:t>
      </w:r>
    </w:p>
    <w:p w14:paraId="18F00BC0" w14:textId="4C05FA16" w:rsidR="00211257" w:rsidRDefault="00000000">
      <w:pPr>
        <w:rPr>
          <w:lang w:val="pt-BR"/>
        </w:rPr>
      </w:pPr>
      <w:r>
        <w:rPr>
          <w:lang w:val="pt-BR"/>
        </w:rPr>
        <w:t>Esta SOW ser assinada em vias</w:t>
      </w:r>
      <w:r w:rsidR="00543B62">
        <w:rPr>
          <w:lang w:val="pt-BR"/>
        </w:rPr>
        <w:t xml:space="preserve"> digitalmente</w:t>
      </w:r>
      <w:r>
        <w:rPr>
          <w:lang w:val="pt-BR"/>
        </w:rPr>
        <w:t xml:space="preserve">, cada uma das quais será considerada um original. Esta SOW está sujeita aos termos e condições do Contrato, exceto se de outra forma expressamente previsto nesta SOW. No caso de conflito entre qualquer termos desta SOW e o Contrato, os termos desta SOW prevalecerão..  </w:t>
      </w:r>
    </w:p>
    <w:p w14:paraId="4BFF8FFA" w14:textId="77777777" w:rsidR="00211257" w:rsidRDefault="00000000">
      <w:pPr>
        <w:rPr>
          <w:lang w:val="pt-BR"/>
        </w:rPr>
      </w:pPr>
      <w:r>
        <w:rPr>
          <w:color w:val="000000"/>
          <w:lang w:val="pt-BR"/>
        </w:rPr>
        <w:t>EM TESTEMUNHO DO QUE, as partes assinam esta SOW por seus respectivos representantes devidamente autorizados, conforme identificados abaixo</w:t>
      </w:r>
      <w:r>
        <w:rPr>
          <w:lang w:val="pt-BR"/>
        </w:rPr>
        <w:t>.</w:t>
      </w:r>
    </w:p>
    <w:tbl>
      <w:tblPr>
        <w:tblW w:w="10443" w:type="dxa"/>
        <w:tblInd w:w="-9" w:type="dxa"/>
        <w:tblLayout w:type="fixed"/>
        <w:tblLook w:val="0600" w:firstRow="0" w:lastRow="0" w:firstColumn="0" w:lastColumn="0" w:noHBand="1" w:noVBand="1"/>
      </w:tblPr>
      <w:tblGrid>
        <w:gridCol w:w="1246"/>
        <w:gridCol w:w="3736"/>
        <w:gridCol w:w="485"/>
        <w:gridCol w:w="1239"/>
        <w:gridCol w:w="3737"/>
      </w:tblGrid>
      <w:tr w:rsidR="00211257" w14:paraId="6A129DA2" w14:textId="77777777" w:rsidTr="00FF7FAD">
        <w:trPr>
          <w:trHeight w:val="359"/>
        </w:trPr>
        <w:tc>
          <w:tcPr>
            <w:tcW w:w="4982" w:type="dxa"/>
            <w:gridSpan w:val="2"/>
            <w:tcBorders>
              <w:top w:val="single" w:sz="4" w:space="0" w:color="BFBFBF"/>
              <w:left w:val="single" w:sz="4" w:space="0" w:color="BFBFBF"/>
              <w:bottom w:val="single" w:sz="4" w:space="0" w:color="auto"/>
              <w:right w:val="single" w:sz="4" w:space="0" w:color="BFBFBF"/>
            </w:tcBorders>
            <w:shd w:val="clear" w:color="auto" w:fill="1F4C78"/>
            <w:vAlign w:val="center"/>
          </w:tcPr>
          <w:p w14:paraId="264351BF" w14:textId="77777777" w:rsidR="00211257" w:rsidRDefault="00000000">
            <w:pPr>
              <w:pBdr>
                <w:top w:val="nil"/>
                <w:left w:val="nil"/>
                <w:bottom w:val="nil"/>
                <w:right w:val="nil"/>
                <w:between w:val="nil"/>
              </w:pBdr>
              <w:spacing w:after="0" w:line="240" w:lineRule="auto"/>
              <w:ind w:left="-14"/>
              <w:rPr>
                <w:b/>
                <w:color w:val="F2F2F2"/>
                <w:szCs w:val="18"/>
              </w:rPr>
            </w:pPr>
            <w:r>
              <w:rPr>
                <w:rFonts w:eastAsia="Arial"/>
                <w:b/>
                <w:color w:val="FFFFFF" w:themeColor="background1"/>
                <w:szCs w:val="18"/>
              </w:rPr>
              <w:t>Cliente</w:t>
            </w:r>
          </w:p>
        </w:tc>
        <w:tc>
          <w:tcPr>
            <w:tcW w:w="485" w:type="dxa"/>
            <w:tcBorders>
              <w:left w:val="single" w:sz="4" w:space="0" w:color="BFBFBF"/>
              <w:right w:val="single" w:sz="4" w:space="0" w:color="BFBFBF"/>
            </w:tcBorders>
            <w:shd w:val="clear" w:color="auto" w:fill="FFFFFF"/>
            <w:vAlign w:val="center"/>
          </w:tcPr>
          <w:p w14:paraId="7FA3E3C0" w14:textId="77777777" w:rsidR="00211257" w:rsidRDefault="00211257">
            <w:pPr>
              <w:pBdr>
                <w:top w:val="nil"/>
                <w:left w:val="nil"/>
                <w:bottom w:val="nil"/>
                <w:right w:val="nil"/>
                <w:between w:val="nil"/>
              </w:pBdr>
              <w:spacing w:after="0" w:line="240" w:lineRule="auto"/>
              <w:rPr>
                <w:b/>
                <w:color w:val="000000" w:themeColor="text1"/>
                <w:szCs w:val="18"/>
              </w:rPr>
            </w:pPr>
          </w:p>
        </w:tc>
        <w:tc>
          <w:tcPr>
            <w:tcW w:w="4976" w:type="dxa"/>
            <w:gridSpan w:val="2"/>
            <w:tcBorders>
              <w:top w:val="single" w:sz="4" w:space="0" w:color="BFBFBF"/>
              <w:left w:val="single" w:sz="4" w:space="0" w:color="BFBFBF"/>
              <w:bottom w:val="single" w:sz="4" w:space="0" w:color="auto"/>
              <w:right w:val="single" w:sz="4" w:space="0" w:color="BFBFBF"/>
            </w:tcBorders>
            <w:shd w:val="clear" w:color="auto" w:fill="1F4C78"/>
            <w:vAlign w:val="center"/>
          </w:tcPr>
          <w:p w14:paraId="4D653502" w14:textId="77777777" w:rsidR="00211257" w:rsidRDefault="00000000">
            <w:pPr>
              <w:pBdr>
                <w:top w:val="nil"/>
                <w:left w:val="nil"/>
                <w:bottom w:val="nil"/>
                <w:right w:val="nil"/>
                <w:between w:val="nil"/>
              </w:pBdr>
              <w:spacing w:after="0" w:line="240" w:lineRule="auto"/>
              <w:ind w:left="12"/>
              <w:rPr>
                <w:b/>
                <w:color w:val="F2F2F2"/>
                <w:szCs w:val="18"/>
              </w:rPr>
            </w:pPr>
            <w:r>
              <w:rPr>
                <w:rFonts w:eastAsia="Arial"/>
                <w:b/>
                <w:color w:val="FFFFFF" w:themeColor="background1"/>
                <w:szCs w:val="18"/>
              </w:rPr>
              <w:t>SFDC</w:t>
            </w:r>
          </w:p>
        </w:tc>
      </w:tr>
      <w:tr w:rsidR="00211257" w14:paraId="2F65C8C3" w14:textId="77777777" w:rsidTr="00FF7FAD">
        <w:trPr>
          <w:trHeight w:val="650"/>
        </w:trPr>
        <w:tc>
          <w:tcPr>
            <w:tcW w:w="1246" w:type="dxa"/>
            <w:tcBorders>
              <w:top w:val="single" w:sz="4" w:space="0" w:color="auto"/>
              <w:left w:val="single" w:sz="4" w:space="0" w:color="auto"/>
              <w:bottom w:val="single" w:sz="4" w:space="0" w:color="auto"/>
              <w:right w:val="single" w:sz="4" w:space="0" w:color="auto"/>
            </w:tcBorders>
            <w:vAlign w:val="center"/>
          </w:tcPr>
          <w:p w14:paraId="3EAF7C19" w14:textId="77777777" w:rsidR="00211257" w:rsidRDefault="00000000">
            <w:pPr>
              <w:spacing w:after="60" w:line="240" w:lineRule="auto"/>
              <w:ind w:left="0"/>
              <w:rPr>
                <w:rFonts w:eastAsia="Arial"/>
                <w:color w:val="000000"/>
                <w:sz w:val="16"/>
                <w:szCs w:val="16"/>
              </w:rPr>
            </w:pPr>
            <w:proofErr w:type="spellStart"/>
            <w:r>
              <w:rPr>
                <w:rFonts w:eastAsia="Arial"/>
                <w:color w:val="000000"/>
                <w:sz w:val="16"/>
                <w:szCs w:val="16"/>
              </w:rPr>
              <w:t>Assinatura</w:t>
            </w:r>
            <w:proofErr w:type="spellEnd"/>
          </w:p>
        </w:tc>
        <w:tc>
          <w:tcPr>
            <w:tcW w:w="3736" w:type="dxa"/>
            <w:tcBorders>
              <w:top w:val="single" w:sz="4" w:space="0" w:color="auto"/>
              <w:left w:val="single" w:sz="4" w:space="0" w:color="auto"/>
              <w:bottom w:val="single" w:sz="4" w:space="0" w:color="auto"/>
              <w:right w:val="single" w:sz="4" w:space="0" w:color="auto"/>
            </w:tcBorders>
          </w:tcPr>
          <w:p w14:paraId="6D3893E9" w14:textId="77777777" w:rsidR="00211257" w:rsidRDefault="00000000">
            <w:pPr>
              <w:ind w:left="0"/>
              <w:rPr>
                <w:rFonts w:ascii="Times New Roman" w:hAnsi="Times New Roman" w:cs="Times New Roman"/>
                <w:color w:val="FFFFFF" w:themeColor="background1"/>
                <w:sz w:val="24"/>
              </w:rPr>
            </w:pPr>
            <w:r>
              <w:rPr>
                <w:color w:val="FFFFFF" w:themeColor="background1"/>
              </w:rPr>
              <w:t>\s</w:t>
            </w:r>
            <w:r>
              <w:rPr>
                <w:color w:val="FFFFFF"/>
              </w:rPr>
              <w:t>[</w:t>
            </w:r>
            <w:proofErr w:type="spellStart"/>
            <w:r>
              <w:rPr>
                <w:color w:val="FFFFFF"/>
              </w:rPr>
              <w:t>counterpartySignerSignature_</w:t>
            </w:r>
            <w:proofErr w:type="gramStart"/>
            <w:r>
              <w:rPr>
                <w:color w:val="FFFFFF"/>
              </w:rPr>
              <w:t>JXPLbDY</w:t>
            </w:r>
            <w:proofErr w:type="spellEnd"/>
            <w:r>
              <w:rPr>
                <w:color w:val="FFFFFF"/>
              </w:rPr>
              <w:t>]</w:t>
            </w:r>
            <w:r>
              <w:rPr>
                <w:color w:val="FFFFFF" w:themeColor="background1"/>
              </w:rPr>
              <w:t>\</w:t>
            </w:r>
            <w:proofErr w:type="gramEnd"/>
          </w:p>
        </w:tc>
        <w:tc>
          <w:tcPr>
            <w:tcW w:w="485" w:type="dxa"/>
            <w:tcBorders>
              <w:left w:val="single" w:sz="4" w:space="0" w:color="auto"/>
              <w:right w:val="single" w:sz="4" w:space="0" w:color="auto"/>
            </w:tcBorders>
            <w:vAlign w:val="center"/>
          </w:tcPr>
          <w:p w14:paraId="2E8F40C4" w14:textId="77777777" w:rsidR="00211257" w:rsidRDefault="00211257">
            <w:pPr>
              <w:spacing w:after="60" w:line="240" w:lineRule="auto"/>
              <w:rPr>
                <w:rFonts w:eastAsia="Arial"/>
                <w:color w:val="000000"/>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48B46111" w14:textId="77777777" w:rsidR="00211257" w:rsidRDefault="00000000">
            <w:pPr>
              <w:spacing w:after="60" w:line="240" w:lineRule="auto"/>
              <w:ind w:left="0"/>
              <w:rPr>
                <w:rFonts w:eastAsia="Arial"/>
                <w:color w:val="000000"/>
                <w:sz w:val="16"/>
                <w:szCs w:val="16"/>
              </w:rPr>
            </w:pPr>
            <w:r>
              <w:rPr>
                <w:rFonts w:eastAsia="Arial"/>
                <w:color w:val="000000"/>
                <w:sz w:val="16"/>
                <w:szCs w:val="16"/>
              </w:rPr>
              <w:t>Assinatura</w:t>
            </w:r>
          </w:p>
        </w:tc>
        <w:tc>
          <w:tcPr>
            <w:tcW w:w="3737" w:type="dxa"/>
            <w:tcBorders>
              <w:top w:val="single" w:sz="4" w:space="0" w:color="auto"/>
              <w:left w:val="single" w:sz="4" w:space="0" w:color="auto"/>
              <w:bottom w:val="single" w:sz="4" w:space="0" w:color="auto"/>
              <w:right w:val="single" w:sz="4" w:space="0" w:color="auto"/>
            </w:tcBorders>
            <w:vAlign w:val="center"/>
          </w:tcPr>
          <w:p w14:paraId="4AFC960D" w14:textId="77777777" w:rsidR="00211257" w:rsidRDefault="00000000">
            <w:pPr>
              <w:spacing w:after="60" w:line="240" w:lineRule="auto"/>
              <w:ind w:left="0"/>
              <w:rPr>
                <w:rFonts w:eastAsia="Arial"/>
                <w:color w:val="FFFFFF" w:themeColor="background1"/>
                <w:sz w:val="16"/>
                <w:szCs w:val="16"/>
              </w:rPr>
            </w:pPr>
            <w:r>
              <w:rPr>
                <w:rFonts w:eastAsia="Arial"/>
                <w:color w:val="FFFFFF"/>
                <w:sz w:val="16"/>
                <w:szCs w:val="16"/>
              </w:rPr>
              <w:t>[salesforceNonProductionOrg62UatSignerSignature_Az10xBN]</w:t>
            </w:r>
          </w:p>
        </w:tc>
      </w:tr>
      <w:tr w:rsidR="00211257" w14:paraId="31A5338D" w14:textId="77777777" w:rsidTr="00FF7FAD">
        <w:trPr>
          <w:trHeight w:val="286"/>
        </w:trPr>
        <w:tc>
          <w:tcPr>
            <w:tcW w:w="1246" w:type="dxa"/>
            <w:tcBorders>
              <w:top w:val="single" w:sz="4" w:space="0" w:color="auto"/>
              <w:left w:val="single" w:sz="4" w:space="0" w:color="auto"/>
              <w:bottom w:val="single" w:sz="4" w:space="0" w:color="auto"/>
              <w:right w:val="single" w:sz="4" w:space="0" w:color="auto"/>
            </w:tcBorders>
            <w:vAlign w:val="center"/>
          </w:tcPr>
          <w:p w14:paraId="5715587F"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Nome</w:t>
            </w:r>
          </w:p>
        </w:tc>
        <w:tc>
          <w:tcPr>
            <w:tcW w:w="3736" w:type="dxa"/>
            <w:tcBorders>
              <w:top w:val="single" w:sz="4" w:space="0" w:color="auto"/>
              <w:left w:val="single" w:sz="4" w:space="0" w:color="auto"/>
              <w:bottom w:val="single" w:sz="4" w:space="0" w:color="auto"/>
              <w:right w:val="single" w:sz="4" w:space="0" w:color="auto"/>
            </w:tcBorders>
          </w:tcPr>
          <w:p w14:paraId="68F0EFED"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color w:val="FFFFFF" w:themeColor="background1"/>
              </w:rPr>
              <w:t>\n</w:t>
            </w:r>
            <w:r>
              <w:rPr>
                <w:color w:val="FFFFFF"/>
              </w:rPr>
              <w:t>[counterpartySignerName_</w:t>
            </w:r>
            <w:proofErr w:type="gramStart"/>
            <w:r>
              <w:rPr>
                <w:color w:val="FFFFFF"/>
              </w:rPr>
              <w:t>IFBlMZR]</w:t>
            </w:r>
            <w:r>
              <w:rPr>
                <w:color w:val="FFFFFF" w:themeColor="background1"/>
              </w:rPr>
              <w:t>\</w:t>
            </w:r>
            <w:proofErr w:type="gramEnd"/>
          </w:p>
        </w:tc>
        <w:tc>
          <w:tcPr>
            <w:tcW w:w="485" w:type="dxa"/>
            <w:tcBorders>
              <w:left w:val="single" w:sz="4" w:space="0" w:color="auto"/>
              <w:right w:val="single" w:sz="4" w:space="0" w:color="auto"/>
            </w:tcBorders>
            <w:shd w:val="clear" w:color="auto" w:fill="FFFFFF"/>
            <w:vAlign w:val="center"/>
          </w:tcPr>
          <w:p w14:paraId="7E315799" w14:textId="77777777" w:rsidR="00211257" w:rsidRDefault="00211257">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45FA7621"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Nome</w:t>
            </w:r>
          </w:p>
        </w:tc>
        <w:tc>
          <w:tcPr>
            <w:tcW w:w="3737" w:type="dxa"/>
            <w:tcBorders>
              <w:top w:val="single" w:sz="4" w:space="0" w:color="auto"/>
              <w:left w:val="single" w:sz="4" w:space="0" w:color="auto"/>
              <w:bottom w:val="single" w:sz="4" w:space="0" w:color="auto"/>
              <w:right w:val="single" w:sz="4" w:space="0" w:color="auto"/>
            </w:tcBorders>
            <w:vAlign w:val="center"/>
          </w:tcPr>
          <w:p w14:paraId="349298E5" w14:textId="77777777" w:rsidR="00211257" w:rsidRDefault="00000000">
            <w:pPr>
              <w:pBdr>
                <w:top w:val="nil"/>
                <w:left w:val="nil"/>
                <w:bottom w:val="nil"/>
                <w:right w:val="nil"/>
                <w:between w:val="nil"/>
              </w:pBdr>
              <w:spacing w:after="60" w:line="240" w:lineRule="auto"/>
              <w:ind w:left="0"/>
              <w:rPr>
                <w:color w:val="FFFFFF" w:themeColor="background1"/>
                <w:sz w:val="16"/>
                <w:szCs w:val="16"/>
              </w:rPr>
            </w:pPr>
            <w:r>
              <w:rPr>
                <w:rFonts w:eastAsia="Arial"/>
                <w:color w:val="FFFFFF"/>
                <w:sz w:val="16"/>
                <w:szCs w:val="16"/>
              </w:rPr>
              <w:t>[salesforceNonProductionOrg62UatSignerName_4cRjfkW]</w:t>
            </w:r>
          </w:p>
        </w:tc>
      </w:tr>
      <w:tr w:rsidR="00211257" w14:paraId="2E62ADAE" w14:textId="77777777" w:rsidTr="00FF7FAD">
        <w:trPr>
          <w:trHeight w:val="77"/>
        </w:trPr>
        <w:tc>
          <w:tcPr>
            <w:tcW w:w="1246" w:type="dxa"/>
            <w:tcBorders>
              <w:top w:val="single" w:sz="4" w:space="0" w:color="auto"/>
              <w:left w:val="single" w:sz="4" w:space="0" w:color="auto"/>
              <w:bottom w:val="single" w:sz="4" w:space="0" w:color="auto"/>
              <w:right w:val="single" w:sz="4" w:space="0" w:color="auto"/>
            </w:tcBorders>
            <w:vAlign w:val="center"/>
          </w:tcPr>
          <w:p w14:paraId="770058E9"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Cargo</w:t>
            </w:r>
          </w:p>
        </w:tc>
        <w:tc>
          <w:tcPr>
            <w:tcW w:w="3736" w:type="dxa"/>
            <w:tcBorders>
              <w:top w:val="single" w:sz="4" w:space="0" w:color="auto"/>
              <w:left w:val="single" w:sz="4" w:space="0" w:color="auto"/>
              <w:bottom w:val="single" w:sz="4" w:space="0" w:color="auto"/>
              <w:right w:val="single" w:sz="4" w:space="0" w:color="auto"/>
            </w:tcBorders>
          </w:tcPr>
          <w:p w14:paraId="635FED09"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color w:val="FFFFFF" w:themeColor="background1"/>
              </w:rPr>
              <w:t>\t</w:t>
            </w:r>
            <w:r>
              <w:rPr>
                <w:color w:val="FFFFFF"/>
              </w:rPr>
              <w:t>[counterpartySignerTitle_mh04</w:t>
            </w:r>
            <w:proofErr w:type="gramStart"/>
            <w:r>
              <w:rPr>
                <w:color w:val="FFFFFF"/>
              </w:rPr>
              <w:t>eBb]</w:t>
            </w:r>
            <w:r>
              <w:rPr>
                <w:color w:val="FFFFFF" w:themeColor="background1"/>
              </w:rPr>
              <w:t>\</w:t>
            </w:r>
            <w:proofErr w:type="gramEnd"/>
          </w:p>
        </w:tc>
        <w:tc>
          <w:tcPr>
            <w:tcW w:w="485" w:type="dxa"/>
            <w:tcBorders>
              <w:left w:val="single" w:sz="4" w:space="0" w:color="auto"/>
              <w:right w:val="single" w:sz="4" w:space="0" w:color="auto"/>
            </w:tcBorders>
            <w:shd w:val="clear" w:color="auto" w:fill="FFFFFF"/>
            <w:vAlign w:val="center"/>
          </w:tcPr>
          <w:p w14:paraId="72155EFD" w14:textId="77777777" w:rsidR="00211257" w:rsidRDefault="00211257">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38E9FF41"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Cargo</w:t>
            </w:r>
          </w:p>
        </w:tc>
        <w:tc>
          <w:tcPr>
            <w:tcW w:w="3737" w:type="dxa"/>
            <w:tcBorders>
              <w:top w:val="single" w:sz="4" w:space="0" w:color="auto"/>
              <w:left w:val="single" w:sz="4" w:space="0" w:color="auto"/>
              <w:bottom w:val="single" w:sz="4" w:space="0" w:color="auto"/>
              <w:right w:val="single" w:sz="4" w:space="0" w:color="auto"/>
            </w:tcBorders>
            <w:vAlign w:val="center"/>
          </w:tcPr>
          <w:p w14:paraId="03F2374F" w14:textId="77777777" w:rsidR="00211257" w:rsidRDefault="00000000">
            <w:pPr>
              <w:pBdr>
                <w:top w:val="nil"/>
                <w:left w:val="nil"/>
                <w:bottom w:val="nil"/>
                <w:right w:val="nil"/>
                <w:between w:val="nil"/>
              </w:pBdr>
              <w:spacing w:after="60" w:line="240" w:lineRule="auto"/>
              <w:ind w:left="0"/>
              <w:rPr>
                <w:color w:val="FFFFFF" w:themeColor="background1"/>
                <w:sz w:val="16"/>
                <w:szCs w:val="16"/>
              </w:rPr>
            </w:pPr>
            <w:r>
              <w:rPr>
                <w:rFonts w:eastAsia="Arial"/>
                <w:color w:val="FFFFFF"/>
                <w:sz w:val="16"/>
                <w:szCs w:val="16"/>
              </w:rPr>
              <w:t>[salesforceNonProductionOrg62UatSignerTitle_503rsJB]</w:t>
            </w:r>
          </w:p>
        </w:tc>
      </w:tr>
      <w:tr w:rsidR="00736AFD" w14:paraId="5C86736A" w14:textId="77777777" w:rsidTr="00FF7FAD">
        <w:trPr>
          <w:trHeight w:val="77"/>
        </w:trPr>
        <w:tc>
          <w:tcPr>
            <w:tcW w:w="1246" w:type="dxa"/>
            <w:tcBorders>
              <w:top w:val="single" w:sz="4" w:space="0" w:color="auto"/>
              <w:left w:val="single" w:sz="4" w:space="0" w:color="auto"/>
              <w:bottom w:val="single" w:sz="4" w:space="0" w:color="auto"/>
              <w:right w:val="single" w:sz="4" w:space="0" w:color="auto"/>
            </w:tcBorders>
            <w:vAlign w:val="center"/>
          </w:tcPr>
          <w:p w14:paraId="7E408B3E" w14:textId="7173E026" w:rsidR="00736AFD" w:rsidRDefault="00736AFD" w:rsidP="00736AFD">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Data</w:t>
            </w:r>
          </w:p>
        </w:tc>
        <w:tc>
          <w:tcPr>
            <w:tcW w:w="3736" w:type="dxa"/>
            <w:tcBorders>
              <w:top w:val="single" w:sz="4" w:space="0" w:color="auto"/>
              <w:left w:val="single" w:sz="4" w:space="0" w:color="auto"/>
              <w:bottom w:val="single" w:sz="4" w:space="0" w:color="auto"/>
              <w:right w:val="single" w:sz="4" w:space="0" w:color="auto"/>
            </w:tcBorders>
            <w:vAlign w:val="center"/>
          </w:tcPr>
          <w:p w14:paraId="0D2AB68C" w14:textId="7850E074" w:rsidR="00736AFD" w:rsidRDefault="00736AFD" w:rsidP="00736AFD">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\d</w:t>
            </w:r>
            <w:r>
              <w:rPr>
                <w:rFonts w:eastAsia="Arial"/>
                <w:color w:val="FFFFFF"/>
                <w:sz w:val="16"/>
                <w:szCs w:val="16"/>
              </w:rPr>
              <w:t>[counterpartySigner2DateField_</w:t>
            </w:r>
            <w:proofErr w:type="gramStart"/>
            <w:r>
              <w:rPr>
                <w:rFonts w:eastAsia="Arial"/>
                <w:color w:val="FFFFFF"/>
                <w:sz w:val="16"/>
                <w:szCs w:val="16"/>
              </w:rPr>
              <w:t>JHAPJTo]</w:t>
            </w:r>
            <w:r>
              <w:rPr>
                <w:rFonts w:eastAsia="Arial"/>
                <w:color w:val="FFFFFF" w:themeColor="background1"/>
                <w:sz w:val="16"/>
                <w:szCs w:val="16"/>
              </w:rPr>
              <w:t>\</w:t>
            </w:r>
            <w:proofErr w:type="gramEnd"/>
          </w:p>
        </w:tc>
        <w:tc>
          <w:tcPr>
            <w:tcW w:w="485" w:type="dxa"/>
            <w:tcBorders>
              <w:left w:val="single" w:sz="4" w:space="0" w:color="auto"/>
              <w:right w:val="single" w:sz="4" w:space="0" w:color="auto"/>
            </w:tcBorders>
            <w:shd w:val="clear" w:color="auto" w:fill="FFFFFF"/>
            <w:vAlign w:val="center"/>
          </w:tcPr>
          <w:p w14:paraId="3AA9D76D" w14:textId="77777777" w:rsidR="00736AFD" w:rsidRDefault="00736AFD" w:rsidP="00736AFD">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left w:val="single" w:sz="4" w:space="0" w:color="auto"/>
              <w:bottom w:val="single" w:sz="4" w:space="0" w:color="auto"/>
              <w:right w:val="single" w:sz="4" w:space="0" w:color="auto"/>
            </w:tcBorders>
            <w:vAlign w:val="center"/>
          </w:tcPr>
          <w:p w14:paraId="20BA3DC7" w14:textId="77777777" w:rsidR="00736AFD" w:rsidRDefault="00736AFD" w:rsidP="00736AFD">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Data</w:t>
            </w:r>
          </w:p>
        </w:tc>
        <w:tc>
          <w:tcPr>
            <w:tcW w:w="3737" w:type="dxa"/>
            <w:tcBorders>
              <w:top w:val="single" w:sz="4" w:space="0" w:color="auto"/>
              <w:left w:val="single" w:sz="4" w:space="0" w:color="auto"/>
              <w:bottom w:val="single" w:sz="4" w:space="0" w:color="auto"/>
              <w:right w:val="single" w:sz="4" w:space="0" w:color="auto"/>
            </w:tcBorders>
            <w:vAlign w:val="center"/>
          </w:tcPr>
          <w:p w14:paraId="23E0B238" w14:textId="77777777" w:rsidR="00736AFD" w:rsidRDefault="00736AFD" w:rsidP="00736AFD">
            <w:pPr>
              <w:pBdr>
                <w:top w:val="nil"/>
                <w:left w:val="nil"/>
                <w:bottom w:val="nil"/>
                <w:right w:val="nil"/>
                <w:between w:val="nil"/>
              </w:pBdr>
              <w:spacing w:after="60" w:line="240" w:lineRule="auto"/>
              <w:ind w:left="0"/>
              <w:rPr>
                <w:color w:val="FFFFFF" w:themeColor="background1"/>
                <w:sz w:val="16"/>
                <w:szCs w:val="16"/>
              </w:rPr>
            </w:pPr>
            <w:r>
              <w:rPr>
                <w:rFonts w:eastAsia="Arial"/>
                <w:color w:val="FFFFFF"/>
                <w:sz w:val="16"/>
                <w:szCs w:val="16"/>
              </w:rPr>
              <w:t>[salesforceNonProductionOrg62UatSignerDateField_ZsnGVpm]</w:t>
            </w:r>
          </w:p>
        </w:tc>
      </w:tr>
      <w:tr w:rsidR="00736AFD" w14:paraId="5F1866DE" w14:textId="77777777" w:rsidTr="00736AFD">
        <w:trPr>
          <w:trHeight w:val="77"/>
        </w:trPr>
        <w:tc>
          <w:tcPr>
            <w:tcW w:w="1246" w:type="dxa"/>
            <w:tcBorders>
              <w:top w:val="single" w:sz="4" w:space="0" w:color="auto"/>
            </w:tcBorders>
            <w:vAlign w:val="center"/>
          </w:tcPr>
          <w:p w14:paraId="269DD3C4" w14:textId="77777777" w:rsidR="00736AFD" w:rsidRDefault="00736AFD">
            <w:pPr>
              <w:pBdr>
                <w:top w:val="nil"/>
                <w:left w:val="nil"/>
                <w:bottom w:val="nil"/>
                <w:right w:val="nil"/>
                <w:between w:val="nil"/>
              </w:pBdr>
              <w:spacing w:after="60" w:line="240" w:lineRule="auto"/>
              <w:ind w:left="0"/>
              <w:rPr>
                <w:rFonts w:eastAsia="Arial"/>
                <w:color w:val="000000"/>
                <w:sz w:val="16"/>
                <w:szCs w:val="16"/>
              </w:rPr>
            </w:pPr>
          </w:p>
        </w:tc>
        <w:tc>
          <w:tcPr>
            <w:tcW w:w="3736" w:type="dxa"/>
            <w:tcBorders>
              <w:top w:val="single" w:sz="4" w:space="0" w:color="auto"/>
            </w:tcBorders>
          </w:tcPr>
          <w:p w14:paraId="0FD1CFA3" w14:textId="77777777" w:rsidR="00736AFD" w:rsidRDefault="00736AFD">
            <w:pPr>
              <w:pBdr>
                <w:top w:val="nil"/>
                <w:left w:val="nil"/>
                <w:bottom w:val="nil"/>
                <w:right w:val="nil"/>
                <w:between w:val="nil"/>
              </w:pBdr>
              <w:spacing w:after="60" w:line="240" w:lineRule="auto"/>
              <w:ind w:left="-5"/>
              <w:rPr>
                <w:color w:val="FFFFFF" w:themeColor="background1"/>
              </w:rPr>
            </w:pPr>
          </w:p>
        </w:tc>
        <w:tc>
          <w:tcPr>
            <w:tcW w:w="485" w:type="dxa"/>
            <w:shd w:val="clear" w:color="auto" w:fill="FFFFFF"/>
            <w:vAlign w:val="center"/>
          </w:tcPr>
          <w:p w14:paraId="7F1753FD" w14:textId="77777777" w:rsidR="00736AFD" w:rsidRDefault="00736AFD">
            <w:pPr>
              <w:pBdr>
                <w:top w:val="nil"/>
                <w:left w:val="nil"/>
                <w:bottom w:val="nil"/>
                <w:right w:val="nil"/>
                <w:between w:val="nil"/>
              </w:pBdr>
              <w:spacing w:after="60" w:line="240" w:lineRule="auto"/>
              <w:rPr>
                <w:color w:val="000000" w:themeColor="text1"/>
                <w:sz w:val="16"/>
                <w:szCs w:val="16"/>
              </w:rPr>
            </w:pPr>
          </w:p>
        </w:tc>
        <w:tc>
          <w:tcPr>
            <w:tcW w:w="1239" w:type="dxa"/>
            <w:tcBorders>
              <w:top w:val="single" w:sz="4" w:space="0" w:color="auto"/>
            </w:tcBorders>
            <w:vAlign w:val="center"/>
          </w:tcPr>
          <w:p w14:paraId="3CFDFE75" w14:textId="77777777" w:rsidR="00736AFD" w:rsidRDefault="00736AFD">
            <w:pPr>
              <w:pBdr>
                <w:top w:val="nil"/>
                <w:left w:val="nil"/>
                <w:bottom w:val="nil"/>
                <w:right w:val="nil"/>
                <w:between w:val="nil"/>
              </w:pBdr>
              <w:spacing w:after="60" w:line="240" w:lineRule="auto"/>
              <w:ind w:left="0"/>
              <w:rPr>
                <w:rFonts w:eastAsia="Arial"/>
                <w:color w:val="000000"/>
                <w:sz w:val="16"/>
                <w:szCs w:val="16"/>
              </w:rPr>
            </w:pPr>
          </w:p>
        </w:tc>
        <w:tc>
          <w:tcPr>
            <w:tcW w:w="3737" w:type="dxa"/>
            <w:tcBorders>
              <w:top w:val="single" w:sz="4" w:space="0" w:color="auto"/>
            </w:tcBorders>
            <w:vAlign w:val="center"/>
          </w:tcPr>
          <w:p w14:paraId="77179768" w14:textId="77777777" w:rsidR="00736AFD" w:rsidRDefault="00736AFD">
            <w:pPr>
              <w:pBdr>
                <w:top w:val="nil"/>
                <w:left w:val="nil"/>
                <w:bottom w:val="nil"/>
                <w:right w:val="nil"/>
                <w:between w:val="nil"/>
              </w:pBdr>
              <w:spacing w:after="60" w:line="240" w:lineRule="auto"/>
              <w:ind w:left="0"/>
              <w:rPr>
                <w:rFonts w:eastAsia="Arial"/>
                <w:color w:val="FFFFFF"/>
                <w:sz w:val="16"/>
                <w:szCs w:val="16"/>
              </w:rPr>
            </w:pPr>
          </w:p>
        </w:tc>
      </w:tr>
      <w:tr w:rsidR="00211257" w14:paraId="015DAFF0" w14:textId="77777777" w:rsidTr="00FF7FAD">
        <w:trPr>
          <w:gridAfter w:val="2"/>
          <w:wAfter w:w="4976" w:type="dxa"/>
          <w:trHeight w:val="359"/>
        </w:trPr>
        <w:tc>
          <w:tcPr>
            <w:tcW w:w="4982" w:type="dxa"/>
            <w:gridSpan w:val="2"/>
            <w:tcBorders>
              <w:top w:val="single" w:sz="4" w:space="0" w:color="BFBFBF"/>
              <w:left w:val="single" w:sz="4" w:space="0" w:color="BFBFBF"/>
              <w:bottom w:val="single" w:sz="4" w:space="0" w:color="auto"/>
              <w:right w:val="single" w:sz="4" w:space="0" w:color="AEAAAA" w:themeColor="background2" w:themeShade="BF"/>
            </w:tcBorders>
            <w:shd w:val="clear" w:color="auto" w:fill="1F4C78"/>
            <w:vAlign w:val="center"/>
          </w:tcPr>
          <w:p w14:paraId="7E21C749" w14:textId="77777777" w:rsidR="00211257" w:rsidRDefault="00000000">
            <w:pPr>
              <w:pBdr>
                <w:top w:val="nil"/>
                <w:left w:val="nil"/>
                <w:bottom w:val="nil"/>
                <w:right w:val="nil"/>
                <w:between w:val="nil"/>
              </w:pBdr>
              <w:spacing w:after="0" w:line="240" w:lineRule="auto"/>
              <w:ind w:left="-14"/>
              <w:rPr>
                <w:b/>
                <w:color w:val="000000" w:themeColor="text1"/>
                <w:szCs w:val="18"/>
              </w:rPr>
            </w:pPr>
            <w:proofErr w:type="spellStart"/>
            <w:r>
              <w:rPr>
                <w:rFonts w:eastAsia="Arial"/>
                <w:b/>
                <w:color w:val="FFFFFF" w:themeColor="background1"/>
                <w:szCs w:val="18"/>
              </w:rPr>
              <w:t>Cliente</w:t>
            </w:r>
            <w:proofErr w:type="spellEnd"/>
          </w:p>
        </w:tc>
        <w:tc>
          <w:tcPr>
            <w:tcW w:w="485" w:type="dxa"/>
            <w:tcBorders>
              <w:left w:val="single" w:sz="4" w:space="0" w:color="AEAAAA" w:themeColor="background2" w:themeShade="BF"/>
            </w:tcBorders>
            <w:shd w:val="clear" w:color="auto" w:fill="FFFFFF"/>
            <w:vAlign w:val="center"/>
          </w:tcPr>
          <w:p w14:paraId="70E73D84" w14:textId="77777777" w:rsidR="00211257" w:rsidRDefault="00211257">
            <w:pPr>
              <w:pBdr>
                <w:top w:val="nil"/>
                <w:left w:val="nil"/>
                <w:bottom w:val="nil"/>
                <w:right w:val="nil"/>
                <w:between w:val="nil"/>
              </w:pBdr>
              <w:spacing w:after="60" w:line="240" w:lineRule="auto"/>
              <w:rPr>
                <w:rFonts w:eastAsia="Arial"/>
                <w:color w:val="000000" w:themeColor="text1"/>
                <w:sz w:val="16"/>
                <w:szCs w:val="16"/>
              </w:rPr>
            </w:pPr>
          </w:p>
        </w:tc>
      </w:tr>
      <w:tr w:rsidR="00211257" w14:paraId="0764CA55" w14:textId="77777777" w:rsidTr="00FF7FAD">
        <w:trPr>
          <w:gridAfter w:val="2"/>
          <w:wAfter w:w="4976" w:type="dxa"/>
          <w:trHeight w:val="286"/>
        </w:trPr>
        <w:tc>
          <w:tcPr>
            <w:tcW w:w="1246" w:type="dxa"/>
            <w:tcBorders>
              <w:top w:val="single" w:sz="4" w:space="0" w:color="auto"/>
              <w:left w:val="single" w:sz="4" w:space="0" w:color="auto"/>
              <w:bottom w:val="single" w:sz="4" w:space="0" w:color="auto"/>
              <w:right w:val="single" w:sz="4" w:space="0" w:color="auto"/>
            </w:tcBorders>
            <w:vAlign w:val="center"/>
          </w:tcPr>
          <w:p w14:paraId="722FF6D9" w14:textId="77777777" w:rsidR="00211257" w:rsidRDefault="00000000">
            <w:pPr>
              <w:spacing w:after="60" w:line="240" w:lineRule="auto"/>
              <w:ind w:left="0"/>
              <w:rPr>
                <w:rFonts w:eastAsia="Arial"/>
                <w:color w:val="000000" w:themeColor="text1"/>
                <w:sz w:val="16"/>
                <w:szCs w:val="16"/>
              </w:rPr>
            </w:pPr>
            <w:r>
              <w:rPr>
                <w:rFonts w:eastAsia="Arial"/>
                <w:color w:val="000000"/>
                <w:sz w:val="16"/>
                <w:szCs w:val="16"/>
              </w:rPr>
              <w:t>Assinatura</w:t>
            </w:r>
          </w:p>
        </w:tc>
        <w:tc>
          <w:tcPr>
            <w:tcW w:w="3736" w:type="dxa"/>
            <w:tcBorders>
              <w:top w:val="single" w:sz="4" w:space="0" w:color="auto"/>
              <w:left w:val="single" w:sz="4" w:space="0" w:color="auto"/>
              <w:bottom w:val="single" w:sz="4" w:space="0" w:color="auto"/>
              <w:right w:val="single" w:sz="4" w:space="0" w:color="auto"/>
            </w:tcBorders>
            <w:vAlign w:val="center"/>
          </w:tcPr>
          <w:p w14:paraId="351DD373" w14:textId="77777777" w:rsidR="00211257" w:rsidRDefault="00000000">
            <w:pPr>
              <w:ind w:left="0"/>
              <w:rPr>
                <w:rFonts w:ascii="Times New Roman" w:hAnsi="Times New Roman" w:cs="Times New Roman"/>
                <w:color w:val="FFFFFF" w:themeColor="background1"/>
                <w:sz w:val="24"/>
              </w:rPr>
            </w:pPr>
            <w:r>
              <w:rPr>
                <w:color w:val="FFFFFF" w:themeColor="background1"/>
              </w:rPr>
              <w:t>\s</w:t>
            </w:r>
            <w:r>
              <w:rPr>
                <w:color w:val="FFFFFF"/>
              </w:rPr>
              <w:t>[counterpartySigner2Signature_m0</w:t>
            </w:r>
            <w:proofErr w:type="gramStart"/>
            <w:r>
              <w:rPr>
                <w:color w:val="FFFFFF"/>
              </w:rPr>
              <w:t>YbdQA]</w:t>
            </w:r>
            <w:r>
              <w:rPr>
                <w:color w:val="FFFFFF" w:themeColor="background1"/>
              </w:rPr>
              <w:t>\</w:t>
            </w:r>
            <w:proofErr w:type="gramEnd"/>
          </w:p>
        </w:tc>
        <w:tc>
          <w:tcPr>
            <w:tcW w:w="485" w:type="dxa"/>
            <w:tcBorders>
              <w:left w:val="single" w:sz="4" w:space="0" w:color="auto"/>
            </w:tcBorders>
            <w:vAlign w:val="center"/>
          </w:tcPr>
          <w:p w14:paraId="5445BCEA" w14:textId="77777777" w:rsidR="00211257" w:rsidRDefault="00211257">
            <w:pPr>
              <w:spacing w:after="60" w:line="240" w:lineRule="auto"/>
              <w:rPr>
                <w:rFonts w:eastAsia="Arial"/>
                <w:color w:val="000000" w:themeColor="text1"/>
                <w:sz w:val="16"/>
                <w:szCs w:val="16"/>
              </w:rPr>
            </w:pPr>
          </w:p>
        </w:tc>
      </w:tr>
      <w:tr w:rsidR="00211257" w14:paraId="63C64E2D" w14:textId="77777777" w:rsidTr="00FF7FAD">
        <w:trPr>
          <w:gridAfter w:val="2"/>
          <w:wAfter w:w="4976" w:type="dxa"/>
          <w:trHeight w:val="466"/>
        </w:trPr>
        <w:tc>
          <w:tcPr>
            <w:tcW w:w="1246" w:type="dxa"/>
            <w:tcBorders>
              <w:top w:val="single" w:sz="4" w:space="0" w:color="auto"/>
              <w:left w:val="single" w:sz="4" w:space="0" w:color="auto"/>
              <w:bottom w:val="single" w:sz="4" w:space="0" w:color="auto"/>
              <w:right w:val="single" w:sz="4" w:space="0" w:color="auto"/>
            </w:tcBorders>
            <w:vAlign w:val="center"/>
          </w:tcPr>
          <w:p w14:paraId="126D4A8E" w14:textId="77777777" w:rsidR="00211257" w:rsidRDefault="00000000">
            <w:pPr>
              <w:pBdr>
                <w:top w:val="nil"/>
                <w:left w:val="nil"/>
                <w:bottom w:val="nil"/>
                <w:right w:val="nil"/>
                <w:between w:val="nil"/>
              </w:pBdr>
              <w:spacing w:after="60" w:line="240" w:lineRule="auto"/>
              <w:ind w:left="0"/>
              <w:rPr>
                <w:color w:val="000000" w:themeColor="text1"/>
                <w:sz w:val="16"/>
                <w:szCs w:val="16"/>
              </w:rPr>
            </w:pPr>
            <w:r>
              <w:rPr>
                <w:rFonts w:eastAsia="Arial"/>
                <w:color w:val="000000"/>
                <w:sz w:val="16"/>
                <w:szCs w:val="16"/>
              </w:rPr>
              <w:t>Nome</w:t>
            </w:r>
          </w:p>
        </w:tc>
        <w:tc>
          <w:tcPr>
            <w:tcW w:w="3736" w:type="dxa"/>
            <w:tcBorders>
              <w:top w:val="single" w:sz="4" w:space="0" w:color="auto"/>
              <w:left w:val="single" w:sz="4" w:space="0" w:color="auto"/>
              <w:bottom w:val="single" w:sz="4" w:space="0" w:color="auto"/>
              <w:right w:val="single" w:sz="4" w:space="0" w:color="auto"/>
            </w:tcBorders>
            <w:vAlign w:val="center"/>
          </w:tcPr>
          <w:p w14:paraId="05D1F27F"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\n</w:t>
            </w:r>
            <w:r>
              <w:rPr>
                <w:rFonts w:eastAsia="Arial"/>
                <w:color w:val="FFFFFF"/>
                <w:sz w:val="16"/>
                <w:szCs w:val="16"/>
              </w:rPr>
              <w:t>[counterpartySigner2Name_nZVfwGv]</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62509B7F"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7F7DD341" w14:textId="77777777" w:rsidTr="00FF7FAD">
        <w:trPr>
          <w:gridAfter w:val="2"/>
          <w:wAfter w:w="4976" w:type="dxa"/>
          <w:trHeight w:val="430"/>
        </w:trPr>
        <w:tc>
          <w:tcPr>
            <w:tcW w:w="1246" w:type="dxa"/>
            <w:tcBorders>
              <w:top w:val="single" w:sz="4" w:space="0" w:color="auto"/>
              <w:left w:val="single" w:sz="4" w:space="0" w:color="auto"/>
              <w:bottom w:val="single" w:sz="4" w:space="0" w:color="auto"/>
              <w:right w:val="single" w:sz="4" w:space="0" w:color="auto"/>
            </w:tcBorders>
            <w:vAlign w:val="center"/>
          </w:tcPr>
          <w:p w14:paraId="496A3B2A" w14:textId="77777777" w:rsidR="00211257" w:rsidRDefault="00000000">
            <w:pPr>
              <w:pBdr>
                <w:top w:val="nil"/>
                <w:left w:val="nil"/>
                <w:bottom w:val="nil"/>
                <w:right w:val="nil"/>
                <w:between w:val="nil"/>
              </w:pBdr>
              <w:spacing w:after="60" w:line="240" w:lineRule="auto"/>
              <w:ind w:left="0"/>
              <w:rPr>
                <w:color w:val="000000" w:themeColor="text1"/>
                <w:sz w:val="16"/>
                <w:szCs w:val="16"/>
              </w:rPr>
            </w:pPr>
            <w:r>
              <w:rPr>
                <w:rFonts w:eastAsia="Arial"/>
                <w:color w:val="000000"/>
                <w:sz w:val="16"/>
                <w:szCs w:val="16"/>
              </w:rPr>
              <w:t>Cargo</w:t>
            </w:r>
          </w:p>
        </w:tc>
        <w:tc>
          <w:tcPr>
            <w:tcW w:w="3736" w:type="dxa"/>
            <w:tcBorders>
              <w:top w:val="single" w:sz="4" w:space="0" w:color="auto"/>
              <w:left w:val="single" w:sz="4" w:space="0" w:color="auto"/>
              <w:bottom w:val="single" w:sz="4" w:space="0" w:color="auto"/>
              <w:right w:val="single" w:sz="4" w:space="0" w:color="auto"/>
            </w:tcBorders>
            <w:vAlign w:val="center"/>
          </w:tcPr>
          <w:p w14:paraId="0B6CA6E8"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\t</w:t>
            </w:r>
            <w:r>
              <w:rPr>
                <w:rFonts w:eastAsia="Arial"/>
                <w:color w:val="FFFFFF"/>
                <w:sz w:val="16"/>
                <w:szCs w:val="16"/>
              </w:rPr>
              <w:t>[counterpartySigner2Title_Qf7</w:t>
            </w:r>
            <w:proofErr w:type="gramStart"/>
            <w:r>
              <w:rPr>
                <w:rFonts w:eastAsia="Arial"/>
                <w:color w:val="FFFFFF"/>
                <w:sz w:val="16"/>
                <w:szCs w:val="16"/>
              </w:rPr>
              <w:t>FJzL]</w:t>
            </w:r>
            <w:r>
              <w:rPr>
                <w:rFonts w:eastAsia="Arial"/>
                <w:color w:val="FFFFFF" w:themeColor="background1"/>
                <w:sz w:val="16"/>
                <w:szCs w:val="16"/>
              </w:rPr>
              <w:t>\</w:t>
            </w:r>
            <w:proofErr w:type="gramEnd"/>
          </w:p>
        </w:tc>
        <w:tc>
          <w:tcPr>
            <w:tcW w:w="485" w:type="dxa"/>
            <w:tcBorders>
              <w:left w:val="single" w:sz="4" w:space="0" w:color="auto"/>
            </w:tcBorders>
            <w:shd w:val="clear" w:color="auto" w:fill="FFFFFF"/>
            <w:vAlign w:val="center"/>
          </w:tcPr>
          <w:p w14:paraId="624BD44B"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723EBBA9" w14:textId="77777777" w:rsidTr="00FF7FAD">
        <w:trPr>
          <w:gridAfter w:val="2"/>
          <w:wAfter w:w="4976" w:type="dxa"/>
          <w:trHeight w:val="408"/>
        </w:trPr>
        <w:tc>
          <w:tcPr>
            <w:tcW w:w="1246" w:type="dxa"/>
            <w:tcBorders>
              <w:top w:val="single" w:sz="4" w:space="0" w:color="auto"/>
              <w:left w:val="single" w:sz="4" w:space="0" w:color="auto"/>
              <w:bottom w:val="single" w:sz="4" w:space="0" w:color="auto"/>
              <w:right w:val="single" w:sz="4" w:space="0" w:color="auto"/>
            </w:tcBorders>
            <w:vAlign w:val="center"/>
          </w:tcPr>
          <w:p w14:paraId="121C1C10" w14:textId="77777777" w:rsidR="00211257" w:rsidRDefault="00000000">
            <w:pPr>
              <w:pBdr>
                <w:top w:val="nil"/>
                <w:left w:val="nil"/>
                <w:bottom w:val="nil"/>
                <w:right w:val="nil"/>
                <w:between w:val="nil"/>
              </w:pBdr>
              <w:spacing w:after="60" w:line="240" w:lineRule="auto"/>
              <w:ind w:left="0"/>
              <w:rPr>
                <w:color w:val="000000" w:themeColor="text1"/>
                <w:sz w:val="16"/>
                <w:szCs w:val="16"/>
              </w:rPr>
            </w:pPr>
            <w:r>
              <w:rPr>
                <w:rFonts w:eastAsia="Arial"/>
                <w:color w:val="000000"/>
                <w:sz w:val="16"/>
                <w:szCs w:val="16"/>
              </w:rPr>
              <w:t>Data</w:t>
            </w:r>
          </w:p>
        </w:tc>
        <w:tc>
          <w:tcPr>
            <w:tcW w:w="3736" w:type="dxa"/>
            <w:tcBorders>
              <w:top w:val="single" w:sz="4" w:space="0" w:color="auto"/>
              <w:left w:val="single" w:sz="4" w:space="0" w:color="auto"/>
              <w:bottom w:val="single" w:sz="4" w:space="0" w:color="auto"/>
              <w:right w:val="single" w:sz="4" w:space="0" w:color="auto"/>
            </w:tcBorders>
            <w:vAlign w:val="center"/>
          </w:tcPr>
          <w:p w14:paraId="5B6D4AFB"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\d</w:t>
            </w:r>
            <w:r>
              <w:rPr>
                <w:rFonts w:eastAsia="Arial"/>
                <w:color w:val="FFFFFF"/>
                <w:sz w:val="16"/>
                <w:szCs w:val="16"/>
              </w:rPr>
              <w:t>[counterpartySigner2DateField_JHAPJTo]</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0AE26FBB"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736AFD" w14:paraId="5FD41C12" w14:textId="77777777" w:rsidTr="00543B62">
        <w:trPr>
          <w:gridAfter w:val="2"/>
          <w:wAfter w:w="4976" w:type="dxa"/>
          <w:trHeight w:val="77"/>
        </w:trPr>
        <w:tc>
          <w:tcPr>
            <w:tcW w:w="1246" w:type="dxa"/>
            <w:tcBorders>
              <w:top w:val="single" w:sz="4" w:space="0" w:color="auto"/>
            </w:tcBorders>
            <w:vAlign w:val="center"/>
          </w:tcPr>
          <w:p w14:paraId="5176246C" w14:textId="77777777" w:rsidR="00736AFD" w:rsidRDefault="00736AFD">
            <w:pPr>
              <w:pBdr>
                <w:top w:val="nil"/>
                <w:left w:val="nil"/>
                <w:bottom w:val="nil"/>
                <w:right w:val="nil"/>
                <w:between w:val="nil"/>
              </w:pBdr>
              <w:spacing w:after="60" w:line="240" w:lineRule="auto"/>
              <w:ind w:left="0"/>
              <w:rPr>
                <w:rFonts w:eastAsia="Arial"/>
                <w:color w:val="000000"/>
                <w:sz w:val="16"/>
                <w:szCs w:val="16"/>
              </w:rPr>
            </w:pPr>
          </w:p>
        </w:tc>
        <w:tc>
          <w:tcPr>
            <w:tcW w:w="3736" w:type="dxa"/>
            <w:tcBorders>
              <w:top w:val="single" w:sz="4" w:space="0" w:color="auto"/>
            </w:tcBorders>
            <w:vAlign w:val="center"/>
          </w:tcPr>
          <w:p w14:paraId="3C6036ED" w14:textId="77777777" w:rsidR="00736AFD" w:rsidRDefault="00736AFD">
            <w:pPr>
              <w:pBdr>
                <w:top w:val="nil"/>
                <w:left w:val="nil"/>
                <w:bottom w:val="nil"/>
                <w:right w:val="nil"/>
                <w:between w:val="nil"/>
              </w:pBdr>
              <w:spacing w:after="60" w:line="240" w:lineRule="auto"/>
              <w:ind w:left="-5"/>
              <w:rPr>
                <w:rFonts w:eastAsia="Arial"/>
                <w:color w:val="FFFFFF" w:themeColor="background1"/>
                <w:sz w:val="16"/>
                <w:szCs w:val="16"/>
              </w:rPr>
            </w:pPr>
          </w:p>
        </w:tc>
        <w:tc>
          <w:tcPr>
            <w:tcW w:w="485" w:type="dxa"/>
            <w:tcBorders>
              <w:left w:val="nil"/>
            </w:tcBorders>
            <w:shd w:val="clear" w:color="auto" w:fill="FFFFFF"/>
            <w:vAlign w:val="center"/>
          </w:tcPr>
          <w:p w14:paraId="5227E6F5" w14:textId="77777777" w:rsidR="00736AFD" w:rsidRDefault="00736AFD">
            <w:pPr>
              <w:pBdr>
                <w:top w:val="nil"/>
                <w:left w:val="nil"/>
                <w:bottom w:val="nil"/>
                <w:right w:val="nil"/>
                <w:between w:val="nil"/>
              </w:pBdr>
              <w:spacing w:after="60" w:line="240" w:lineRule="auto"/>
              <w:rPr>
                <w:color w:val="000000" w:themeColor="text1"/>
                <w:sz w:val="16"/>
                <w:szCs w:val="16"/>
              </w:rPr>
            </w:pPr>
          </w:p>
        </w:tc>
      </w:tr>
      <w:tr w:rsidR="00211257" w14:paraId="07334F9D" w14:textId="77777777" w:rsidTr="00FF7FAD">
        <w:trPr>
          <w:gridAfter w:val="2"/>
          <w:wAfter w:w="4976" w:type="dxa"/>
          <w:trHeight w:val="359"/>
        </w:trPr>
        <w:tc>
          <w:tcPr>
            <w:tcW w:w="4982" w:type="dxa"/>
            <w:gridSpan w:val="2"/>
            <w:tcBorders>
              <w:left w:val="single" w:sz="4" w:space="0" w:color="BFBFBF"/>
              <w:bottom w:val="single" w:sz="4" w:space="0" w:color="auto"/>
              <w:right w:val="single" w:sz="4" w:space="0" w:color="AEAAAA" w:themeColor="background2" w:themeShade="BF"/>
            </w:tcBorders>
            <w:shd w:val="clear" w:color="auto" w:fill="1F4C78"/>
            <w:vAlign w:val="center"/>
          </w:tcPr>
          <w:p w14:paraId="2BE505AB" w14:textId="77777777" w:rsidR="00211257" w:rsidRDefault="00000000">
            <w:pPr>
              <w:pBdr>
                <w:top w:val="nil"/>
                <w:left w:val="nil"/>
                <w:bottom w:val="nil"/>
                <w:right w:val="nil"/>
                <w:between w:val="nil"/>
              </w:pBdr>
              <w:spacing w:after="0" w:line="240" w:lineRule="auto"/>
              <w:ind w:left="-14"/>
              <w:rPr>
                <w:b/>
                <w:color w:val="F2F2F2"/>
                <w:szCs w:val="18"/>
              </w:rPr>
            </w:pPr>
            <w:proofErr w:type="spellStart"/>
            <w:r>
              <w:rPr>
                <w:rFonts w:eastAsia="Arial"/>
                <w:b/>
                <w:color w:val="FFFFFF" w:themeColor="background1"/>
                <w:szCs w:val="18"/>
              </w:rPr>
              <w:t>Cliente</w:t>
            </w:r>
            <w:proofErr w:type="spellEnd"/>
          </w:p>
        </w:tc>
        <w:tc>
          <w:tcPr>
            <w:tcW w:w="485" w:type="dxa"/>
            <w:tcBorders>
              <w:left w:val="single" w:sz="4" w:space="0" w:color="AEAAAA" w:themeColor="background2" w:themeShade="BF"/>
            </w:tcBorders>
            <w:shd w:val="clear" w:color="auto" w:fill="FFFFFF"/>
            <w:vAlign w:val="center"/>
          </w:tcPr>
          <w:p w14:paraId="0C173576" w14:textId="77777777" w:rsidR="00211257" w:rsidRDefault="00211257">
            <w:pPr>
              <w:pBdr>
                <w:top w:val="nil"/>
                <w:left w:val="nil"/>
                <w:bottom w:val="nil"/>
                <w:right w:val="nil"/>
                <w:between w:val="nil"/>
              </w:pBdr>
              <w:spacing w:after="60" w:line="240" w:lineRule="auto"/>
              <w:rPr>
                <w:rFonts w:eastAsia="Arial"/>
                <w:color w:val="000000"/>
                <w:sz w:val="16"/>
                <w:szCs w:val="16"/>
              </w:rPr>
            </w:pPr>
          </w:p>
        </w:tc>
      </w:tr>
      <w:tr w:rsidR="00211257" w14:paraId="5C898D18" w14:textId="77777777" w:rsidTr="00FF7FAD">
        <w:trPr>
          <w:gridAfter w:val="2"/>
          <w:wAfter w:w="4976" w:type="dxa"/>
          <w:trHeight w:val="710"/>
        </w:trPr>
        <w:tc>
          <w:tcPr>
            <w:tcW w:w="1246" w:type="dxa"/>
            <w:tcBorders>
              <w:top w:val="single" w:sz="4" w:space="0" w:color="auto"/>
              <w:left w:val="single" w:sz="4" w:space="0" w:color="auto"/>
              <w:bottom w:val="single" w:sz="4" w:space="0" w:color="auto"/>
              <w:right w:val="single" w:sz="4" w:space="0" w:color="auto"/>
            </w:tcBorders>
            <w:vAlign w:val="center"/>
          </w:tcPr>
          <w:p w14:paraId="716A9627" w14:textId="77777777" w:rsidR="00211257" w:rsidRDefault="00000000">
            <w:pPr>
              <w:spacing w:after="60" w:line="240" w:lineRule="auto"/>
              <w:ind w:left="0"/>
              <w:rPr>
                <w:rFonts w:eastAsia="Arial"/>
                <w:color w:val="000000"/>
                <w:sz w:val="16"/>
                <w:szCs w:val="16"/>
              </w:rPr>
            </w:pPr>
            <w:proofErr w:type="spellStart"/>
            <w:r>
              <w:rPr>
                <w:rFonts w:eastAsia="Arial"/>
                <w:color w:val="000000"/>
                <w:sz w:val="16"/>
                <w:szCs w:val="16"/>
              </w:rPr>
              <w:t>Assinatura</w:t>
            </w:r>
            <w:proofErr w:type="spellEnd"/>
          </w:p>
        </w:tc>
        <w:tc>
          <w:tcPr>
            <w:tcW w:w="3736" w:type="dxa"/>
            <w:tcBorders>
              <w:top w:val="single" w:sz="4" w:space="0" w:color="auto"/>
              <w:left w:val="single" w:sz="4" w:space="0" w:color="auto"/>
              <w:bottom w:val="single" w:sz="4" w:space="0" w:color="auto"/>
              <w:right w:val="single" w:sz="4" w:space="0" w:color="auto"/>
            </w:tcBorders>
            <w:vAlign w:val="center"/>
          </w:tcPr>
          <w:p w14:paraId="210F4F67" w14:textId="77777777" w:rsidR="00211257" w:rsidRDefault="00000000">
            <w:pPr>
              <w:ind w:left="0"/>
              <w:rPr>
                <w:rFonts w:ascii="Times New Roman" w:hAnsi="Times New Roman" w:cs="Times New Roman"/>
                <w:color w:val="FFFFFF" w:themeColor="background1"/>
                <w:sz w:val="24"/>
              </w:rPr>
            </w:pPr>
            <w:r>
              <w:rPr>
                <w:color w:val="FFFFFF" w:themeColor="background1"/>
              </w:rPr>
              <w:t>\s</w:t>
            </w:r>
            <w:r>
              <w:rPr>
                <w:color w:val="FFFFFF"/>
              </w:rPr>
              <w:t>[counterpartySigner3Signature_426dx9x]</w:t>
            </w:r>
            <w:r>
              <w:rPr>
                <w:color w:val="FFFFFF" w:themeColor="background1"/>
              </w:rPr>
              <w:t>\</w:t>
            </w:r>
          </w:p>
        </w:tc>
        <w:tc>
          <w:tcPr>
            <w:tcW w:w="485" w:type="dxa"/>
            <w:tcBorders>
              <w:left w:val="single" w:sz="4" w:space="0" w:color="auto"/>
            </w:tcBorders>
            <w:vAlign w:val="center"/>
          </w:tcPr>
          <w:p w14:paraId="6365F836" w14:textId="77777777" w:rsidR="00211257" w:rsidRDefault="00211257">
            <w:pPr>
              <w:spacing w:after="60" w:line="240" w:lineRule="auto"/>
              <w:rPr>
                <w:rFonts w:eastAsia="Arial"/>
                <w:color w:val="000000"/>
                <w:sz w:val="16"/>
                <w:szCs w:val="16"/>
              </w:rPr>
            </w:pPr>
          </w:p>
        </w:tc>
      </w:tr>
      <w:tr w:rsidR="00211257" w14:paraId="45ADC3B3" w14:textId="77777777" w:rsidTr="00FF7FAD">
        <w:trPr>
          <w:gridAfter w:val="2"/>
          <w:wAfter w:w="4976" w:type="dxa"/>
          <w:trHeight w:val="476"/>
        </w:trPr>
        <w:tc>
          <w:tcPr>
            <w:tcW w:w="1246" w:type="dxa"/>
            <w:tcBorders>
              <w:top w:val="single" w:sz="4" w:space="0" w:color="auto"/>
              <w:left w:val="single" w:sz="4" w:space="0" w:color="auto"/>
              <w:bottom w:val="single" w:sz="4" w:space="0" w:color="auto"/>
              <w:right w:val="single" w:sz="4" w:space="0" w:color="auto"/>
            </w:tcBorders>
            <w:vAlign w:val="center"/>
          </w:tcPr>
          <w:p w14:paraId="59F008A1"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Nome</w:t>
            </w:r>
          </w:p>
        </w:tc>
        <w:tc>
          <w:tcPr>
            <w:tcW w:w="3736" w:type="dxa"/>
            <w:tcBorders>
              <w:top w:val="single" w:sz="4" w:space="0" w:color="auto"/>
              <w:left w:val="single" w:sz="4" w:space="0" w:color="auto"/>
              <w:bottom w:val="single" w:sz="4" w:space="0" w:color="auto"/>
              <w:right w:val="single" w:sz="4" w:space="0" w:color="auto"/>
            </w:tcBorders>
            <w:vAlign w:val="center"/>
          </w:tcPr>
          <w:p w14:paraId="68880099"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\n</w:t>
            </w:r>
            <w:r>
              <w:rPr>
                <w:rFonts w:eastAsia="Arial"/>
                <w:color w:val="FFFFFF"/>
                <w:sz w:val="16"/>
                <w:szCs w:val="16"/>
              </w:rPr>
              <w:t>[counterpartySigner3Name_5piH5pC]</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448BCDF1"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5B59AEAD" w14:textId="77777777" w:rsidTr="00FF7FAD">
        <w:trPr>
          <w:gridAfter w:val="2"/>
          <w:wAfter w:w="4976" w:type="dxa"/>
          <w:trHeight w:val="412"/>
        </w:trPr>
        <w:tc>
          <w:tcPr>
            <w:tcW w:w="1246" w:type="dxa"/>
            <w:tcBorders>
              <w:top w:val="single" w:sz="4" w:space="0" w:color="auto"/>
              <w:left w:val="single" w:sz="4" w:space="0" w:color="auto"/>
              <w:bottom w:val="single" w:sz="4" w:space="0" w:color="auto"/>
              <w:right w:val="single" w:sz="4" w:space="0" w:color="auto"/>
            </w:tcBorders>
            <w:vAlign w:val="center"/>
          </w:tcPr>
          <w:p w14:paraId="426860A8"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Cargo</w:t>
            </w:r>
          </w:p>
        </w:tc>
        <w:tc>
          <w:tcPr>
            <w:tcW w:w="3736" w:type="dxa"/>
            <w:tcBorders>
              <w:top w:val="single" w:sz="4" w:space="0" w:color="auto"/>
              <w:left w:val="single" w:sz="4" w:space="0" w:color="auto"/>
              <w:bottom w:val="single" w:sz="4" w:space="0" w:color="auto"/>
              <w:right w:val="single" w:sz="4" w:space="0" w:color="auto"/>
            </w:tcBorders>
            <w:vAlign w:val="center"/>
          </w:tcPr>
          <w:p w14:paraId="3950D929"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\t</w:t>
            </w:r>
            <w:r>
              <w:rPr>
                <w:rFonts w:eastAsia="Arial"/>
                <w:color w:val="FFFFFF"/>
                <w:sz w:val="16"/>
                <w:szCs w:val="16"/>
              </w:rPr>
              <w:t>[counterpartySigner3Title_smsp0tZ]</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6DA7C259" w14:textId="77777777" w:rsidR="00211257" w:rsidRDefault="00211257">
            <w:pPr>
              <w:pBdr>
                <w:top w:val="nil"/>
                <w:left w:val="nil"/>
                <w:bottom w:val="nil"/>
                <w:right w:val="nil"/>
                <w:between w:val="nil"/>
              </w:pBdr>
              <w:spacing w:after="60" w:line="240" w:lineRule="auto"/>
              <w:rPr>
                <w:color w:val="000000" w:themeColor="text1"/>
                <w:sz w:val="16"/>
                <w:szCs w:val="16"/>
              </w:rPr>
            </w:pPr>
          </w:p>
        </w:tc>
      </w:tr>
      <w:tr w:rsidR="00211257" w14:paraId="40C6BCFE" w14:textId="77777777" w:rsidTr="00FF7FAD">
        <w:trPr>
          <w:gridAfter w:val="2"/>
          <w:wAfter w:w="4976" w:type="dxa"/>
          <w:trHeight w:val="417"/>
        </w:trPr>
        <w:tc>
          <w:tcPr>
            <w:tcW w:w="1246" w:type="dxa"/>
            <w:tcBorders>
              <w:top w:val="single" w:sz="4" w:space="0" w:color="auto"/>
              <w:left w:val="single" w:sz="4" w:space="0" w:color="auto"/>
              <w:bottom w:val="single" w:sz="4" w:space="0" w:color="auto"/>
              <w:right w:val="single" w:sz="4" w:space="0" w:color="auto"/>
            </w:tcBorders>
            <w:vAlign w:val="center"/>
          </w:tcPr>
          <w:p w14:paraId="57D7C2F9" w14:textId="77777777" w:rsidR="00211257" w:rsidRDefault="00000000">
            <w:pPr>
              <w:pBdr>
                <w:top w:val="nil"/>
                <w:left w:val="nil"/>
                <w:bottom w:val="nil"/>
                <w:right w:val="nil"/>
                <w:between w:val="nil"/>
              </w:pBdr>
              <w:spacing w:after="60" w:line="240" w:lineRule="auto"/>
              <w:ind w:left="0"/>
              <w:rPr>
                <w:color w:val="000000"/>
                <w:sz w:val="16"/>
                <w:szCs w:val="16"/>
              </w:rPr>
            </w:pPr>
            <w:r>
              <w:rPr>
                <w:rFonts w:eastAsia="Arial"/>
                <w:color w:val="000000"/>
                <w:sz w:val="16"/>
                <w:szCs w:val="16"/>
              </w:rPr>
              <w:t>Data</w:t>
            </w:r>
          </w:p>
        </w:tc>
        <w:tc>
          <w:tcPr>
            <w:tcW w:w="3736" w:type="dxa"/>
            <w:tcBorders>
              <w:top w:val="single" w:sz="4" w:space="0" w:color="auto"/>
              <w:left w:val="single" w:sz="4" w:space="0" w:color="auto"/>
              <w:bottom w:val="single" w:sz="4" w:space="0" w:color="auto"/>
              <w:right w:val="single" w:sz="4" w:space="0" w:color="auto"/>
            </w:tcBorders>
            <w:vAlign w:val="center"/>
          </w:tcPr>
          <w:p w14:paraId="0B5FA0DA" w14:textId="77777777" w:rsidR="00211257" w:rsidRDefault="00000000">
            <w:pPr>
              <w:pBdr>
                <w:top w:val="nil"/>
                <w:left w:val="nil"/>
                <w:bottom w:val="nil"/>
                <w:right w:val="nil"/>
                <w:between w:val="nil"/>
              </w:pBdr>
              <w:spacing w:after="60" w:line="240" w:lineRule="auto"/>
              <w:ind w:left="-5"/>
              <w:rPr>
                <w:color w:val="FFFFFF" w:themeColor="background1"/>
                <w:sz w:val="16"/>
                <w:szCs w:val="16"/>
              </w:rPr>
            </w:pPr>
            <w:r>
              <w:rPr>
                <w:rFonts w:eastAsia="Arial"/>
                <w:color w:val="FFFFFF" w:themeColor="background1"/>
                <w:sz w:val="16"/>
                <w:szCs w:val="16"/>
              </w:rPr>
              <w:t>\d</w:t>
            </w:r>
            <w:r>
              <w:rPr>
                <w:rFonts w:eastAsia="Arial"/>
                <w:color w:val="FFFFFF"/>
                <w:sz w:val="16"/>
                <w:szCs w:val="16"/>
              </w:rPr>
              <w:t>[counterpartySigner3DateField_QT0BPB4]</w:t>
            </w:r>
            <w:r>
              <w:rPr>
                <w:rFonts w:eastAsia="Arial"/>
                <w:color w:val="FFFFFF" w:themeColor="background1"/>
                <w:sz w:val="16"/>
                <w:szCs w:val="16"/>
              </w:rPr>
              <w:t>\</w:t>
            </w:r>
          </w:p>
        </w:tc>
        <w:tc>
          <w:tcPr>
            <w:tcW w:w="485" w:type="dxa"/>
            <w:tcBorders>
              <w:left w:val="single" w:sz="4" w:space="0" w:color="auto"/>
            </w:tcBorders>
            <w:shd w:val="clear" w:color="auto" w:fill="FFFFFF"/>
            <w:vAlign w:val="center"/>
          </w:tcPr>
          <w:p w14:paraId="6EAA8F3A" w14:textId="77777777" w:rsidR="00211257" w:rsidRDefault="00211257">
            <w:pPr>
              <w:pBdr>
                <w:top w:val="nil"/>
                <w:left w:val="nil"/>
                <w:bottom w:val="nil"/>
                <w:right w:val="nil"/>
                <w:between w:val="nil"/>
              </w:pBdr>
              <w:spacing w:after="60" w:line="240" w:lineRule="auto"/>
              <w:rPr>
                <w:color w:val="000000" w:themeColor="text1"/>
                <w:sz w:val="16"/>
                <w:szCs w:val="16"/>
              </w:rPr>
            </w:pPr>
          </w:p>
        </w:tc>
      </w:tr>
    </w:tbl>
    <w:p w14:paraId="2045A194" w14:textId="77777777" w:rsidR="00211257" w:rsidRDefault="00000000">
      <w:pPr>
        <w:ind w:left="0"/>
        <w:rPr>
          <w:highlight w:val="yellow"/>
        </w:rPr>
      </w:pPr>
      <w:r>
        <w:rPr>
          <w:rFonts w:eastAsia="Arial"/>
          <w:szCs w:val="18"/>
        </w:rPr>
        <w:t xml:space="preserve"> </w:t>
      </w:r>
    </w:p>
    <w:p w14:paraId="2A5467D5" w14:textId="77777777" w:rsidR="00211257" w:rsidRDefault="00211257">
      <w:pPr>
        <w:ind w:left="0"/>
        <w:rPr>
          <w:highlight w:val="yellow"/>
        </w:rPr>
      </w:pPr>
    </w:p>
    <w:p w14:paraId="032031A5" w14:textId="77777777" w:rsidR="00211257" w:rsidRDefault="00211257">
      <w:pPr>
        <w:ind w:left="0"/>
        <w:rPr>
          <w:highlight w:val="yellow"/>
        </w:rPr>
      </w:pPr>
    </w:p>
    <w:sectPr w:rsidR="00211257">
      <w:footerReference w:type="default" r:id="rId9"/>
      <w:headerReference w:type="first" r:id="rId10"/>
      <w:foot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518B0F" w14:textId="77777777" w:rsidR="00160BA4" w:rsidRDefault="00160BA4" w:rsidP="00125BB8">
      <w:r>
        <w:separator/>
      </w:r>
    </w:p>
  </w:endnote>
  <w:endnote w:type="continuationSeparator" w:id="0">
    <w:p w14:paraId="508DBBF9" w14:textId="77777777" w:rsidR="00160BA4" w:rsidRDefault="00160BA4" w:rsidP="00125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Italic">
    <w:altName w:val="Arial"/>
    <w:panose1 w:val="020B0604020202020204"/>
    <w:charset w:val="00"/>
    <w:family w:val="roman"/>
    <w:notTrueType/>
    <w:pitch w:val="default"/>
  </w:font>
  <w:font w:name="Salesforce Sans">
    <w:panose1 w:val="020B0505020202020203"/>
    <w:charset w:val="4D"/>
    <w:family w:val="swiss"/>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304389"/>
      <w:docPartObj>
        <w:docPartGallery w:val="Page Numbers (Top of Page)"/>
        <w:docPartUnique/>
      </w:docPartObj>
    </w:sdtPr>
    <w:sdtEndPr>
      <w:rPr>
        <w:b/>
        <w:sz w:val="16"/>
      </w:rPr>
    </w:sdtEndPr>
    <w:sdtContent>
      <w:p w14:paraId="3058DD9E" w14:textId="526D68B0" w:rsidR="00211257" w:rsidRDefault="004C5E56">
        <w:pPr>
          <w:pStyle w:val="Rodap"/>
          <w:tabs>
            <w:tab w:val="clear" w:pos="9360"/>
            <w:tab w:val="right" w:pos="9720"/>
          </w:tabs>
          <w:jc w:val="center"/>
          <w:rPr>
            <w:lang w:val="pt-BR"/>
          </w:rPr>
        </w:pPr>
        <w:r>
          <w:rPr>
            <w:b/>
            <w:sz w:val="16"/>
            <w:szCs w:val="18"/>
            <w:lang w:val="pt-BR"/>
          </w:rPr>
          <w:t>Página</w:t>
        </w:r>
        <w:r w:rsidR="00000000">
          <w:rPr>
            <w:b/>
            <w:sz w:val="16"/>
            <w:szCs w:val="18"/>
            <w:lang w:val="pt-BR"/>
          </w:rPr>
          <w:t xml:space="preserve"> </w:t>
        </w:r>
        <w:r w:rsidR="00000000">
          <w:rPr>
            <w:b/>
            <w:sz w:val="16"/>
            <w:szCs w:val="18"/>
          </w:rPr>
          <w:fldChar w:fldCharType="begin"/>
        </w:r>
        <w:r w:rsidR="00000000">
          <w:rPr>
            <w:b/>
            <w:sz w:val="16"/>
            <w:szCs w:val="18"/>
            <w:lang w:val="pt-BR"/>
          </w:rPr>
          <w:instrText xml:space="preserve"> PAGE </w:instrText>
        </w:r>
        <w:r w:rsidR="00000000">
          <w:rPr>
            <w:b/>
            <w:sz w:val="16"/>
            <w:szCs w:val="18"/>
          </w:rPr>
          <w:fldChar w:fldCharType="separate"/>
        </w:r>
        <w:r w:rsidR="00000000">
          <w:rPr>
            <w:b/>
            <w:noProof/>
            <w:sz w:val="16"/>
            <w:szCs w:val="18"/>
            <w:lang w:val="pt-BR"/>
          </w:rPr>
          <w:t>10</w:t>
        </w:r>
        <w:r w:rsidR="00000000">
          <w:rPr>
            <w:b/>
            <w:sz w:val="16"/>
            <w:szCs w:val="18"/>
          </w:rPr>
          <w:fldChar w:fldCharType="end"/>
        </w:r>
        <w:r w:rsidR="00000000">
          <w:rPr>
            <w:b/>
            <w:sz w:val="16"/>
            <w:szCs w:val="18"/>
            <w:lang w:val="pt-BR"/>
          </w:rPr>
          <w:t xml:space="preserve"> </w:t>
        </w:r>
        <w:r>
          <w:rPr>
            <w:b/>
            <w:sz w:val="16"/>
            <w:szCs w:val="18"/>
            <w:lang w:val="pt-BR"/>
          </w:rPr>
          <w:t>de</w:t>
        </w:r>
        <w:r w:rsidR="00000000">
          <w:rPr>
            <w:b/>
            <w:sz w:val="16"/>
            <w:szCs w:val="18"/>
            <w:lang w:val="pt-BR"/>
          </w:rPr>
          <w:t xml:space="preserve"> </w:t>
        </w:r>
        <w:r w:rsidR="00000000">
          <w:rPr>
            <w:b/>
            <w:sz w:val="16"/>
            <w:szCs w:val="18"/>
          </w:rPr>
          <w:fldChar w:fldCharType="begin"/>
        </w:r>
        <w:r w:rsidR="00000000">
          <w:rPr>
            <w:b/>
            <w:sz w:val="16"/>
            <w:szCs w:val="18"/>
            <w:lang w:val="pt-BR"/>
          </w:rPr>
          <w:instrText xml:space="preserve"> NUMPAGES  </w:instrText>
        </w:r>
        <w:r w:rsidR="00000000">
          <w:rPr>
            <w:b/>
            <w:sz w:val="16"/>
            <w:szCs w:val="18"/>
          </w:rPr>
          <w:fldChar w:fldCharType="separate"/>
        </w:r>
        <w:r w:rsidR="00000000">
          <w:rPr>
            <w:b/>
            <w:noProof/>
            <w:sz w:val="16"/>
            <w:szCs w:val="18"/>
            <w:lang w:val="pt-BR"/>
          </w:rPr>
          <w:t>10</w:t>
        </w:r>
        <w:r w:rsidR="00000000">
          <w:rPr>
            <w:b/>
            <w:sz w:val="16"/>
            <w:szCs w:val="18"/>
          </w:rPr>
          <w:fldChar w:fldCharType="end"/>
        </w:r>
      </w:p>
      <w:p w14:paraId="5C3ACAFB" w14:textId="484AB001" w:rsidR="00211257" w:rsidRDefault="00211257" w:rsidP="004C5E56">
        <w:pPr>
          <w:pStyle w:val="Rodap"/>
          <w:tabs>
            <w:tab w:val="clear" w:pos="9360"/>
            <w:tab w:val="right" w:pos="9720"/>
          </w:tabs>
          <w:jc w:val="center"/>
          <w:rPr>
            <w:b/>
            <w:color w:val="FF0000"/>
            <w:sz w:val="10"/>
            <w:szCs w:val="10"/>
            <w:lang w:val="pt-BR"/>
          </w:rPr>
        </w:pPr>
      </w:p>
      <w:p w14:paraId="5689F2E9" w14:textId="77777777" w:rsidR="00211257" w:rsidRDefault="00000000">
        <w:pPr>
          <w:pStyle w:val="Rodap"/>
          <w:tabs>
            <w:tab w:val="clear" w:pos="9360"/>
            <w:tab w:val="right" w:pos="10773"/>
          </w:tabs>
          <w:ind w:right="26"/>
          <w:jc w:val="both"/>
          <w:rPr>
            <w:b/>
            <w:sz w:val="16"/>
          </w:rPr>
        </w:pPr>
        <w:r>
          <w:rPr>
            <w:b/>
            <w:color w:val="000000"/>
            <w:sz w:val="10"/>
            <w:szCs w:val="10"/>
            <w:lang w:val="pt-BR"/>
          </w:rPr>
          <w:t>Aviso de confidencialidade. Este documento é uma informação proprietária e confidencial do SFDC. Nem este documento nem o seu conteúdo podem ser revelados ou divulgados a pessoas não autorizadas ou enviados para fora da referida instituição sem autorização prévia.</w:t>
        </w:r>
        <w:r>
          <w:rPr>
            <w:b/>
            <w:sz w:val="10"/>
            <w:szCs w:val="12"/>
            <w:lang w:val="pt-BR"/>
          </w:rPr>
          <w:tab/>
        </w:r>
        <w:r>
          <w:rPr>
            <w:b/>
            <w:sz w:val="10"/>
            <w:szCs w:val="12"/>
            <w:lang w:val="pt-BR"/>
          </w:rPr>
          <w:tab/>
        </w:r>
        <w:r>
          <w:rPr>
            <w:sz w:val="10"/>
            <w:szCs w:val="12"/>
          </w:rPr>
          <w:t>© Salesforce Inc., All rights reserved</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0"/>
      </w:rPr>
      <w:id w:val="-600337624"/>
      <w:docPartObj>
        <w:docPartGallery w:val="Page Numbers (Top of Page)"/>
        <w:docPartUnique/>
      </w:docPartObj>
    </w:sdtPr>
    <w:sdtEndPr>
      <w:rPr>
        <w:b/>
        <w:sz w:val="10"/>
      </w:rPr>
    </w:sdtEndPr>
    <w:sdtContent>
      <w:p w14:paraId="687090A6" w14:textId="779AFAAE" w:rsidR="00211257" w:rsidRDefault="00477C7B">
        <w:pPr>
          <w:pStyle w:val="Rodap"/>
          <w:tabs>
            <w:tab w:val="clear" w:pos="9360"/>
            <w:tab w:val="right" w:pos="9720"/>
          </w:tabs>
          <w:jc w:val="center"/>
          <w:rPr>
            <w:sz w:val="16"/>
            <w:szCs w:val="10"/>
            <w:lang w:val="pt-BR"/>
          </w:rPr>
        </w:pPr>
        <w:r>
          <w:rPr>
            <w:b/>
            <w:sz w:val="16"/>
            <w:szCs w:val="10"/>
            <w:lang w:val="pt-BR"/>
          </w:rPr>
          <w:t>Página</w:t>
        </w:r>
        <w:r w:rsidR="00000000">
          <w:rPr>
            <w:b/>
            <w:sz w:val="16"/>
            <w:szCs w:val="10"/>
            <w:lang w:val="pt-BR"/>
          </w:rPr>
          <w:t xml:space="preserve"> </w:t>
        </w:r>
        <w:r w:rsidR="00000000">
          <w:rPr>
            <w:b/>
            <w:sz w:val="16"/>
            <w:szCs w:val="10"/>
          </w:rPr>
          <w:fldChar w:fldCharType="begin"/>
        </w:r>
        <w:r w:rsidR="00000000">
          <w:rPr>
            <w:b/>
            <w:sz w:val="16"/>
            <w:szCs w:val="10"/>
            <w:lang w:val="pt-BR"/>
          </w:rPr>
          <w:instrText xml:space="preserve"> PAGE </w:instrText>
        </w:r>
        <w:r w:rsidR="00000000">
          <w:rPr>
            <w:b/>
            <w:sz w:val="16"/>
            <w:szCs w:val="10"/>
          </w:rPr>
          <w:fldChar w:fldCharType="separate"/>
        </w:r>
        <w:r w:rsidR="00000000">
          <w:rPr>
            <w:b/>
            <w:noProof/>
            <w:sz w:val="16"/>
            <w:szCs w:val="10"/>
            <w:lang w:val="pt-BR"/>
          </w:rPr>
          <w:t>1</w:t>
        </w:r>
        <w:r w:rsidR="00000000">
          <w:rPr>
            <w:b/>
            <w:sz w:val="16"/>
            <w:szCs w:val="10"/>
          </w:rPr>
          <w:fldChar w:fldCharType="end"/>
        </w:r>
        <w:r w:rsidR="00000000">
          <w:rPr>
            <w:b/>
            <w:sz w:val="16"/>
            <w:szCs w:val="10"/>
            <w:lang w:val="pt-BR"/>
          </w:rPr>
          <w:t xml:space="preserve"> </w:t>
        </w:r>
        <w:r>
          <w:rPr>
            <w:b/>
            <w:sz w:val="16"/>
            <w:szCs w:val="10"/>
            <w:lang w:val="pt-BR"/>
          </w:rPr>
          <w:t>de</w:t>
        </w:r>
        <w:r w:rsidR="00000000">
          <w:rPr>
            <w:b/>
            <w:sz w:val="16"/>
            <w:szCs w:val="10"/>
            <w:lang w:val="pt-BR"/>
          </w:rPr>
          <w:t xml:space="preserve"> </w:t>
        </w:r>
        <w:r w:rsidR="00000000">
          <w:rPr>
            <w:b/>
            <w:sz w:val="16"/>
            <w:szCs w:val="10"/>
          </w:rPr>
          <w:fldChar w:fldCharType="begin"/>
        </w:r>
        <w:r w:rsidR="00000000">
          <w:rPr>
            <w:b/>
            <w:sz w:val="16"/>
            <w:szCs w:val="10"/>
            <w:lang w:val="pt-BR"/>
          </w:rPr>
          <w:instrText xml:space="preserve"> NUMPAGES  </w:instrText>
        </w:r>
        <w:r w:rsidR="00000000">
          <w:rPr>
            <w:b/>
            <w:sz w:val="16"/>
            <w:szCs w:val="10"/>
          </w:rPr>
          <w:fldChar w:fldCharType="separate"/>
        </w:r>
        <w:r w:rsidR="00000000">
          <w:rPr>
            <w:b/>
            <w:noProof/>
            <w:sz w:val="16"/>
            <w:szCs w:val="10"/>
            <w:lang w:val="pt-BR"/>
          </w:rPr>
          <w:t>10</w:t>
        </w:r>
        <w:r w:rsidR="00000000">
          <w:rPr>
            <w:b/>
            <w:sz w:val="16"/>
            <w:szCs w:val="10"/>
          </w:rPr>
          <w:fldChar w:fldCharType="end"/>
        </w:r>
      </w:p>
      <w:p w14:paraId="416A15FC" w14:textId="77777777" w:rsidR="00211257" w:rsidRDefault="00211257">
        <w:pPr>
          <w:pStyle w:val="Rodap"/>
          <w:tabs>
            <w:tab w:val="clear" w:pos="9360"/>
            <w:tab w:val="right" w:pos="9720"/>
          </w:tabs>
          <w:rPr>
            <w:b/>
            <w:color w:val="FF0000"/>
            <w:sz w:val="10"/>
            <w:szCs w:val="10"/>
            <w:lang w:val="pt-BR"/>
          </w:rPr>
        </w:pPr>
      </w:p>
      <w:p w14:paraId="1DDA2AAF" w14:textId="77777777" w:rsidR="00211257" w:rsidRDefault="00000000">
        <w:pPr>
          <w:pStyle w:val="Rodap"/>
          <w:tabs>
            <w:tab w:val="clear" w:pos="9360"/>
            <w:tab w:val="right" w:pos="10773"/>
          </w:tabs>
          <w:ind w:right="26"/>
          <w:jc w:val="both"/>
          <w:rPr>
            <w:b/>
            <w:sz w:val="10"/>
            <w:szCs w:val="10"/>
          </w:rPr>
        </w:pPr>
        <w:r>
          <w:rPr>
            <w:b/>
            <w:color w:val="000000"/>
            <w:sz w:val="10"/>
            <w:szCs w:val="10"/>
            <w:lang w:val="pt-BR"/>
          </w:rPr>
          <w:t xml:space="preserve">Aviso de confidencialidade. Este documento é uma informação proprietária e confidencial do SFDC. Nem este documento nem o seu conteúdo podem ser revelados ou divulgados a pessoas não autorizadas ou enviados para fora da referida instituição sem autorização </w:t>
        </w:r>
        <w:proofErr w:type="gramStart"/>
        <w:r>
          <w:rPr>
            <w:b/>
            <w:color w:val="000000"/>
            <w:sz w:val="10"/>
            <w:szCs w:val="10"/>
            <w:lang w:val="pt-BR"/>
          </w:rPr>
          <w:t>prévia.</w:t>
        </w:r>
        <w:r>
          <w:rPr>
            <w:sz w:val="10"/>
            <w:szCs w:val="10"/>
            <w:lang w:val="pt-BR"/>
          </w:rPr>
          <w:t>.</w:t>
        </w:r>
        <w:proofErr w:type="gramEnd"/>
        <w:r>
          <w:rPr>
            <w:b/>
            <w:sz w:val="10"/>
            <w:szCs w:val="10"/>
            <w:lang w:val="pt-BR"/>
          </w:rPr>
          <w:t xml:space="preserve"> </w:t>
        </w:r>
        <w:r>
          <w:rPr>
            <w:b/>
            <w:sz w:val="10"/>
            <w:szCs w:val="10"/>
            <w:lang w:val="pt-BR"/>
          </w:rPr>
          <w:tab/>
        </w:r>
        <w:r>
          <w:rPr>
            <w:b/>
            <w:sz w:val="10"/>
            <w:szCs w:val="10"/>
            <w:lang w:val="pt-BR"/>
          </w:rPr>
          <w:tab/>
        </w:r>
        <w:r>
          <w:rPr>
            <w:sz w:val="10"/>
            <w:szCs w:val="10"/>
          </w:rPr>
          <w:t>© Salesforce Inc., All rights reserved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977B2B" w14:textId="77777777" w:rsidR="00160BA4" w:rsidRDefault="00160BA4" w:rsidP="00125BB8">
      <w:r>
        <w:separator/>
      </w:r>
    </w:p>
  </w:footnote>
  <w:footnote w:type="continuationSeparator" w:id="0">
    <w:p w14:paraId="0F9F6B6E" w14:textId="77777777" w:rsidR="00160BA4" w:rsidRDefault="00160BA4" w:rsidP="00125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CB9BE" w14:textId="77777777" w:rsidR="00211257" w:rsidRDefault="00000000">
    <w:pPr>
      <w:spacing w:after="0" w:line="240" w:lineRule="auto"/>
      <w:ind w:left="0"/>
      <w:jc w:val="center"/>
      <w:rPr>
        <w:b/>
        <w:sz w:val="28"/>
        <w:szCs w:val="28"/>
        <w:lang w:val="pt-BR"/>
      </w:rPr>
    </w:pPr>
    <w:r>
      <w:rPr>
        <w:noProof/>
        <w:sz w:val="28"/>
        <w:szCs w:val="28"/>
      </w:rPr>
      <w:drawing>
        <wp:anchor distT="0" distB="0" distL="114300" distR="114300" simplePos="0" relativeHeight="251661312" behindDoc="0" locked="0" layoutInCell="1" hidden="0" allowOverlap="1" wp14:anchorId="6624CA97" wp14:editId="1DD8AC4A">
          <wp:simplePos x="0" y="0"/>
          <wp:positionH relativeFrom="margin">
            <wp:align>right</wp:align>
          </wp:positionH>
          <wp:positionV relativeFrom="paragraph">
            <wp:posOffset>1905</wp:posOffset>
          </wp:positionV>
          <wp:extent cx="1649730" cy="350567"/>
          <wp:effectExtent l="0" t="0" r="7620" b="0"/>
          <wp:wrapNone/>
          <wp:docPr id="8" name="image2.png" descr="https://lh5.googleusercontent.com/4RvkrcjYhbVxf8g60qnFFZe9OPAN-S4FeGroP4DG8jPvnuTEQAm_WEmS4sWjFuR6nCpeH7vWBqG6B4DYVKfg9eBX6dnHz6efwNr_ZYaqWmORasJu3iKVG2s3RARQLQHB1Xvg0PnE6_I"/>
          <wp:cNvGraphicFramePr/>
          <a:graphic xmlns:a="http://schemas.openxmlformats.org/drawingml/2006/main">
            <a:graphicData uri="http://schemas.openxmlformats.org/drawingml/2006/picture">
              <pic:pic xmlns:pic="http://schemas.openxmlformats.org/drawingml/2006/picture">
                <pic:nvPicPr>
                  <pic:cNvPr id="0" name="image2.png" descr="https://lh5.googleusercontent.com/4RvkrcjYhbVxf8g60qnFFZe9OPAN-S4FeGroP4DG8jPvnuTEQAm_WEmS4sWjFuR6nCpeH7vWBqG6B4DYVKfg9eBX6dnHz6efwNr_ZYaqWmORasJu3iKVG2s3RARQLQHB1Xvg0PnE6_I"/>
                  <pic:cNvPicPr preferRelativeResize="0"/>
                </pic:nvPicPr>
                <pic:blipFill>
                  <a:blip r:embed="rId1"/>
                  <a:srcRect/>
                  <a:stretch>
                    <a:fillRect/>
                  </a:stretch>
                </pic:blipFill>
                <pic:spPr>
                  <a:xfrm>
                    <a:off x="0" y="0"/>
                    <a:ext cx="1649730" cy="350567"/>
                  </a:xfrm>
                  <a:prstGeom prst="rect">
                    <a:avLst/>
                  </a:prstGeom>
                  <a:ln/>
                </pic:spPr>
              </pic:pic>
            </a:graphicData>
          </a:graphic>
        </wp:anchor>
      </w:drawing>
    </w:r>
    <w:r>
      <w:rPr>
        <w:b/>
        <w:sz w:val="28"/>
        <w:szCs w:val="28"/>
        <w:lang w:val="pt-BR"/>
      </w:rPr>
      <w:t>Serviços de Implementação</w:t>
    </w:r>
  </w:p>
  <w:p w14:paraId="4AFE9BB8" w14:textId="77777777" w:rsidR="00211257" w:rsidRDefault="00000000">
    <w:pPr>
      <w:spacing w:line="240" w:lineRule="auto"/>
      <w:ind w:left="0"/>
      <w:jc w:val="center"/>
      <w:rPr>
        <w:rStyle w:val="LegalTerm"/>
        <w:sz w:val="28"/>
        <w:szCs w:val="28"/>
        <w:lang w:val="pt-BR"/>
      </w:rPr>
    </w:pPr>
    <w:r>
      <w:rPr>
        <w:b/>
        <w:sz w:val="28"/>
        <w:szCs w:val="28"/>
        <w:lang w:val="pt-BR"/>
      </w:rPr>
      <w:t>SOW</w:t>
    </w:r>
  </w:p>
  <w:p w14:paraId="24A8B8B0" w14:textId="77777777" w:rsidR="00211257" w:rsidRDefault="00211257">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E0A1C"/>
    <w:multiLevelType w:val="hybridMultilevel"/>
    <w:tmpl w:val="F7620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85B07"/>
    <w:multiLevelType w:val="hybridMultilevel"/>
    <w:tmpl w:val="46FA34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74784C"/>
    <w:multiLevelType w:val="hybridMultilevel"/>
    <w:tmpl w:val="7784A0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4A16CB"/>
    <w:multiLevelType w:val="hybridMultilevel"/>
    <w:tmpl w:val="573060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6BE2AA8"/>
    <w:multiLevelType w:val="hybridMultilevel"/>
    <w:tmpl w:val="740A316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95C1511"/>
    <w:multiLevelType w:val="multilevel"/>
    <w:tmpl w:val="0C662964"/>
    <w:lvl w:ilvl="0">
      <w:start w:val="1"/>
      <w:numFmt w:val="bullet"/>
      <w:lvlText w:val="●"/>
      <w:lvlJc w:val="left"/>
      <w:pPr>
        <w:ind w:left="3240" w:hanging="360"/>
      </w:pPr>
      <w:rPr>
        <w:rFonts w:ascii="Arial" w:eastAsia="Noto Sans Symbols" w:hAnsi="Arial" w:cs="Arial" w:hint="default"/>
        <w:sz w:val="16"/>
        <w:szCs w:val="16"/>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6" w15:restartNumberingAfterBreak="0">
    <w:nsid w:val="21D77563"/>
    <w:multiLevelType w:val="hybridMultilevel"/>
    <w:tmpl w:val="D24A1A3A"/>
    <w:lvl w:ilvl="0" w:tplc="E294F6B4">
      <w:start w:val="1"/>
      <w:numFmt w:val="bullet"/>
      <w:lvlText w:val=""/>
      <w:lvlJc w:val="left"/>
      <w:pPr>
        <w:ind w:left="450" w:hanging="360"/>
      </w:pPr>
      <w:rPr>
        <w:rFonts w:ascii="Symbol" w:hAnsi="Symbol" w:hint="default"/>
      </w:rPr>
    </w:lvl>
    <w:lvl w:ilvl="1" w:tplc="540E1FC0">
      <w:start w:val="1"/>
      <w:numFmt w:val="bullet"/>
      <w:lvlText w:val="o"/>
      <w:lvlJc w:val="left"/>
      <w:pPr>
        <w:ind w:left="1440" w:hanging="360"/>
      </w:pPr>
      <w:rPr>
        <w:rFonts w:ascii="Courier New" w:hAnsi="Courier New" w:cs="Courier New" w:hint="default"/>
      </w:rPr>
    </w:lvl>
    <w:lvl w:ilvl="2" w:tplc="E4540860">
      <w:start w:val="1"/>
      <w:numFmt w:val="bullet"/>
      <w:lvlText w:val=""/>
      <w:lvlJc w:val="left"/>
      <w:pPr>
        <w:ind w:left="2160" w:hanging="360"/>
      </w:pPr>
      <w:rPr>
        <w:rFonts w:ascii="Wingdings" w:hAnsi="Wingdings" w:hint="default"/>
      </w:rPr>
    </w:lvl>
    <w:lvl w:ilvl="3" w:tplc="CF8CA8B6">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AC5FCA"/>
    <w:multiLevelType w:val="multilevel"/>
    <w:tmpl w:val="7DDE12A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882" w:hanging="432"/>
      </w:pPr>
      <w:rPr>
        <w:rFonts w:hint="default"/>
        <w:b/>
        <w:bCs/>
      </w:rPr>
    </w:lvl>
    <w:lvl w:ilvl="2">
      <w:start w:val="1"/>
      <w:numFmt w:val="decimal"/>
      <w:pStyle w:val="Ttulo3"/>
      <w:lvlText w:val="%1.%2.%3."/>
      <w:lvlJc w:val="left"/>
      <w:pPr>
        <w:ind w:left="1314" w:hanging="504"/>
      </w:pPr>
      <w:rPr>
        <w:rFonts w:hint="default"/>
        <w:b/>
        <w:bCs/>
        <w:i w:val="0"/>
        <w:iCs/>
      </w:rPr>
    </w:lvl>
    <w:lvl w:ilvl="3">
      <w:start w:val="1"/>
      <w:numFmt w:val="decimal"/>
      <w:pStyle w:val="Ttulo4"/>
      <w:lvlText w:val="%1.%2.%3.%4."/>
      <w:lvlJc w:val="left"/>
      <w:pPr>
        <w:ind w:left="1656" w:hanging="576"/>
      </w:pPr>
    </w:lvl>
    <w:lvl w:ilvl="4">
      <w:start w:val="1"/>
      <w:numFmt w:val="decimal"/>
      <w:pStyle w:val="Ttulo5"/>
      <w:lvlText w:val="%1.%2.%3.%4.%5."/>
      <w:lvlJc w:val="left"/>
      <w:pPr>
        <w:ind w:left="2232" w:hanging="792"/>
      </w:pPr>
      <w:rPr>
        <w:rFonts w:hint="default"/>
        <w:b/>
        <w:bCs/>
      </w:rPr>
    </w:lvl>
    <w:lvl w:ilvl="5">
      <w:start w:val="1"/>
      <w:numFmt w:val="decimal"/>
      <w:pStyle w:val="Ttulo6"/>
      <w:lvlText w:val="%1.%2.%3.%4.%5.%6."/>
      <w:lvlJc w:val="left"/>
      <w:pPr>
        <w:ind w:left="2736" w:hanging="936"/>
      </w:pPr>
      <w:rPr>
        <w:rFonts w:hint="default"/>
      </w:rPr>
    </w:lvl>
    <w:lvl w:ilvl="6">
      <w:start w:val="1"/>
      <w:numFmt w:val="decimal"/>
      <w:pStyle w:val="Ttulo7"/>
      <w:lvlText w:val="%1.%2.%3.%4.%5.%6.%7."/>
      <w:lvlJc w:val="left"/>
      <w:pPr>
        <w:ind w:left="3240" w:hanging="1080"/>
      </w:pPr>
      <w:rPr>
        <w:rFonts w:hint="default"/>
      </w:rPr>
    </w:lvl>
    <w:lvl w:ilvl="7">
      <w:start w:val="1"/>
      <w:numFmt w:val="decimal"/>
      <w:pStyle w:val="Ttulo8"/>
      <w:lvlText w:val="%1.%2.%3.%4.%5.%6.%7.%8."/>
      <w:lvlJc w:val="left"/>
      <w:pPr>
        <w:ind w:left="3744" w:hanging="1224"/>
      </w:pPr>
      <w:rPr>
        <w:rFonts w:hint="default"/>
      </w:rPr>
    </w:lvl>
    <w:lvl w:ilvl="8">
      <w:start w:val="1"/>
      <w:numFmt w:val="decimal"/>
      <w:pStyle w:val="Ttulo9"/>
      <w:lvlText w:val="%1.%2.%3.%4.%5.%6.%7.%8.%9."/>
      <w:lvlJc w:val="left"/>
      <w:pPr>
        <w:ind w:left="4320" w:hanging="1440"/>
      </w:pPr>
      <w:rPr>
        <w:rFonts w:hint="default"/>
      </w:rPr>
    </w:lvl>
  </w:abstractNum>
  <w:abstractNum w:abstractNumId="8" w15:restartNumberingAfterBreak="0">
    <w:nsid w:val="3950786E"/>
    <w:multiLevelType w:val="multilevel"/>
    <w:tmpl w:val="01EE57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C4269E"/>
    <w:multiLevelType w:val="multilevel"/>
    <w:tmpl w:val="1E8AFD86"/>
    <w:styleLink w:val="CurrentList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FAE2607"/>
    <w:multiLevelType w:val="multilevel"/>
    <w:tmpl w:val="7E227D6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Arial" w:eastAsia="Courier New" w:hAnsi="Arial" w:cs="Arial" w:hint="default"/>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Symbol" w:hAnsi="Symbol" w:hint="default"/>
      </w:rPr>
    </w:lvl>
    <w:lvl w:ilvl="5">
      <w:start w:val="1"/>
      <w:numFmt w:val="bullet"/>
      <w:lvlText w:val="●"/>
      <w:lvlJc w:val="left"/>
      <w:pPr>
        <w:ind w:left="5040" w:hanging="360"/>
      </w:pPr>
      <w:rPr>
        <w:rFonts w:ascii="Arial" w:eastAsia="Noto Sans Symbols" w:hAnsi="Arial" w:cs="Arial" w:hint="default"/>
        <w:sz w:val="14"/>
        <w:szCs w:val="14"/>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044401A"/>
    <w:multiLevelType w:val="multilevel"/>
    <w:tmpl w:val="37FC3370"/>
    <w:lvl w:ilvl="0">
      <w:start w:val="1"/>
      <w:numFmt w:val="bullet"/>
      <w:pStyle w:val="Bullets2"/>
      <w:lvlText w:val="●"/>
      <w:lvlJc w:val="left"/>
      <w:pPr>
        <w:ind w:left="720" w:hanging="360"/>
      </w:pPr>
      <w:rPr>
        <w:u w:val="none"/>
      </w:rPr>
    </w:lvl>
    <w:lvl w:ilvl="1">
      <w:start w:val="1"/>
      <w:numFmt w:val="bullet"/>
      <w:pStyle w:val="Bullets2-Sub"/>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B23344"/>
    <w:multiLevelType w:val="multilevel"/>
    <w:tmpl w:val="A35216B0"/>
    <w:lvl w:ilvl="0">
      <w:start w:val="1"/>
      <w:numFmt w:val="bullet"/>
      <w:lvlText w:val="●"/>
      <w:lvlJc w:val="left"/>
      <w:pPr>
        <w:ind w:left="288" w:hanging="14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pStyle w:val="SOW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022B58"/>
    <w:multiLevelType w:val="hybridMultilevel"/>
    <w:tmpl w:val="EE328B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5E11DF2"/>
    <w:multiLevelType w:val="hybridMultilevel"/>
    <w:tmpl w:val="11900BF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4AED23B0"/>
    <w:multiLevelType w:val="multilevel"/>
    <w:tmpl w:val="356E2F68"/>
    <w:lvl w:ilvl="0">
      <w:start w:val="1"/>
      <w:numFmt w:val="bullet"/>
      <w:lvlText w:val="●"/>
      <w:lvlJc w:val="left"/>
      <w:pPr>
        <w:ind w:left="2520" w:hanging="360"/>
      </w:pPr>
      <w:rPr>
        <w:rFonts w:ascii="Arial" w:eastAsia="Noto Sans Symbols" w:hAnsi="Arial" w:cs="Arial" w:hint="default"/>
      </w:rPr>
    </w:lvl>
    <w:lvl w:ilvl="1">
      <w:start w:val="1"/>
      <w:numFmt w:val="bullet"/>
      <w:lvlText w:val="●"/>
      <w:lvlJc w:val="left"/>
      <w:pPr>
        <w:ind w:left="3240" w:hanging="360"/>
      </w:pPr>
      <w:rPr>
        <w:rFonts w:ascii="Arial" w:eastAsia="Noto Sans Symbols" w:hAnsi="Arial" w:cs="Arial" w:hint="default"/>
        <w:sz w:val="16"/>
        <w:szCs w:val="16"/>
      </w:rPr>
    </w:lvl>
    <w:lvl w:ilvl="2">
      <w:start w:val="1"/>
      <w:numFmt w:val="bullet"/>
      <w:lvlText w:val=""/>
      <w:lvlJc w:val="left"/>
      <w:pPr>
        <w:ind w:left="3960" w:hanging="360"/>
      </w:pPr>
      <w:rPr>
        <w:rFonts w:ascii="Symbol" w:hAnsi="Symbol" w:hint="default"/>
        <w:sz w:val="14"/>
        <w:szCs w:val="14"/>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6" w15:restartNumberingAfterBreak="0">
    <w:nsid w:val="5328764F"/>
    <w:multiLevelType w:val="hybridMultilevel"/>
    <w:tmpl w:val="A46E8D52"/>
    <w:lvl w:ilvl="0" w:tplc="1482252A">
      <w:start w:val="1"/>
      <w:numFmt w:val="bullet"/>
      <w:lvlText w:val="o"/>
      <w:lvlJc w:val="left"/>
      <w:pPr>
        <w:ind w:left="3960" w:hanging="360"/>
      </w:pPr>
      <w:rPr>
        <w:rFonts w:ascii="Arial"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 w15:restartNumberingAfterBreak="0">
    <w:nsid w:val="56A66A27"/>
    <w:multiLevelType w:val="multilevel"/>
    <w:tmpl w:val="104C9834"/>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2346B1"/>
    <w:multiLevelType w:val="hybridMultilevel"/>
    <w:tmpl w:val="421212EC"/>
    <w:lvl w:ilvl="0" w:tplc="47B42262">
      <w:start w:val="1"/>
      <w:numFmt w:val="decimal"/>
      <w:lvlText w:val="%1."/>
      <w:lvlJc w:val="left"/>
      <w:pPr>
        <w:ind w:left="0" w:firstLine="0"/>
      </w:pPr>
      <w:rPr>
        <w:rFonts w:hint="default"/>
        <w:color w:val="000000" w:themeColor="text1"/>
        <w:sz w:val="20"/>
        <w:szCs w:val="20"/>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9" w15:restartNumberingAfterBreak="0">
    <w:nsid w:val="67E500F7"/>
    <w:multiLevelType w:val="multilevel"/>
    <w:tmpl w:val="03B6B310"/>
    <w:lvl w:ilvl="0">
      <w:start w:val="1"/>
      <w:numFmt w:val="bullet"/>
      <w:lvlText w:val="●"/>
      <w:lvlJc w:val="left"/>
      <w:pPr>
        <w:ind w:left="3240" w:hanging="360"/>
      </w:pPr>
      <w:rPr>
        <w:rFonts w:ascii="Arial" w:eastAsia="Noto Sans Symbols" w:hAnsi="Arial" w:cs="Arial" w:hint="default"/>
        <w:sz w:val="16"/>
        <w:szCs w:val="16"/>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20" w15:restartNumberingAfterBreak="0">
    <w:nsid w:val="69D42A5C"/>
    <w:multiLevelType w:val="multilevel"/>
    <w:tmpl w:val="301AE2DC"/>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44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A1D1C55"/>
    <w:multiLevelType w:val="hybridMultilevel"/>
    <w:tmpl w:val="9FAAE4C4"/>
    <w:lvl w:ilvl="0" w:tplc="04090001">
      <w:start w:val="1"/>
      <w:numFmt w:val="bullet"/>
      <w:lvlText w:val=""/>
      <w:lvlJc w:val="left"/>
      <w:pPr>
        <w:ind w:left="3420" w:hanging="360"/>
      </w:pPr>
      <w:rPr>
        <w:rFonts w:ascii="Symbol" w:hAnsi="Symbol" w:hint="default"/>
        <w:sz w:val="18"/>
        <w:szCs w:val="18"/>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2" w15:restartNumberingAfterBreak="0">
    <w:nsid w:val="6E394120"/>
    <w:multiLevelType w:val="multilevel"/>
    <w:tmpl w:val="32C04CAE"/>
    <w:styleLink w:val="CurrentList2"/>
    <w:lvl w:ilvl="0">
      <w:start w:val="1"/>
      <w:numFmt w:val="decimal"/>
      <w:lvlText w:val="%1."/>
      <w:lvlJc w:val="center"/>
      <w:pPr>
        <w:ind w:left="0" w:firstLine="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70734B5C"/>
    <w:multiLevelType w:val="multilevel"/>
    <w:tmpl w:val="1F543FD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pStyle w:val="B1"/>
      <w:lvlText w:val=""/>
      <w:lvlJc w:val="left"/>
      <w:pPr>
        <w:ind w:left="1224" w:hanging="504"/>
      </w:pPr>
      <w:rPr>
        <w:rFonts w:ascii="Symbol" w:hAnsi="Symbol" w:hint="default"/>
      </w:rPr>
    </w:lvl>
    <w:lvl w:ilvl="3">
      <w:start w:val="1"/>
      <w:numFmt w:val="bullet"/>
      <w:pStyle w:val="B2"/>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3AA000C"/>
    <w:multiLevelType w:val="multilevel"/>
    <w:tmpl w:val="2E8029D4"/>
    <w:lvl w:ilvl="0">
      <w:start w:val="1"/>
      <w:numFmt w:val="bullet"/>
      <w:lvlText w:val="●"/>
      <w:lvlJc w:val="left"/>
      <w:pPr>
        <w:ind w:left="2520" w:hanging="360"/>
      </w:pPr>
      <w:rPr>
        <w:rFonts w:ascii="Arial" w:eastAsia="Noto Sans Symbols" w:hAnsi="Arial" w:cs="Arial" w:hint="default"/>
      </w:rPr>
    </w:lvl>
    <w:lvl w:ilvl="1">
      <w:start w:val="1"/>
      <w:numFmt w:val="bullet"/>
      <w:lvlText w:val="●"/>
      <w:lvlJc w:val="left"/>
      <w:pPr>
        <w:ind w:left="3240" w:hanging="360"/>
      </w:pPr>
      <w:rPr>
        <w:rFonts w:ascii="Arial" w:eastAsia="Noto Sans Symbols" w:hAnsi="Arial" w:cs="Arial" w:hint="default"/>
        <w:sz w:val="16"/>
        <w:szCs w:val="16"/>
      </w:rPr>
    </w:lvl>
    <w:lvl w:ilvl="2">
      <w:start w:val="1"/>
      <w:numFmt w:val="bullet"/>
      <w:pStyle w:val="Bullet3"/>
      <w:lvlText w:val="▪"/>
      <w:lvlJc w:val="left"/>
      <w:pPr>
        <w:ind w:left="3960" w:hanging="360"/>
      </w:pPr>
      <w:rPr>
        <w:rFonts w:ascii="Noto Sans Symbols" w:eastAsia="Noto Sans Symbols" w:hAnsi="Noto Sans Symbols" w:cs="Noto Sans Symbols"/>
      </w:rPr>
    </w:lvl>
    <w:lvl w:ilvl="3">
      <w:start w:val="1"/>
      <w:numFmt w:val="bullet"/>
      <w:pStyle w:val="Bullet4"/>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5" w15:restartNumberingAfterBreak="0">
    <w:nsid w:val="76393147"/>
    <w:multiLevelType w:val="hybridMultilevel"/>
    <w:tmpl w:val="16A07C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DAE409E"/>
    <w:multiLevelType w:val="multilevel"/>
    <w:tmpl w:val="D5603F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44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4F52BC"/>
    <w:multiLevelType w:val="hybridMultilevel"/>
    <w:tmpl w:val="647AF23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44964486">
    <w:abstractNumId w:val="7"/>
  </w:num>
  <w:num w:numId="2" w16cid:durableId="1822035452">
    <w:abstractNumId w:val="8"/>
  </w:num>
  <w:num w:numId="3" w16cid:durableId="983194441">
    <w:abstractNumId w:val="23"/>
  </w:num>
  <w:num w:numId="4" w16cid:durableId="1162504377">
    <w:abstractNumId w:val="7"/>
  </w:num>
  <w:num w:numId="5" w16cid:durableId="1160577735">
    <w:abstractNumId w:val="9"/>
  </w:num>
  <w:num w:numId="6" w16cid:durableId="1000308326">
    <w:abstractNumId w:val="22"/>
  </w:num>
  <w:num w:numId="7" w16cid:durableId="862203636">
    <w:abstractNumId w:val="17"/>
  </w:num>
  <w:num w:numId="8" w16cid:durableId="1143891595">
    <w:abstractNumId w:val="20"/>
  </w:num>
  <w:num w:numId="9" w16cid:durableId="1574702499">
    <w:abstractNumId w:val="18"/>
  </w:num>
  <w:num w:numId="10" w16cid:durableId="1017000431">
    <w:abstractNumId w:val="27"/>
  </w:num>
  <w:num w:numId="11" w16cid:durableId="1269703945">
    <w:abstractNumId w:val="13"/>
  </w:num>
  <w:num w:numId="12" w16cid:durableId="380639940">
    <w:abstractNumId w:val="2"/>
  </w:num>
  <w:num w:numId="13" w16cid:durableId="208880985">
    <w:abstractNumId w:val="0"/>
  </w:num>
  <w:num w:numId="14" w16cid:durableId="1937522073">
    <w:abstractNumId w:val="6"/>
  </w:num>
  <w:num w:numId="15" w16cid:durableId="997881599">
    <w:abstractNumId w:val="26"/>
  </w:num>
  <w:num w:numId="16" w16cid:durableId="1911425131">
    <w:abstractNumId w:val="4"/>
  </w:num>
  <w:num w:numId="17" w16cid:durableId="2118527408">
    <w:abstractNumId w:val="1"/>
  </w:num>
  <w:num w:numId="18" w16cid:durableId="1886403597">
    <w:abstractNumId w:val="25"/>
  </w:num>
  <w:num w:numId="19" w16cid:durableId="76024634">
    <w:abstractNumId w:val="11"/>
  </w:num>
  <w:num w:numId="20" w16cid:durableId="699550202">
    <w:abstractNumId w:val="12"/>
  </w:num>
  <w:num w:numId="21" w16cid:durableId="609514783">
    <w:abstractNumId w:val="21"/>
  </w:num>
  <w:num w:numId="22" w16cid:durableId="55277851">
    <w:abstractNumId w:val="16"/>
  </w:num>
  <w:num w:numId="23" w16cid:durableId="1016738272">
    <w:abstractNumId w:val="10"/>
  </w:num>
  <w:num w:numId="24" w16cid:durableId="1233932483">
    <w:abstractNumId w:val="3"/>
  </w:num>
  <w:num w:numId="25" w16cid:durableId="1284652291">
    <w:abstractNumId w:val="24"/>
  </w:num>
  <w:num w:numId="26" w16cid:durableId="939336370">
    <w:abstractNumId w:val="15"/>
  </w:num>
  <w:num w:numId="27" w16cid:durableId="728724071">
    <w:abstractNumId w:val="5"/>
  </w:num>
  <w:num w:numId="28" w16cid:durableId="942036684">
    <w:abstractNumId w:val="19"/>
  </w:num>
  <w:num w:numId="29" w16cid:durableId="1254626827">
    <w:abstractNumId w:val="14"/>
  </w:num>
  <w:numIdMacAtCleanup w:val="2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hideSpelling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d9cdeca529fec34d31d599cefaceaea4|e3a12e410b22c76fae4fe99d73f13b4a407c5e8f130688c7e4450feba7149c6de4e7ba57a2281e24997f68fcc7268545f4333b78eb1ceda72a731cd1b91f58138f28afc9a98be0393e3caff1b6e055deddbad3f5babfb1ba51404d45a2a91cea7f22e677f371431898ad37cd787eb5b0b9b48441f1531f5bf9938fc7d4c07ec0a0393759e7c340c517c8f3f903072602d12eed9551f4d61bdfb3d60831e6d749"/>
  </w:docVars>
  <w:rsids>
    <w:rsidRoot w:val="00F061FF"/>
    <w:rsid w:val="00000157"/>
    <w:rsid w:val="00002243"/>
    <w:rsid w:val="00020210"/>
    <w:rsid w:val="00021F36"/>
    <w:rsid w:val="00025E13"/>
    <w:rsid w:val="0002675B"/>
    <w:rsid w:val="000276E3"/>
    <w:rsid w:val="000400EA"/>
    <w:rsid w:val="00053019"/>
    <w:rsid w:val="000531E4"/>
    <w:rsid w:val="00063CB5"/>
    <w:rsid w:val="00067D24"/>
    <w:rsid w:val="0007106E"/>
    <w:rsid w:val="0007368C"/>
    <w:rsid w:val="0007760A"/>
    <w:rsid w:val="000805BE"/>
    <w:rsid w:val="00085274"/>
    <w:rsid w:val="00087772"/>
    <w:rsid w:val="00093C50"/>
    <w:rsid w:val="00094603"/>
    <w:rsid w:val="000A1191"/>
    <w:rsid w:val="000A2D89"/>
    <w:rsid w:val="000A54A3"/>
    <w:rsid w:val="000A6E54"/>
    <w:rsid w:val="000C297E"/>
    <w:rsid w:val="000C3A9D"/>
    <w:rsid w:val="000D0B67"/>
    <w:rsid w:val="000E6B01"/>
    <w:rsid w:val="000E7F33"/>
    <w:rsid w:val="000F021E"/>
    <w:rsid w:val="000F36C7"/>
    <w:rsid w:val="000F418A"/>
    <w:rsid w:val="00101A87"/>
    <w:rsid w:val="00124F3C"/>
    <w:rsid w:val="00125BB8"/>
    <w:rsid w:val="00130724"/>
    <w:rsid w:val="00133E15"/>
    <w:rsid w:val="00147214"/>
    <w:rsid w:val="00152A2E"/>
    <w:rsid w:val="00160BA4"/>
    <w:rsid w:val="00161621"/>
    <w:rsid w:val="00161D87"/>
    <w:rsid w:val="00164B1D"/>
    <w:rsid w:val="0017125E"/>
    <w:rsid w:val="00175C1B"/>
    <w:rsid w:val="001824D1"/>
    <w:rsid w:val="0019147B"/>
    <w:rsid w:val="00191F47"/>
    <w:rsid w:val="001946F9"/>
    <w:rsid w:val="001B6481"/>
    <w:rsid w:val="001C2DE4"/>
    <w:rsid w:val="001D1CC4"/>
    <w:rsid w:val="001D49DB"/>
    <w:rsid w:val="001D6E5B"/>
    <w:rsid w:val="001F0A33"/>
    <w:rsid w:val="001F3C51"/>
    <w:rsid w:val="00205E25"/>
    <w:rsid w:val="00211257"/>
    <w:rsid w:val="00211A34"/>
    <w:rsid w:val="00232D7F"/>
    <w:rsid w:val="0023664F"/>
    <w:rsid w:val="00242AA9"/>
    <w:rsid w:val="00244EC0"/>
    <w:rsid w:val="002451A6"/>
    <w:rsid w:val="00250A8C"/>
    <w:rsid w:val="002572D7"/>
    <w:rsid w:val="00260D36"/>
    <w:rsid w:val="002679C9"/>
    <w:rsid w:val="002A3DF9"/>
    <w:rsid w:val="002B2190"/>
    <w:rsid w:val="002B6949"/>
    <w:rsid w:val="002C4614"/>
    <w:rsid w:val="002C5EDB"/>
    <w:rsid w:val="002F5663"/>
    <w:rsid w:val="002F5B82"/>
    <w:rsid w:val="00300032"/>
    <w:rsid w:val="0030184A"/>
    <w:rsid w:val="00305768"/>
    <w:rsid w:val="003234D6"/>
    <w:rsid w:val="00324492"/>
    <w:rsid w:val="00327AFF"/>
    <w:rsid w:val="003359A0"/>
    <w:rsid w:val="00346AE3"/>
    <w:rsid w:val="00351BBC"/>
    <w:rsid w:val="0035674C"/>
    <w:rsid w:val="00361680"/>
    <w:rsid w:val="00366AD8"/>
    <w:rsid w:val="00370614"/>
    <w:rsid w:val="00371573"/>
    <w:rsid w:val="003736A0"/>
    <w:rsid w:val="00373A2E"/>
    <w:rsid w:val="00374CFD"/>
    <w:rsid w:val="00376799"/>
    <w:rsid w:val="00391A67"/>
    <w:rsid w:val="00395668"/>
    <w:rsid w:val="003A1E59"/>
    <w:rsid w:val="003A6661"/>
    <w:rsid w:val="003B42F3"/>
    <w:rsid w:val="003B7183"/>
    <w:rsid w:val="003D6FAC"/>
    <w:rsid w:val="00401409"/>
    <w:rsid w:val="004514AF"/>
    <w:rsid w:val="0045407A"/>
    <w:rsid w:val="0046069D"/>
    <w:rsid w:val="00467B07"/>
    <w:rsid w:val="00476BB6"/>
    <w:rsid w:val="00477C7B"/>
    <w:rsid w:val="00485F7D"/>
    <w:rsid w:val="004A78DC"/>
    <w:rsid w:val="004A7D38"/>
    <w:rsid w:val="004B70E5"/>
    <w:rsid w:val="004C4900"/>
    <w:rsid w:val="004C5E56"/>
    <w:rsid w:val="004D14D4"/>
    <w:rsid w:val="004D3402"/>
    <w:rsid w:val="004D520B"/>
    <w:rsid w:val="004D5709"/>
    <w:rsid w:val="004E2B00"/>
    <w:rsid w:val="004E7780"/>
    <w:rsid w:val="004F0B53"/>
    <w:rsid w:val="0050473E"/>
    <w:rsid w:val="005058E6"/>
    <w:rsid w:val="005066AE"/>
    <w:rsid w:val="00512C77"/>
    <w:rsid w:val="00513CC2"/>
    <w:rsid w:val="00517F99"/>
    <w:rsid w:val="005230C4"/>
    <w:rsid w:val="00524A05"/>
    <w:rsid w:val="00535929"/>
    <w:rsid w:val="00543B62"/>
    <w:rsid w:val="00553256"/>
    <w:rsid w:val="005532BE"/>
    <w:rsid w:val="005668C1"/>
    <w:rsid w:val="00584904"/>
    <w:rsid w:val="00592F69"/>
    <w:rsid w:val="00596DC5"/>
    <w:rsid w:val="005A524E"/>
    <w:rsid w:val="005B3128"/>
    <w:rsid w:val="005C5A68"/>
    <w:rsid w:val="005C6B94"/>
    <w:rsid w:val="005C6F1B"/>
    <w:rsid w:val="005D2128"/>
    <w:rsid w:val="005D78C8"/>
    <w:rsid w:val="005E0E67"/>
    <w:rsid w:val="005F08C7"/>
    <w:rsid w:val="005F5BE9"/>
    <w:rsid w:val="005F6ADC"/>
    <w:rsid w:val="00611487"/>
    <w:rsid w:val="00623679"/>
    <w:rsid w:val="00635699"/>
    <w:rsid w:val="00635A58"/>
    <w:rsid w:val="0063762E"/>
    <w:rsid w:val="0064439D"/>
    <w:rsid w:val="00646A5B"/>
    <w:rsid w:val="00653862"/>
    <w:rsid w:val="00657F91"/>
    <w:rsid w:val="00661908"/>
    <w:rsid w:val="00664522"/>
    <w:rsid w:val="00686B55"/>
    <w:rsid w:val="006922C9"/>
    <w:rsid w:val="006922F5"/>
    <w:rsid w:val="006934B5"/>
    <w:rsid w:val="0069648D"/>
    <w:rsid w:val="00696B3C"/>
    <w:rsid w:val="00697230"/>
    <w:rsid w:val="006A7F6E"/>
    <w:rsid w:val="006B0AD8"/>
    <w:rsid w:val="006B50FC"/>
    <w:rsid w:val="006B5865"/>
    <w:rsid w:val="006C37DE"/>
    <w:rsid w:val="006C5C51"/>
    <w:rsid w:val="006C75C9"/>
    <w:rsid w:val="006E5535"/>
    <w:rsid w:val="006F1D0E"/>
    <w:rsid w:val="006F275C"/>
    <w:rsid w:val="006F5663"/>
    <w:rsid w:val="006F5EA0"/>
    <w:rsid w:val="00732FD1"/>
    <w:rsid w:val="00736AFD"/>
    <w:rsid w:val="00744142"/>
    <w:rsid w:val="0074467B"/>
    <w:rsid w:val="00746540"/>
    <w:rsid w:val="00753BE8"/>
    <w:rsid w:val="00754553"/>
    <w:rsid w:val="00755B8C"/>
    <w:rsid w:val="00757155"/>
    <w:rsid w:val="0076561B"/>
    <w:rsid w:val="00771BCA"/>
    <w:rsid w:val="00782A26"/>
    <w:rsid w:val="00782F79"/>
    <w:rsid w:val="00792515"/>
    <w:rsid w:val="00794385"/>
    <w:rsid w:val="007B6C08"/>
    <w:rsid w:val="007B6D65"/>
    <w:rsid w:val="007C08DF"/>
    <w:rsid w:val="007C2DB7"/>
    <w:rsid w:val="007C3B27"/>
    <w:rsid w:val="007D1EA1"/>
    <w:rsid w:val="007D3ECF"/>
    <w:rsid w:val="007D4E18"/>
    <w:rsid w:val="007D7453"/>
    <w:rsid w:val="007E0228"/>
    <w:rsid w:val="007E363F"/>
    <w:rsid w:val="007E4B57"/>
    <w:rsid w:val="007E5524"/>
    <w:rsid w:val="007F4106"/>
    <w:rsid w:val="007F439F"/>
    <w:rsid w:val="007F7CC7"/>
    <w:rsid w:val="0081038D"/>
    <w:rsid w:val="00816818"/>
    <w:rsid w:val="00820332"/>
    <w:rsid w:val="00861092"/>
    <w:rsid w:val="00866EB3"/>
    <w:rsid w:val="008740FD"/>
    <w:rsid w:val="00874700"/>
    <w:rsid w:val="00875FB9"/>
    <w:rsid w:val="0087799E"/>
    <w:rsid w:val="008851CF"/>
    <w:rsid w:val="00887A64"/>
    <w:rsid w:val="0089154F"/>
    <w:rsid w:val="00894565"/>
    <w:rsid w:val="008972F5"/>
    <w:rsid w:val="008A435B"/>
    <w:rsid w:val="008B0B89"/>
    <w:rsid w:val="008C201D"/>
    <w:rsid w:val="008C5526"/>
    <w:rsid w:val="008D2E0E"/>
    <w:rsid w:val="008D3A7A"/>
    <w:rsid w:val="008E14CE"/>
    <w:rsid w:val="008F03DE"/>
    <w:rsid w:val="008F3056"/>
    <w:rsid w:val="008F6533"/>
    <w:rsid w:val="008F6771"/>
    <w:rsid w:val="00906CA3"/>
    <w:rsid w:val="0091226D"/>
    <w:rsid w:val="009168F1"/>
    <w:rsid w:val="00927F80"/>
    <w:rsid w:val="009326CF"/>
    <w:rsid w:val="00941F9C"/>
    <w:rsid w:val="009533DD"/>
    <w:rsid w:val="00955F65"/>
    <w:rsid w:val="00970738"/>
    <w:rsid w:val="00973F29"/>
    <w:rsid w:val="00992743"/>
    <w:rsid w:val="00992E45"/>
    <w:rsid w:val="009A5583"/>
    <w:rsid w:val="009B18AE"/>
    <w:rsid w:val="009D5DB5"/>
    <w:rsid w:val="009E0E9D"/>
    <w:rsid w:val="009E70E9"/>
    <w:rsid w:val="009F18CD"/>
    <w:rsid w:val="009F33E6"/>
    <w:rsid w:val="00A00FE5"/>
    <w:rsid w:val="00A0139E"/>
    <w:rsid w:val="00A272EE"/>
    <w:rsid w:val="00A60094"/>
    <w:rsid w:val="00A63D94"/>
    <w:rsid w:val="00A6407D"/>
    <w:rsid w:val="00A81C91"/>
    <w:rsid w:val="00A826A8"/>
    <w:rsid w:val="00A82ECA"/>
    <w:rsid w:val="00A8307F"/>
    <w:rsid w:val="00A832E7"/>
    <w:rsid w:val="00A853F8"/>
    <w:rsid w:val="00A9466F"/>
    <w:rsid w:val="00AC52B4"/>
    <w:rsid w:val="00AC54A6"/>
    <w:rsid w:val="00AD16A8"/>
    <w:rsid w:val="00AD4968"/>
    <w:rsid w:val="00AD5281"/>
    <w:rsid w:val="00AD5DAC"/>
    <w:rsid w:val="00AD78AA"/>
    <w:rsid w:val="00AE2044"/>
    <w:rsid w:val="00AE3C29"/>
    <w:rsid w:val="00AE500E"/>
    <w:rsid w:val="00B1254E"/>
    <w:rsid w:val="00B14136"/>
    <w:rsid w:val="00B14F21"/>
    <w:rsid w:val="00B31A4D"/>
    <w:rsid w:val="00B346E2"/>
    <w:rsid w:val="00B37A92"/>
    <w:rsid w:val="00B37F5C"/>
    <w:rsid w:val="00B5523B"/>
    <w:rsid w:val="00B562A7"/>
    <w:rsid w:val="00B5703C"/>
    <w:rsid w:val="00B641F7"/>
    <w:rsid w:val="00B64536"/>
    <w:rsid w:val="00B65E5D"/>
    <w:rsid w:val="00B717CA"/>
    <w:rsid w:val="00B8094F"/>
    <w:rsid w:val="00B87E81"/>
    <w:rsid w:val="00B90C50"/>
    <w:rsid w:val="00B973E7"/>
    <w:rsid w:val="00BA4BA2"/>
    <w:rsid w:val="00BA73E8"/>
    <w:rsid w:val="00BB4E30"/>
    <w:rsid w:val="00BD0418"/>
    <w:rsid w:val="00BE0672"/>
    <w:rsid w:val="00BE2B19"/>
    <w:rsid w:val="00BE55DA"/>
    <w:rsid w:val="00BE73D1"/>
    <w:rsid w:val="00BE7A6E"/>
    <w:rsid w:val="00BE7BEE"/>
    <w:rsid w:val="00C03423"/>
    <w:rsid w:val="00C13776"/>
    <w:rsid w:val="00C14657"/>
    <w:rsid w:val="00C1600C"/>
    <w:rsid w:val="00C16943"/>
    <w:rsid w:val="00C16E68"/>
    <w:rsid w:val="00C2059B"/>
    <w:rsid w:val="00C26FC9"/>
    <w:rsid w:val="00C36692"/>
    <w:rsid w:val="00C373AB"/>
    <w:rsid w:val="00C44CC8"/>
    <w:rsid w:val="00C61B31"/>
    <w:rsid w:val="00C62B7E"/>
    <w:rsid w:val="00C647E7"/>
    <w:rsid w:val="00C72578"/>
    <w:rsid w:val="00C7548C"/>
    <w:rsid w:val="00C82F65"/>
    <w:rsid w:val="00CA0DF9"/>
    <w:rsid w:val="00CA1BAE"/>
    <w:rsid w:val="00CA633A"/>
    <w:rsid w:val="00CC0309"/>
    <w:rsid w:val="00CC07C6"/>
    <w:rsid w:val="00CC202E"/>
    <w:rsid w:val="00CD48CA"/>
    <w:rsid w:val="00CD4CD2"/>
    <w:rsid w:val="00CE1CC4"/>
    <w:rsid w:val="00CF1257"/>
    <w:rsid w:val="00CF7CE4"/>
    <w:rsid w:val="00D03711"/>
    <w:rsid w:val="00D04036"/>
    <w:rsid w:val="00D12C29"/>
    <w:rsid w:val="00D161F2"/>
    <w:rsid w:val="00D16D20"/>
    <w:rsid w:val="00D23111"/>
    <w:rsid w:val="00D2430E"/>
    <w:rsid w:val="00D25D44"/>
    <w:rsid w:val="00D27185"/>
    <w:rsid w:val="00D4494D"/>
    <w:rsid w:val="00D64FDE"/>
    <w:rsid w:val="00D654D7"/>
    <w:rsid w:val="00D756AE"/>
    <w:rsid w:val="00D818A8"/>
    <w:rsid w:val="00D833B0"/>
    <w:rsid w:val="00D84157"/>
    <w:rsid w:val="00D9083E"/>
    <w:rsid w:val="00DA10E5"/>
    <w:rsid w:val="00DA239C"/>
    <w:rsid w:val="00DA2D1A"/>
    <w:rsid w:val="00DA59C2"/>
    <w:rsid w:val="00DB24C3"/>
    <w:rsid w:val="00DB5116"/>
    <w:rsid w:val="00DC53AC"/>
    <w:rsid w:val="00DC5740"/>
    <w:rsid w:val="00DC7504"/>
    <w:rsid w:val="00DD0408"/>
    <w:rsid w:val="00DD232B"/>
    <w:rsid w:val="00DD4563"/>
    <w:rsid w:val="00DD6378"/>
    <w:rsid w:val="00DD7C7D"/>
    <w:rsid w:val="00DE6E42"/>
    <w:rsid w:val="00DF3C3E"/>
    <w:rsid w:val="00E019E4"/>
    <w:rsid w:val="00E05B7A"/>
    <w:rsid w:val="00E13291"/>
    <w:rsid w:val="00E1428B"/>
    <w:rsid w:val="00E25D65"/>
    <w:rsid w:val="00E34416"/>
    <w:rsid w:val="00E3662C"/>
    <w:rsid w:val="00E454B5"/>
    <w:rsid w:val="00E45612"/>
    <w:rsid w:val="00E53217"/>
    <w:rsid w:val="00E57AE4"/>
    <w:rsid w:val="00E60170"/>
    <w:rsid w:val="00E635C6"/>
    <w:rsid w:val="00E72034"/>
    <w:rsid w:val="00E76C58"/>
    <w:rsid w:val="00E85BCB"/>
    <w:rsid w:val="00E85FBA"/>
    <w:rsid w:val="00E93DD4"/>
    <w:rsid w:val="00EA06FD"/>
    <w:rsid w:val="00EB275F"/>
    <w:rsid w:val="00EB55D7"/>
    <w:rsid w:val="00EB7FD5"/>
    <w:rsid w:val="00ED2D2E"/>
    <w:rsid w:val="00EE0FF0"/>
    <w:rsid w:val="00EE1DCD"/>
    <w:rsid w:val="00EE30EA"/>
    <w:rsid w:val="00EE550E"/>
    <w:rsid w:val="00EF64BF"/>
    <w:rsid w:val="00F00E5A"/>
    <w:rsid w:val="00F02A17"/>
    <w:rsid w:val="00F02CA9"/>
    <w:rsid w:val="00F049A7"/>
    <w:rsid w:val="00F05F7C"/>
    <w:rsid w:val="00F061FF"/>
    <w:rsid w:val="00F07670"/>
    <w:rsid w:val="00F079EC"/>
    <w:rsid w:val="00F1332A"/>
    <w:rsid w:val="00F20E46"/>
    <w:rsid w:val="00F30612"/>
    <w:rsid w:val="00F3067A"/>
    <w:rsid w:val="00F313CC"/>
    <w:rsid w:val="00F403FF"/>
    <w:rsid w:val="00F40E04"/>
    <w:rsid w:val="00F41094"/>
    <w:rsid w:val="00F410AE"/>
    <w:rsid w:val="00F44FA1"/>
    <w:rsid w:val="00F50343"/>
    <w:rsid w:val="00F5261B"/>
    <w:rsid w:val="00F62B4C"/>
    <w:rsid w:val="00F7280E"/>
    <w:rsid w:val="00F761D4"/>
    <w:rsid w:val="00F82FA2"/>
    <w:rsid w:val="00F95E51"/>
    <w:rsid w:val="00FA4FC2"/>
    <w:rsid w:val="00FB4F6B"/>
    <w:rsid w:val="00FB7061"/>
    <w:rsid w:val="00FC3FDA"/>
    <w:rsid w:val="00FD6F7D"/>
    <w:rsid w:val="00FE1EC4"/>
    <w:rsid w:val="00FE23AA"/>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3156"/>
  <w15:chartTrackingRefBased/>
  <w15:docId w15:val="{F908BB02-17E7-42A1-AFE1-16D9AB72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89"/>
    <w:pPr>
      <w:ind w:left="709"/>
    </w:pPr>
    <w:rPr>
      <w:rFonts w:ascii="Arial" w:hAnsi="Arial" w:cs="Arial"/>
      <w:sz w:val="18"/>
    </w:rPr>
  </w:style>
  <w:style w:type="paragraph" w:styleId="Ttulo1">
    <w:name w:val="heading 1"/>
    <w:aliases w:val="H1,Header1"/>
    <w:basedOn w:val="PargrafodaLista"/>
    <w:next w:val="Normal"/>
    <w:link w:val="Ttulo1Char"/>
    <w:uiPriority w:val="9"/>
    <w:qFormat/>
    <w:rsid w:val="0046069D"/>
    <w:pPr>
      <w:numPr>
        <w:numId w:val="1"/>
      </w:numPr>
      <w:spacing w:before="240" w:after="0" w:line="240" w:lineRule="auto"/>
      <w:jc w:val="both"/>
      <w:outlineLvl w:val="0"/>
    </w:pPr>
    <w:rPr>
      <w:b/>
      <w:color w:val="00B0F0"/>
      <w:sz w:val="32"/>
    </w:rPr>
  </w:style>
  <w:style w:type="paragraph" w:styleId="Ttulo2">
    <w:name w:val="heading 2"/>
    <w:aliases w:val="H2,Level 2,Header2,h2,A,Header 2,l2,Level 2 Head,heading 2,lBody Text + Not Bold,G- Heading 2,Heading 21,h2w"/>
    <w:basedOn w:val="PargrafodaLista"/>
    <w:next w:val="Normal"/>
    <w:link w:val="Ttulo2Char"/>
    <w:uiPriority w:val="9"/>
    <w:unhideWhenUsed/>
    <w:qFormat/>
    <w:rsid w:val="0046069D"/>
    <w:pPr>
      <w:numPr>
        <w:ilvl w:val="1"/>
        <w:numId w:val="1"/>
      </w:numPr>
      <w:spacing w:before="240" w:after="0" w:line="240" w:lineRule="auto"/>
      <w:jc w:val="both"/>
      <w:outlineLvl w:val="1"/>
    </w:pPr>
    <w:rPr>
      <w:b/>
      <w:color w:val="1F4E79" w:themeColor="accent1" w:themeShade="80"/>
      <w:sz w:val="20"/>
    </w:rPr>
  </w:style>
  <w:style w:type="paragraph" w:styleId="Ttulo3">
    <w:name w:val="heading 3"/>
    <w:aliases w:val="H3,Level 3,Header3"/>
    <w:basedOn w:val="PargrafodaLista"/>
    <w:next w:val="Normal"/>
    <w:link w:val="Ttulo3Char"/>
    <w:uiPriority w:val="99"/>
    <w:unhideWhenUsed/>
    <w:qFormat/>
    <w:rsid w:val="007E5524"/>
    <w:pPr>
      <w:numPr>
        <w:ilvl w:val="2"/>
        <w:numId w:val="1"/>
      </w:numPr>
      <w:spacing w:after="120" w:line="240" w:lineRule="auto"/>
      <w:contextualSpacing w:val="0"/>
      <w:outlineLvl w:val="2"/>
    </w:pPr>
  </w:style>
  <w:style w:type="paragraph" w:styleId="Ttulo4">
    <w:name w:val="heading 4"/>
    <w:aliases w:val="H4,Header4,G- Heading 4"/>
    <w:basedOn w:val="Normal"/>
    <w:next w:val="Normal"/>
    <w:link w:val="Ttulo4Char"/>
    <w:uiPriority w:val="9"/>
    <w:unhideWhenUsed/>
    <w:qFormat/>
    <w:rsid w:val="004514AF"/>
    <w:pPr>
      <w:keepNext/>
      <w:keepLines/>
      <w:numPr>
        <w:ilvl w:val="3"/>
        <w:numId w:val="1"/>
      </w:numPr>
      <w:tabs>
        <w:tab w:val="num" w:pos="2880"/>
      </w:tabs>
      <w:spacing w:before="200" w:after="0" w:line="240" w:lineRule="auto"/>
      <w:ind w:left="2880" w:hanging="720"/>
      <w:jc w:val="both"/>
      <w:outlineLvl w:val="3"/>
    </w:pPr>
    <w:rPr>
      <w:rFonts w:eastAsia="Arial" w:cstheme="majorBidi"/>
      <w:b/>
      <w:iCs/>
      <w:color w:val="000000" w:themeColor="text1"/>
    </w:rPr>
  </w:style>
  <w:style w:type="paragraph" w:styleId="Ttulo5">
    <w:name w:val="heading 5"/>
    <w:aliases w:val="Header5"/>
    <w:basedOn w:val="Normal"/>
    <w:next w:val="Normal"/>
    <w:link w:val="Ttulo5Char"/>
    <w:uiPriority w:val="9"/>
    <w:unhideWhenUsed/>
    <w:qFormat/>
    <w:rsid w:val="00395668"/>
    <w:pPr>
      <w:keepNext/>
      <w:keepLines/>
      <w:numPr>
        <w:ilvl w:val="4"/>
        <w:numId w:val="1"/>
      </w:numPr>
      <w:spacing w:before="200" w:after="0" w:line="240" w:lineRule="auto"/>
      <w:jc w:val="both"/>
      <w:outlineLvl w:val="4"/>
    </w:pPr>
    <w:rPr>
      <w:rFonts w:eastAsiaTheme="majorEastAsia" w:cstheme="majorBidi"/>
      <w:b/>
      <w:szCs w:val="20"/>
    </w:rPr>
  </w:style>
  <w:style w:type="paragraph" w:styleId="Ttulo6">
    <w:name w:val="heading 6"/>
    <w:basedOn w:val="Normal"/>
    <w:next w:val="Normal"/>
    <w:link w:val="Ttulo6Char"/>
    <w:uiPriority w:val="9"/>
    <w:unhideWhenUsed/>
    <w:qFormat/>
    <w:rsid w:val="00794385"/>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4514AF"/>
    <w:pPr>
      <w:keepNext/>
      <w:keepLines/>
      <w:numPr>
        <w:ilvl w:val="6"/>
        <w:numId w:val="1"/>
      </w:numPr>
      <w:tabs>
        <w:tab w:val="num" w:pos="5040"/>
      </w:tabs>
      <w:spacing w:before="40" w:after="120" w:line="276" w:lineRule="auto"/>
      <w:ind w:left="5040" w:hanging="720"/>
      <w:jc w:val="both"/>
      <w:outlineLvl w:val="6"/>
    </w:pPr>
    <w:rPr>
      <w:rFonts w:asciiTheme="majorHAnsi" w:eastAsiaTheme="majorEastAsia" w:hAnsiTheme="majorHAnsi" w:cstheme="majorBidi"/>
      <w:i/>
      <w:iCs/>
      <w:color w:val="1F4D78" w:themeColor="accent1" w:themeShade="7F"/>
      <w:szCs w:val="20"/>
    </w:rPr>
  </w:style>
  <w:style w:type="paragraph" w:styleId="Ttulo8">
    <w:name w:val="heading 8"/>
    <w:basedOn w:val="Normal"/>
    <w:next w:val="Normal"/>
    <w:link w:val="Ttulo8Char"/>
    <w:uiPriority w:val="9"/>
    <w:semiHidden/>
    <w:unhideWhenUsed/>
    <w:qFormat/>
    <w:rsid w:val="004514AF"/>
    <w:pPr>
      <w:keepNext/>
      <w:keepLines/>
      <w:numPr>
        <w:ilvl w:val="7"/>
        <w:numId w:val="1"/>
      </w:numPr>
      <w:tabs>
        <w:tab w:val="num" w:pos="5760"/>
      </w:tabs>
      <w:spacing w:before="40" w:after="120" w:line="276" w:lineRule="auto"/>
      <w:ind w:left="5760" w:hanging="720"/>
      <w:jc w:val="both"/>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rsid w:val="004514AF"/>
    <w:pPr>
      <w:keepNext/>
      <w:keepLines/>
      <w:numPr>
        <w:ilvl w:val="8"/>
        <w:numId w:val="1"/>
      </w:numPr>
      <w:tabs>
        <w:tab w:val="num" w:pos="6480"/>
      </w:tabs>
      <w:spacing w:before="40" w:after="120" w:line="276" w:lineRule="auto"/>
      <w:ind w:left="6480" w:hanging="720"/>
      <w:jc w:val="both"/>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020210"/>
    <w:rPr>
      <w:sz w:val="16"/>
      <w:szCs w:val="16"/>
    </w:rPr>
  </w:style>
  <w:style w:type="paragraph" w:styleId="Textodecomentrio">
    <w:name w:val="annotation text"/>
    <w:basedOn w:val="Normal"/>
    <w:link w:val="TextodecomentrioChar"/>
  </w:style>
  <w:style w:type="character" w:customStyle="1" w:styleId="TextodecomentrioChar">
    <w:name w:val="Texto de comentário Char"/>
    <w:basedOn w:val="Fontepargpadro"/>
    <w:link w:val="Textodecomentrio"/>
    <w:uiPriority w:val="99"/>
    <w:rsid w:val="00020210"/>
    <w:rPr>
      <w:rFonts w:ascii="Arial" w:hAnsi="Arial"/>
      <w:sz w:val="18"/>
      <w:szCs w:val="20"/>
    </w:rPr>
  </w:style>
  <w:style w:type="paragraph" w:styleId="Textodebalo">
    <w:name w:val="Balloon Text"/>
    <w:basedOn w:val="Normal"/>
    <w:link w:val="TextodebaloChar"/>
    <w:uiPriority w:val="99"/>
    <w:semiHidden/>
    <w:unhideWhenUsed/>
    <w:rsid w:val="00020210"/>
    <w:pPr>
      <w:spacing w:after="0" w:line="240" w:lineRule="auto"/>
    </w:pPr>
    <w:rPr>
      <w:rFonts w:ascii="Segoe UI" w:hAnsi="Segoe UI" w:cs="Segoe UI"/>
      <w:szCs w:val="18"/>
    </w:rPr>
  </w:style>
  <w:style w:type="character" w:customStyle="1" w:styleId="TextodebaloChar">
    <w:name w:val="Texto de balão Char"/>
    <w:basedOn w:val="Fontepargpadro"/>
    <w:link w:val="Textodebalo"/>
    <w:uiPriority w:val="99"/>
    <w:semiHidden/>
    <w:rsid w:val="00020210"/>
    <w:rPr>
      <w:rFonts w:ascii="Segoe UI" w:hAnsi="Segoe UI" w:cs="Segoe UI"/>
      <w:sz w:val="18"/>
      <w:szCs w:val="18"/>
    </w:rPr>
  </w:style>
  <w:style w:type="paragraph" w:styleId="PargrafodaLista">
    <w:name w:val="List Paragraph"/>
    <w:aliases w:val="Bullet List"/>
    <w:basedOn w:val="Normal"/>
    <w:link w:val="PargrafodaListaChar"/>
    <w:qFormat/>
    <w:rsid w:val="009A5583"/>
    <w:pPr>
      <w:ind w:left="720"/>
      <w:contextualSpacing/>
    </w:pPr>
  </w:style>
  <w:style w:type="table" w:styleId="Tabelacomgrade">
    <w:name w:val="Table Grid"/>
    <w:basedOn w:val="Tabelanormal"/>
    <w:uiPriority w:val="39"/>
    <w:rsid w:val="00395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har">
    <w:name w:val="Título 5 Char"/>
    <w:aliases w:val="Header5 Char"/>
    <w:basedOn w:val="Fontepargpadro"/>
    <w:link w:val="Ttulo5"/>
    <w:uiPriority w:val="9"/>
    <w:rsid w:val="00395668"/>
    <w:rPr>
      <w:rFonts w:ascii="Arial" w:eastAsiaTheme="majorEastAsia" w:hAnsi="Arial" w:cstheme="majorBidi"/>
      <w:b/>
      <w:sz w:val="18"/>
      <w:szCs w:val="20"/>
    </w:rPr>
  </w:style>
  <w:style w:type="character" w:customStyle="1" w:styleId="Ttulo2Char">
    <w:name w:val="Título 2 Char"/>
    <w:aliases w:val="H2 Char,Level 2 Char,Header2 Char,h2 Char,A Char,Header 2 Char,l2 Char,Level 2 Head Char,heading 2 Char,lBody Text + Not Bold Char,G- Heading 2 Char,Heading 21 Char,h2w Char"/>
    <w:basedOn w:val="Fontepargpadro"/>
    <w:link w:val="Ttulo2"/>
    <w:uiPriority w:val="9"/>
    <w:rsid w:val="0046069D"/>
    <w:rPr>
      <w:rFonts w:ascii="Arial" w:hAnsi="Arial" w:cs="Arial"/>
      <w:b/>
      <w:color w:val="1F4E79" w:themeColor="accent1" w:themeShade="80"/>
      <w:sz w:val="20"/>
    </w:rPr>
  </w:style>
  <w:style w:type="character" w:customStyle="1" w:styleId="Ttulo1Char">
    <w:name w:val="Título 1 Char"/>
    <w:aliases w:val="H1 Char,Header1 Char"/>
    <w:basedOn w:val="Fontepargpadro"/>
    <w:link w:val="Ttulo1"/>
    <w:uiPriority w:val="9"/>
    <w:rsid w:val="0046069D"/>
    <w:rPr>
      <w:rFonts w:ascii="Arial" w:hAnsi="Arial" w:cs="Arial"/>
      <w:b/>
      <w:color w:val="00B0F0"/>
      <w:sz w:val="32"/>
    </w:rPr>
  </w:style>
  <w:style w:type="character" w:customStyle="1" w:styleId="Ttulo3Char">
    <w:name w:val="Título 3 Char"/>
    <w:aliases w:val="H3 Char,Level 3 Char,Header3 Char"/>
    <w:basedOn w:val="Fontepargpadro"/>
    <w:link w:val="Ttulo3"/>
    <w:uiPriority w:val="99"/>
    <w:rsid w:val="007E5524"/>
    <w:rPr>
      <w:rFonts w:ascii="Arial" w:hAnsi="Arial" w:cs="Arial"/>
      <w:sz w:val="18"/>
    </w:rPr>
  </w:style>
  <w:style w:type="paragraph" w:styleId="Assuntodocomentrio">
    <w:name w:val="annotation subject"/>
    <w:basedOn w:val="Textodecomentrio"/>
    <w:next w:val="Textodecomentrio"/>
    <w:link w:val="AssuntodocomentrioChar"/>
    <w:uiPriority w:val="99"/>
    <w:semiHidden/>
    <w:unhideWhenUsed/>
    <w:rsid w:val="00992E45"/>
    <w:rPr>
      <w:rFonts w:asciiTheme="minorHAnsi" w:hAnsiTheme="minorHAnsi"/>
      <w:b/>
      <w:bCs/>
      <w:sz w:val="20"/>
    </w:rPr>
  </w:style>
  <w:style w:type="character" w:customStyle="1" w:styleId="AssuntodocomentrioChar">
    <w:name w:val="Assunto do comentário Char"/>
    <w:basedOn w:val="TextodecomentrioChar"/>
    <w:link w:val="Assuntodocomentrio"/>
    <w:uiPriority w:val="99"/>
    <w:semiHidden/>
    <w:rsid w:val="00992E45"/>
    <w:rPr>
      <w:rFonts w:ascii="Arial" w:hAnsi="Arial"/>
      <w:b/>
      <w:bCs/>
      <w:sz w:val="20"/>
      <w:szCs w:val="20"/>
    </w:rPr>
  </w:style>
  <w:style w:type="paragraph" w:styleId="Cabealho">
    <w:name w:val="header"/>
    <w:basedOn w:val="Normal"/>
    <w:link w:val="CabealhoChar"/>
    <w:uiPriority w:val="99"/>
    <w:unhideWhenUsed/>
    <w:rsid w:val="00B87E81"/>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B87E81"/>
    <w:rPr>
      <w:sz w:val="18"/>
    </w:rPr>
  </w:style>
  <w:style w:type="paragraph" w:styleId="Rodap">
    <w:name w:val="footer"/>
    <w:basedOn w:val="Normal"/>
    <w:link w:val="RodapChar"/>
    <w:uiPriority w:val="99"/>
    <w:unhideWhenUsed/>
    <w:rsid w:val="00B87E81"/>
    <w:pPr>
      <w:tabs>
        <w:tab w:val="center" w:pos="4680"/>
        <w:tab w:val="right" w:pos="9360"/>
      </w:tabs>
      <w:spacing w:after="0" w:line="240" w:lineRule="auto"/>
    </w:pPr>
  </w:style>
  <w:style w:type="character" w:customStyle="1" w:styleId="RodapChar">
    <w:name w:val="Rodapé Char"/>
    <w:basedOn w:val="Fontepargpadro"/>
    <w:link w:val="Rodap"/>
    <w:uiPriority w:val="99"/>
    <w:rsid w:val="00B87E81"/>
    <w:rPr>
      <w:sz w:val="18"/>
    </w:rPr>
  </w:style>
  <w:style w:type="character" w:styleId="Hyperlink">
    <w:name w:val="Hyperlink"/>
    <w:basedOn w:val="Fontepargpadro"/>
    <w:uiPriority w:val="99"/>
    <w:unhideWhenUsed/>
    <w:rsid w:val="00B87E81"/>
    <w:rPr>
      <w:color w:val="0563C1" w:themeColor="hyperlink"/>
      <w:u w:val="single"/>
    </w:rPr>
  </w:style>
  <w:style w:type="character" w:customStyle="1" w:styleId="PargrafodaListaChar">
    <w:name w:val="Parágrafo da Lista Char"/>
    <w:aliases w:val="Bullet List Char"/>
    <w:link w:val="PargrafodaLista"/>
    <w:rsid w:val="00D654D7"/>
    <w:rPr>
      <w:sz w:val="18"/>
    </w:rPr>
  </w:style>
  <w:style w:type="paragraph" w:customStyle="1" w:styleId="B1">
    <w:name w:val="B1"/>
    <w:basedOn w:val="PargrafodaLista"/>
    <w:qFormat/>
    <w:rsid w:val="00EB55D7"/>
    <w:pPr>
      <w:numPr>
        <w:ilvl w:val="2"/>
        <w:numId w:val="3"/>
      </w:numPr>
      <w:spacing w:after="0" w:line="240" w:lineRule="auto"/>
      <w:ind w:left="1225" w:hanging="374"/>
    </w:pPr>
    <w:rPr>
      <w:color w:val="000000"/>
      <w:szCs w:val="16"/>
    </w:rPr>
  </w:style>
  <w:style w:type="paragraph" w:customStyle="1" w:styleId="B2">
    <w:name w:val="B2"/>
    <w:basedOn w:val="PargrafodaLista"/>
    <w:qFormat/>
    <w:rsid w:val="00EB55D7"/>
    <w:pPr>
      <w:numPr>
        <w:ilvl w:val="3"/>
        <w:numId w:val="3"/>
      </w:numPr>
      <w:spacing w:after="0" w:line="240" w:lineRule="auto"/>
      <w:ind w:left="1985" w:hanging="312"/>
    </w:pPr>
  </w:style>
  <w:style w:type="paragraph" w:styleId="NormalWeb">
    <w:name w:val="Normal (Web)"/>
    <w:basedOn w:val="Normal"/>
    <w:uiPriority w:val="99"/>
    <w:unhideWhenUsed/>
    <w:rsid w:val="00D654D7"/>
    <w:pPr>
      <w:spacing w:before="100" w:beforeAutospacing="1" w:after="100" w:afterAutospacing="1" w:line="240" w:lineRule="auto"/>
    </w:pPr>
    <w:rPr>
      <w:rFonts w:ascii="Times New Roman" w:eastAsia="Times New Roman" w:hAnsi="Times New Roman" w:cs="Times New Roman"/>
      <w:sz w:val="24"/>
      <w:szCs w:val="24"/>
    </w:rPr>
  </w:style>
  <w:style w:type="paragraph" w:styleId="Reviso">
    <w:name w:val="Revision"/>
    <w:hidden/>
    <w:uiPriority w:val="99"/>
    <w:semiHidden/>
    <w:rsid w:val="00794385"/>
    <w:pPr>
      <w:spacing w:after="0" w:line="240" w:lineRule="auto"/>
    </w:pPr>
    <w:rPr>
      <w:sz w:val="18"/>
    </w:rPr>
  </w:style>
  <w:style w:type="character" w:customStyle="1" w:styleId="Ttulo6Char">
    <w:name w:val="Título 6 Char"/>
    <w:basedOn w:val="Fontepargpadro"/>
    <w:link w:val="Ttulo6"/>
    <w:uiPriority w:val="9"/>
    <w:rsid w:val="00794385"/>
    <w:rPr>
      <w:rFonts w:asciiTheme="majorHAnsi" w:eastAsiaTheme="majorEastAsia" w:hAnsiTheme="majorHAnsi" w:cstheme="majorBidi"/>
      <w:color w:val="1F4D78" w:themeColor="accent1" w:themeShade="7F"/>
      <w:sz w:val="18"/>
    </w:rPr>
  </w:style>
  <w:style w:type="character" w:customStyle="1" w:styleId="LegalTerm">
    <w:name w:val="Legal Term"/>
    <w:basedOn w:val="Fontepargpadro"/>
    <w:uiPriority w:val="1"/>
    <w:qFormat/>
    <w:rsid w:val="006C37DE"/>
    <w:rPr>
      <w:b/>
    </w:rPr>
  </w:style>
  <w:style w:type="paragraph" w:styleId="Pr-formataoHTML">
    <w:name w:val="HTML Preformatted"/>
    <w:basedOn w:val="Normal"/>
    <w:link w:val="Pr-formataoHTMLChar"/>
    <w:uiPriority w:val="99"/>
    <w:unhideWhenUsed/>
    <w:rsid w:val="009D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rsid w:val="009D5DB5"/>
    <w:rPr>
      <w:rFonts w:ascii="Courier New" w:eastAsia="Times New Roman" w:hAnsi="Courier New" w:cs="Courier New"/>
      <w:sz w:val="20"/>
      <w:szCs w:val="20"/>
    </w:rPr>
  </w:style>
  <w:style w:type="character" w:customStyle="1" w:styleId="y2iqfc">
    <w:name w:val="y2iqfc"/>
    <w:basedOn w:val="Fontepargpadro"/>
    <w:rsid w:val="009D5DB5"/>
  </w:style>
  <w:style w:type="character" w:customStyle="1" w:styleId="Ttulo4Char">
    <w:name w:val="Título 4 Char"/>
    <w:aliases w:val="H4 Char,Header4 Char,G- Heading 4 Char"/>
    <w:basedOn w:val="Fontepargpadro"/>
    <w:link w:val="Ttulo4"/>
    <w:uiPriority w:val="9"/>
    <w:rsid w:val="004514AF"/>
    <w:rPr>
      <w:rFonts w:ascii="Arial" w:eastAsia="Arial" w:hAnsi="Arial" w:cstheme="majorBidi"/>
      <w:b/>
      <w:iCs/>
      <w:color w:val="000000" w:themeColor="text1"/>
      <w:sz w:val="18"/>
    </w:rPr>
  </w:style>
  <w:style w:type="character" w:customStyle="1" w:styleId="Ttulo7Char">
    <w:name w:val="Título 7 Char"/>
    <w:basedOn w:val="Fontepargpadro"/>
    <w:link w:val="Ttulo7"/>
    <w:uiPriority w:val="9"/>
    <w:semiHidden/>
    <w:rsid w:val="004514AF"/>
    <w:rPr>
      <w:rFonts w:asciiTheme="majorHAnsi" w:eastAsiaTheme="majorEastAsia" w:hAnsiTheme="majorHAnsi" w:cstheme="majorBidi"/>
      <w:i/>
      <w:iCs/>
      <w:color w:val="1F4D78" w:themeColor="accent1" w:themeShade="7F"/>
      <w:sz w:val="18"/>
      <w:szCs w:val="20"/>
    </w:rPr>
  </w:style>
  <w:style w:type="character" w:customStyle="1" w:styleId="Ttulo8Char">
    <w:name w:val="Título 8 Char"/>
    <w:basedOn w:val="Fontepargpadro"/>
    <w:link w:val="Ttulo8"/>
    <w:uiPriority w:val="9"/>
    <w:semiHidden/>
    <w:rsid w:val="004514A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rsid w:val="004514AF"/>
    <w:rPr>
      <w:rFonts w:asciiTheme="majorHAnsi" w:eastAsiaTheme="majorEastAsia" w:hAnsiTheme="majorHAnsi" w:cstheme="majorBidi"/>
      <w:i/>
      <w:iCs/>
      <w:color w:val="272727" w:themeColor="text1" w:themeTint="D8"/>
      <w:sz w:val="21"/>
      <w:szCs w:val="21"/>
    </w:rPr>
  </w:style>
  <w:style w:type="paragraph" w:customStyle="1" w:styleId="TableBody">
    <w:name w:val="Table Body"/>
    <w:basedOn w:val="Normal"/>
    <w:qFormat/>
    <w:rsid w:val="004514AF"/>
    <w:pPr>
      <w:spacing w:after="60" w:line="240" w:lineRule="auto"/>
      <w:ind w:left="0"/>
      <w:contextualSpacing/>
    </w:pPr>
    <w:rPr>
      <w:rFonts w:cstheme="minorBidi"/>
      <w:sz w:val="16"/>
      <w:szCs w:val="16"/>
      <w:lang w:eastAsia="ja-JP"/>
    </w:rPr>
  </w:style>
  <w:style w:type="paragraph" w:customStyle="1" w:styleId="TableHeader">
    <w:name w:val="Table Header"/>
    <w:basedOn w:val="Normal"/>
    <w:qFormat/>
    <w:rsid w:val="004514AF"/>
    <w:pPr>
      <w:spacing w:after="0" w:line="240" w:lineRule="auto"/>
      <w:ind w:left="0"/>
    </w:pPr>
    <w:rPr>
      <w:rFonts w:cstheme="minorBidi"/>
      <w:b/>
      <w:color w:val="F2F2F2" w:themeColor="background1" w:themeShade="F2"/>
      <w:szCs w:val="20"/>
      <w:lang w:val="en-AU" w:eastAsia="en-AU"/>
    </w:rPr>
  </w:style>
  <w:style w:type="numbering" w:customStyle="1" w:styleId="CurrentList1">
    <w:name w:val="Current List1"/>
    <w:uiPriority w:val="99"/>
    <w:rsid w:val="004514AF"/>
    <w:pPr>
      <w:numPr>
        <w:numId w:val="5"/>
      </w:numPr>
    </w:pPr>
  </w:style>
  <w:style w:type="numbering" w:customStyle="1" w:styleId="CurrentList2">
    <w:name w:val="Current List2"/>
    <w:uiPriority w:val="99"/>
    <w:rsid w:val="004514AF"/>
    <w:pPr>
      <w:numPr>
        <w:numId w:val="6"/>
      </w:numPr>
    </w:pPr>
  </w:style>
  <w:style w:type="paragraph" w:customStyle="1" w:styleId="2-LevelLegal5">
    <w:name w:val="2-Level Legal5"/>
    <w:basedOn w:val="Normal"/>
    <w:rsid w:val="004514AF"/>
    <w:pPr>
      <w:tabs>
        <w:tab w:val="num" w:pos="3600"/>
      </w:tabs>
      <w:spacing w:after="240" w:line="240" w:lineRule="auto"/>
      <w:ind w:left="3600" w:right="720" w:hanging="720"/>
      <w:outlineLvl w:val="4"/>
    </w:pPr>
    <w:rPr>
      <w:rFonts w:ascii="Times New Roman" w:eastAsia="Times New Roman" w:hAnsi="Times New Roman" w:cs="Times New Roman"/>
      <w:color w:val="000000"/>
      <w:szCs w:val="24"/>
    </w:rPr>
  </w:style>
  <w:style w:type="numbering" w:customStyle="1" w:styleId="CurrentList3">
    <w:name w:val="Current List3"/>
    <w:uiPriority w:val="99"/>
    <w:rsid w:val="004514AF"/>
    <w:pPr>
      <w:numPr>
        <w:numId w:val="7"/>
      </w:numPr>
    </w:pPr>
  </w:style>
  <w:style w:type="numbering" w:customStyle="1" w:styleId="CurrentList4">
    <w:name w:val="Current List4"/>
    <w:uiPriority w:val="99"/>
    <w:rsid w:val="004514AF"/>
    <w:pPr>
      <w:numPr>
        <w:numId w:val="8"/>
      </w:numPr>
    </w:pPr>
  </w:style>
  <w:style w:type="character" w:styleId="MenoPendente">
    <w:name w:val="Unresolved Mention"/>
    <w:basedOn w:val="Fontepargpadro"/>
    <w:uiPriority w:val="99"/>
    <w:semiHidden/>
    <w:unhideWhenUsed/>
    <w:rsid w:val="004514AF"/>
    <w:rPr>
      <w:color w:val="605E5C"/>
      <w:shd w:val="clear" w:color="auto" w:fill="E1DFDD"/>
    </w:rPr>
  </w:style>
  <w:style w:type="paragraph" w:customStyle="1" w:styleId="Bullet2">
    <w:name w:val="Bullet2"/>
    <w:basedOn w:val="PargrafodaLista"/>
    <w:rsid w:val="00C2059B"/>
    <w:pPr>
      <w:spacing w:after="0" w:line="240" w:lineRule="auto"/>
      <w:ind w:left="1440" w:hanging="360"/>
      <w:jc w:val="both"/>
    </w:pPr>
    <w:rPr>
      <w:rFonts w:cstheme="minorBidi"/>
      <w:szCs w:val="20"/>
    </w:rPr>
  </w:style>
  <w:style w:type="numbering" w:customStyle="1" w:styleId="CurrentList11">
    <w:name w:val="Current List11"/>
    <w:uiPriority w:val="99"/>
    <w:rsid w:val="00346AE3"/>
  </w:style>
  <w:style w:type="numbering" w:customStyle="1" w:styleId="CurrentList21">
    <w:name w:val="Current List21"/>
    <w:uiPriority w:val="99"/>
    <w:rsid w:val="00346AE3"/>
  </w:style>
  <w:style w:type="numbering" w:customStyle="1" w:styleId="CurrentList31">
    <w:name w:val="Current List31"/>
    <w:uiPriority w:val="99"/>
    <w:rsid w:val="00346AE3"/>
  </w:style>
  <w:style w:type="numbering" w:customStyle="1" w:styleId="CurrentList41">
    <w:name w:val="Current List41"/>
    <w:uiPriority w:val="99"/>
    <w:rsid w:val="00346AE3"/>
  </w:style>
  <w:style w:type="character" w:customStyle="1" w:styleId="UnresolvedMention1">
    <w:name w:val="Unresolved Mention1"/>
    <w:basedOn w:val="Fontepargpadro"/>
    <w:uiPriority w:val="99"/>
    <w:semiHidden/>
    <w:unhideWhenUsed/>
    <w:rsid w:val="00346AE3"/>
    <w:rPr>
      <w:color w:val="605E5C"/>
      <w:shd w:val="clear" w:color="auto" w:fill="E1DFDD"/>
    </w:rPr>
  </w:style>
  <w:style w:type="character" w:styleId="HiperlinkVisitado">
    <w:name w:val="FollowedHyperlink"/>
    <w:basedOn w:val="Fontepargpadro"/>
    <w:uiPriority w:val="99"/>
    <w:semiHidden/>
    <w:unhideWhenUsed/>
    <w:rsid w:val="00346AE3"/>
    <w:rPr>
      <w:color w:val="954F72" w:themeColor="followedHyperlink"/>
      <w:u w:val="single"/>
    </w:rPr>
  </w:style>
  <w:style w:type="paragraph" w:customStyle="1" w:styleId="SOWBullets1">
    <w:name w:val="SOW Bullets 1"/>
    <w:basedOn w:val="PargrafodaLista"/>
    <w:qFormat/>
    <w:rsid w:val="00147214"/>
    <w:pPr>
      <w:tabs>
        <w:tab w:val="num" w:pos="360"/>
      </w:tabs>
      <w:spacing w:after="120" w:line="240" w:lineRule="auto"/>
      <w:ind w:hanging="720"/>
      <w:contextualSpacing w:val="0"/>
    </w:pPr>
    <w:rPr>
      <w:rFonts w:eastAsia="Arial"/>
      <w:sz w:val="20"/>
      <w:szCs w:val="20"/>
      <w:lang w:val="en"/>
    </w:rPr>
  </w:style>
  <w:style w:type="paragraph" w:customStyle="1" w:styleId="Bullets2">
    <w:name w:val="Bullets 2"/>
    <w:basedOn w:val="Normal"/>
    <w:qFormat/>
    <w:rsid w:val="00147214"/>
    <w:pPr>
      <w:keepLines/>
      <w:numPr>
        <w:numId w:val="19"/>
      </w:numPr>
      <w:tabs>
        <w:tab w:val="left" w:pos="1080"/>
        <w:tab w:val="left" w:pos="2160"/>
      </w:tabs>
      <w:spacing w:before="240" w:after="120" w:line="240" w:lineRule="auto"/>
      <w:contextualSpacing/>
    </w:pPr>
    <w:rPr>
      <w:rFonts w:eastAsia="Times New Roman" w:cs="Helvetica"/>
      <w:sz w:val="20"/>
      <w:szCs w:val="20"/>
      <w:lang w:val="en"/>
    </w:rPr>
  </w:style>
  <w:style w:type="paragraph" w:customStyle="1" w:styleId="Bullets2-Sub">
    <w:name w:val="Bullets 2 - Sub"/>
    <w:basedOn w:val="Normal"/>
    <w:qFormat/>
    <w:rsid w:val="00147214"/>
    <w:pPr>
      <w:keepLines/>
      <w:numPr>
        <w:ilvl w:val="1"/>
        <w:numId w:val="19"/>
      </w:numPr>
      <w:tabs>
        <w:tab w:val="left" w:pos="1530"/>
        <w:tab w:val="left" w:pos="3870"/>
      </w:tabs>
      <w:spacing w:before="240" w:after="120" w:line="240" w:lineRule="auto"/>
      <w:ind w:left="1530" w:hanging="450"/>
      <w:contextualSpacing/>
    </w:pPr>
    <w:rPr>
      <w:rFonts w:eastAsia="Times New Roman" w:cs="Helvetica"/>
      <w:iCs/>
      <w:sz w:val="20"/>
      <w:szCs w:val="20"/>
      <w:lang w:val="en"/>
    </w:rPr>
  </w:style>
  <w:style w:type="paragraph" w:customStyle="1" w:styleId="SOWHeading5">
    <w:name w:val="SOW Heading 5"/>
    <w:basedOn w:val="Ttulo5"/>
    <w:next w:val="Normal"/>
    <w:qFormat/>
    <w:rsid w:val="00147214"/>
    <w:pPr>
      <w:keepNext w:val="0"/>
      <w:numPr>
        <w:numId w:val="20"/>
      </w:numPr>
      <w:tabs>
        <w:tab w:val="num" w:pos="360"/>
        <w:tab w:val="left" w:pos="3240"/>
      </w:tabs>
      <w:spacing w:before="240" w:after="120"/>
      <w:ind w:left="3240" w:hanging="1080"/>
      <w:jc w:val="left"/>
    </w:pPr>
    <w:rPr>
      <w:rFonts w:ascii="Arial Italic" w:eastAsia="Times New Roman" w:hAnsi="Arial Italic" w:cs="Helvetica"/>
      <w:b w:val="0"/>
      <w:i/>
      <w:sz w:val="20"/>
      <w:szCs w:val="18"/>
      <w:u w:val="single"/>
      <w:lang w:val="en"/>
    </w:rPr>
  </w:style>
  <w:style w:type="paragraph" w:customStyle="1" w:styleId="Bullet3">
    <w:name w:val="Bullet3"/>
    <w:basedOn w:val="PargrafodaLista"/>
    <w:qFormat/>
    <w:rsid w:val="005230C4"/>
    <w:pPr>
      <w:numPr>
        <w:ilvl w:val="2"/>
        <w:numId w:val="25"/>
      </w:numPr>
      <w:tabs>
        <w:tab w:val="num" w:pos="360"/>
      </w:tabs>
      <w:spacing w:after="200" w:line="240" w:lineRule="auto"/>
      <w:ind w:left="720" w:hanging="720"/>
      <w:contextualSpacing w:val="0"/>
    </w:pPr>
    <w:rPr>
      <w:rFonts w:cs="Times New Roman"/>
      <w:sz w:val="20"/>
      <w:szCs w:val="20"/>
      <w:lang w:val="en"/>
    </w:rPr>
  </w:style>
  <w:style w:type="paragraph" w:customStyle="1" w:styleId="Bullet4">
    <w:name w:val="Bullet4"/>
    <w:basedOn w:val="PargrafodaLista"/>
    <w:qFormat/>
    <w:rsid w:val="005230C4"/>
    <w:pPr>
      <w:numPr>
        <w:ilvl w:val="3"/>
        <w:numId w:val="25"/>
      </w:numPr>
      <w:tabs>
        <w:tab w:val="num" w:pos="360"/>
      </w:tabs>
      <w:spacing w:after="120" w:line="240" w:lineRule="auto"/>
      <w:ind w:left="720" w:hanging="720"/>
      <w:contextualSpacing w:val="0"/>
    </w:pPr>
    <w:rPr>
      <w:rFonts w:cs="Times New Roman"/>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253025">
      <w:bodyDiv w:val="1"/>
      <w:marLeft w:val="0"/>
      <w:marRight w:val="0"/>
      <w:marTop w:val="0"/>
      <w:marBottom w:val="0"/>
      <w:divBdr>
        <w:top w:val="none" w:sz="0" w:space="0" w:color="auto"/>
        <w:left w:val="none" w:sz="0" w:space="0" w:color="auto"/>
        <w:bottom w:val="none" w:sz="0" w:space="0" w:color="auto"/>
        <w:right w:val="none" w:sz="0" w:space="0" w:color="auto"/>
      </w:divBdr>
    </w:div>
    <w:div w:id="1128358740">
      <w:bodyDiv w:val="1"/>
      <w:marLeft w:val="0"/>
      <w:marRight w:val="0"/>
      <w:marTop w:val="0"/>
      <w:marBottom w:val="0"/>
      <w:divBdr>
        <w:top w:val="none" w:sz="0" w:space="0" w:color="auto"/>
        <w:left w:val="none" w:sz="0" w:space="0" w:color="auto"/>
        <w:bottom w:val="none" w:sz="0" w:space="0" w:color="auto"/>
        <w:right w:val="none" w:sz="0" w:space="0" w:color="auto"/>
      </w:divBdr>
    </w:div>
    <w:div w:id="2067102422">
      <w:bodyDiv w:val="1"/>
      <w:marLeft w:val="0"/>
      <w:marRight w:val="0"/>
      <w:marTop w:val="0"/>
      <w:marBottom w:val="0"/>
      <w:divBdr>
        <w:top w:val="none" w:sz="0" w:space="0" w:color="auto"/>
        <w:left w:val="none" w:sz="0" w:space="0" w:color="auto"/>
        <w:bottom w:val="none" w:sz="0" w:space="0" w:color="auto"/>
        <w:right w:val="none" w:sz="0" w:space="0" w:color="auto"/>
      </w:divBdr>
    </w:div>
    <w:div w:id="210483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content/dam/web/en_us/www/documents/legal/Agreements/professional-service-agreements-and-terms/psa-infrastructure-and-subprocessors.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we:reference id="wa200008184" version="1.0.1" store="en-US" storeType="OMEX"/>
  <we:alternateReferences>
    <we:reference id="wa200008184" version="1.0.1" store="wa200008184" storeType="OMEX"/>
  </we:alternateReferences>
  <we:properties>
    <we:property name="ironcladData" value="&quot;eJxNzssKgkAYhuF7+dctnBrHpl0EHWhRBBkWEeM/ToSHkfGUivee6cb1+8D3tVAGJvvoBFZAYAZSYxEHSZ7B6tFClgsM+5IaLQvM/2wGqONUJPVB9oFRYaNijFiMMMLJglqSOyh6VmkTqkhXoxMOR3uJ1HeopQJuK6ksitPFwb2Yavjmsr0l2fF6DlDvIu87Qe54drBr31SNd9ozPl+7zb2Ow/JtoHt2PwZsRJ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3EA12-C6B2-4FBA-9A14-BC938EF28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6547</Words>
  <Characters>35355</Characters>
  <Application>Microsoft Office Word</Application>
  <DocSecurity>0</DocSecurity>
  <Lines>294</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salesforce inc</Company>
  <LinksUpToDate>false</LinksUpToDate>
  <CharactersWithSpaces>41819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Marron</dc:creator>
  <cp:keywords/>
  <dc:description/>
  <cp:lastModifiedBy>Nelson Stebulaitis Filho</cp:lastModifiedBy>
  <cp:revision>12</cp:revision>
  <dcterms:created xsi:type="dcterms:W3CDTF">2026-05-14T17:59:00Z</dcterms:created>
  <dcterms:modified xsi:type="dcterms:W3CDTF">2026-08-10T13:45:00Z</dcterms:modified>
</cp:coreProperties>
</file>