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CC5F28" w14:textId="77777777" w:rsidR="00211257" w:rsidRDefault="00000000">
      <w:pPr>
        <w:pStyle w:val="Ttulo1"/>
      </w:pPr>
      <w:r>
        <w:t>Visão Geral</w:t>
      </w:r>
    </w:p>
    <w:p w14:paraId="1F6B54EE" w14:textId="77777777" w:rsidR="00211257" w:rsidRDefault="00000000">
      <w:pPr>
        <w:pStyle w:val="Ttulo2"/>
      </w:pPr>
      <w:r>
        <w:t>Introdução</w:t>
      </w:r>
    </w:p>
    <w:p w14:paraId="73A5E84E" w14:textId="77777777" w:rsidR="00211257" w:rsidRDefault="00000000">
      <w:pPr>
        <w:rPr>
          <w:lang w:val="pt-BR"/>
        </w:rPr>
      </w:pPr>
      <w:r>
        <w:rPr>
          <w:lang w:val="pt-BR"/>
        </w:rPr>
        <w:t>Esta SOW (“SOW”) 05719988 descreve um conjunto de serviços (“Serviços Profissionais”) a serem fornecidos pela SFDC ao Cliente conforme definido abaixo. A SFDC reserva-se o direito de rejeitar esta SOW se não for assinada até August 31, 2026.</w:t>
      </w:r>
    </w:p>
    <w:p w14:paraId="3ECDDADE" w14:textId="77777777" w:rsidR="00211257" w:rsidRDefault="00000000">
      <w:pPr>
        <w:pStyle w:val="Ttulo2"/>
        <w:jc w:val="left"/>
      </w:pPr>
      <w:r>
        <w:t>“Cliente”</w:t>
      </w:r>
    </w:p>
    <w:p w14:paraId="7A524B17" w14:textId="77777777" w:rsidR="00211257" w:rsidRDefault="00000000">
      <w:pPr>
        <w:pStyle w:val="Ttulo3"/>
      </w:pPr>
      <w:r>
        <w:t xml:space="preserve">Cliente: </w:t>
      </w:r>
      <w:r>
        <w:rPr>
          <w:rFonts w:eastAsia="Arial"/>
          <w:color w:val="000000"/>
          <w:szCs w:val="18"/>
          <w:shd w:val="clear" w:color="auto" w:fill="FFFFFF"/>
        </w:rPr>
        <w:t>*Claro S.A.</w:t>
      </w:r>
    </w:p>
    <w:p w14:paraId="4217A665" w14:textId="235A4396" w:rsidR="00211257" w:rsidRDefault="00000000">
      <w:pPr>
        <w:pStyle w:val="Ttulo3"/>
        <w:rPr>
          <w:lang w:val="pt-BR"/>
        </w:rPr>
      </w:pPr>
      <w:r>
        <w:rPr>
          <w:lang w:val="pt-BR"/>
        </w:rPr>
        <w:t xml:space="preserve">Responsável ou Administrador de Contratos do Cliente:  Washington </w:t>
      </w:r>
      <w:proofErr w:type="spellStart"/>
      <w:r>
        <w:rPr>
          <w:lang w:val="pt-BR"/>
        </w:rPr>
        <w:t>Luis</w:t>
      </w:r>
      <w:proofErr w:type="spellEnd"/>
      <w:r>
        <w:rPr>
          <w:lang w:val="pt-BR"/>
        </w:rPr>
        <w:t xml:space="preserve"> Almeida, washington.almeida@claro.com.br</w:t>
      </w:r>
    </w:p>
    <w:p w14:paraId="20573FE5" w14:textId="109AA840" w:rsidR="00211257" w:rsidRDefault="00000000">
      <w:pPr>
        <w:pStyle w:val="Ttulo3"/>
      </w:pPr>
      <w:r>
        <w:t xml:space="preserve">Contato de Faturamento do Cliente:  </w:t>
      </w:r>
      <w:r>
        <w:rPr>
          <w:rFonts w:eastAsia="Arial"/>
          <w:color w:val="000000"/>
          <w:szCs w:val="18"/>
          <w:shd w:val="clear" w:color="auto" w:fill="FFFFFF"/>
        </w:rPr>
        <w:t xml:space="preserve">Anik Mercanti, RUA HENRI DUNANT, SAO PAULO, </w:t>
      </w:r>
      <w:r w:rsidR="004C5E56">
        <w:rPr>
          <w:rFonts w:eastAsia="Arial"/>
          <w:color w:val="000000"/>
          <w:szCs w:val="18"/>
          <w:shd w:val="clear" w:color="auto" w:fill="FFFFFF"/>
        </w:rPr>
        <w:t xml:space="preserve">SP, </w:t>
      </w:r>
      <w:r>
        <w:rPr>
          <w:rFonts w:eastAsia="Arial"/>
          <w:color w:val="000000"/>
          <w:szCs w:val="18"/>
          <w:shd w:val="clear" w:color="auto" w:fill="FFFFFF"/>
        </w:rPr>
        <w:t>04709</w:t>
      </w:r>
      <w:r w:rsidR="004C5E56">
        <w:rPr>
          <w:rFonts w:eastAsia="Arial"/>
          <w:color w:val="000000"/>
          <w:szCs w:val="18"/>
          <w:shd w:val="clear" w:color="auto" w:fill="FFFFFF"/>
        </w:rPr>
        <w:t>-</w:t>
      </w:r>
      <w:r>
        <w:rPr>
          <w:rFonts w:eastAsia="Arial"/>
          <w:color w:val="000000"/>
          <w:szCs w:val="18"/>
          <w:shd w:val="clear" w:color="auto" w:fill="FFFFFF"/>
        </w:rPr>
        <w:t xml:space="preserve">110, </w:t>
      </w:r>
      <w:proofErr w:type="spellStart"/>
      <w:r>
        <w:rPr>
          <w:rFonts w:eastAsia="Arial"/>
          <w:color w:val="000000"/>
          <w:szCs w:val="18"/>
          <w:shd w:val="clear" w:color="auto" w:fill="FFFFFF"/>
        </w:rPr>
        <w:t>Bra</w:t>
      </w:r>
      <w:r w:rsidR="004C5E56">
        <w:rPr>
          <w:rFonts w:eastAsia="Arial"/>
          <w:color w:val="000000"/>
          <w:szCs w:val="18"/>
          <w:shd w:val="clear" w:color="auto" w:fill="FFFFFF"/>
        </w:rPr>
        <w:t>s</w:t>
      </w:r>
      <w:r>
        <w:rPr>
          <w:rFonts w:eastAsia="Arial"/>
          <w:color w:val="000000"/>
          <w:szCs w:val="18"/>
          <w:shd w:val="clear" w:color="auto" w:fill="FFFFFF"/>
        </w:rPr>
        <w:t>il</w:t>
      </w:r>
      <w:proofErr w:type="spellEnd"/>
      <w:r>
        <w:rPr>
          <w:rFonts w:eastAsia="Arial"/>
          <w:color w:val="000000"/>
          <w:szCs w:val="18"/>
          <w:shd w:val="clear" w:color="auto" w:fill="FFFFFF"/>
        </w:rPr>
        <w:t>, annik.mercanti@claro.com.br</w:t>
      </w:r>
    </w:p>
    <w:p w14:paraId="4E3AE771" w14:textId="008F32C0" w:rsidR="00211257" w:rsidRDefault="00000000">
      <w:pPr>
        <w:pStyle w:val="Ttulo3"/>
      </w:pPr>
      <w:r>
        <w:rPr>
          <w:rFonts w:eastAsia="Arial"/>
          <w:color w:val="1F1F1F"/>
          <w:szCs w:val="18"/>
        </w:rPr>
        <w:t>Contato de envio do cliente:</w:t>
      </w:r>
      <w:proofErr w:type="gramStart"/>
      <w:r>
        <w:rPr>
          <w:rFonts w:eastAsia="Arial"/>
          <w:color w:val="000000"/>
          <w:szCs w:val="18"/>
          <w:shd w:val="clear" w:color="auto" w:fill="FFFFFF"/>
        </w:rPr>
        <w:t xml:space="preserve">  ,</w:t>
      </w:r>
      <w:proofErr w:type="gramEnd"/>
      <w:r>
        <w:rPr>
          <w:rFonts w:eastAsia="Arial"/>
          <w:color w:val="000000"/>
          <w:szCs w:val="18"/>
          <w:shd w:val="clear" w:color="auto" w:fill="FFFFFF"/>
        </w:rPr>
        <w:t xml:space="preserve"> RUA HENRI DUNANT, SAO PAULO, </w:t>
      </w:r>
      <w:r w:rsidR="004C5E56">
        <w:rPr>
          <w:rFonts w:eastAsia="Arial"/>
          <w:color w:val="000000"/>
          <w:szCs w:val="18"/>
          <w:shd w:val="clear" w:color="auto" w:fill="FFFFFF"/>
        </w:rPr>
        <w:t xml:space="preserve">SP, </w:t>
      </w:r>
      <w:r>
        <w:rPr>
          <w:rFonts w:eastAsia="Arial"/>
          <w:color w:val="000000"/>
          <w:szCs w:val="18"/>
          <w:shd w:val="clear" w:color="auto" w:fill="FFFFFF"/>
        </w:rPr>
        <w:t>04709</w:t>
      </w:r>
      <w:r w:rsidR="004C5E56">
        <w:rPr>
          <w:rFonts w:eastAsia="Arial"/>
          <w:color w:val="000000"/>
          <w:szCs w:val="18"/>
          <w:shd w:val="clear" w:color="auto" w:fill="FFFFFF"/>
        </w:rPr>
        <w:t>-</w:t>
      </w:r>
      <w:r>
        <w:rPr>
          <w:rFonts w:eastAsia="Arial"/>
          <w:color w:val="000000"/>
          <w:szCs w:val="18"/>
          <w:shd w:val="clear" w:color="auto" w:fill="FFFFFF"/>
        </w:rPr>
        <w:t xml:space="preserve">110, </w:t>
      </w:r>
      <w:proofErr w:type="spellStart"/>
      <w:r>
        <w:rPr>
          <w:rFonts w:eastAsia="Arial"/>
          <w:color w:val="000000"/>
          <w:szCs w:val="18"/>
          <w:shd w:val="clear" w:color="auto" w:fill="FFFFFF"/>
        </w:rPr>
        <w:t>Bra</w:t>
      </w:r>
      <w:r w:rsidR="004C5E56">
        <w:rPr>
          <w:rFonts w:eastAsia="Arial"/>
          <w:color w:val="000000"/>
          <w:szCs w:val="18"/>
          <w:shd w:val="clear" w:color="auto" w:fill="FFFFFF"/>
        </w:rPr>
        <w:t>s</w:t>
      </w:r>
      <w:r>
        <w:rPr>
          <w:rFonts w:eastAsia="Arial"/>
          <w:color w:val="000000"/>
          <w:szCs w:val="18"/>
          <w:shd w:val="clear" w:color="auto" w:fill="FFFFFF"/>
        </w:rPr>
        <w:t>il</w:t>
      </w:r>
      <w:proofErr w:type="spellEnd"/>
      <w:r>
        <w:rPr>
          <w:rFonts w:eastAsia="Arial"/>
          <w:color w:val="000000"/>
          <w:szCs w:val="18"/>
          <w:shd w:val="clear" w:color="auto" w:fill="FFFFFF"/>
        </w:rPr>
        <w:t xml:space="preserve">, annik.mercanti@claro.com.br </w:t>
      </w:r>
    </w:p>
    <w:p w14:paraId="44CDBD2E" w14:textId="77777777" w:rsidR="00211257" w:rsidRDefault="00000000">
      <w:pPr>
        <w:pStyle w:val="Ttulo2"/>
        <w:jc w:val="left"/>
      </w:pPr>
      <w:r>
        <w:t>“SFDC”</w:t>
      </w:r>
    </w:p>
    <w:p w14:paraId="23DF7377" w14:textId="77777777" w:rsidR="00211257" w:rsidRDefault="00000000">
      <w:pPr>
        <w:pStyle w:val="Ttulo3"/>
        <w:rPr>
          <w:lang w:val="pt-BR"/>
        </w:rPr>
      </w:pPr>
      <w:r>
        <w:rPr>
          <w:lang w:val="pt-BR"/>
        </w:rPr>
        <w:t>Entidade Legal da SFDC:  Salesforce Tecnologia Ltda.</w:t>
      </w:r>
    </w:p>
    <w:p w14:paraId="4E5D6955" w14:textId="77777777" w:rsidR="00211257" w:rsidRDefault="00000000">
      <w:pPr>
        <w:pStyle w:val="Ttulo3"/>
        <w:rPr>
          <w:lang w:val="pt-BR"/>
        </w:rPr>
      </w:pPr>
      <w:r>
        <w:rPr>
          <w:lang w:val="pt-BR"/>
        </w:rPr>
        <w:t>Contato de Vendas Principal da SFDC:  Juliana Brites, jbrites@salesforce.com</w:t>
      </w:r>
    </w:p>
    <w:p w14:paraId="709EB832" w14:textId="77777777" w:rsidR="00211257" w:rsidRDefault="00000000">
      <w:pPr>
        <w:pStyle w:val="Ttulo2"/>
        <w:jc w:val="left"/>
      </w:pPr>
      <w:r>
        <w:t>Definições</w:t>
      </w:r>
    </w:p>
    <w:p w14:paraId="140D3999" w14:textId="77777777" w:rsidR="00211257" w:rsidRDefault="00000000">
      <w:pPr>
        <w:rPr>
          <w:lang w:val="pt-BR"/>
        </w:rPr>
      </w:pPr>
      <w:r>
        <w:rPr>
          <w:lang w:val="pt-BR"/>
        </w:rPr>
        <w:t>Todos os termos em letras maiúsculas não definidos nesta SOW terão o significado estabelecido no Contrato.</w:t>
      </w:r>
    </w:p>
    <w:p w14:paraId="5A67578E" w14:textId="3DD8F89D" w:rsidR="00211257" w:rsidRDefault="00000000">
      <w:pPr>
        <w:pStyle w:val="Ttulo3"/>
        <w:numPr>
          <w:ilvl w:val="0"/>
          <w:numId w:val="16"/>
        </w:numPr>
        <w:rPr>
          <w:lang w:val="pt-BR"/>
        </w:rPr>
      </w:pPr>
      <w:r>
        <w:rPr>
          <w:lang w:val="pt-BR"/>
        </w:rPr>
        <w:t>“</w:t>
      </w:r>
      <w:r w:rsidR="004C5E56">
        <w:rPr>
          <w:b/>
          <w:lang w:val="pt-BR"/>
        </w:rPr>
        <w:t>Contrato”</w:t>
      </w:r>
      <w:r>
        <w:rPr>
          <w:lang w:val="pt-BR"/>
        </w:rPr>
        <w:t xml:space="preserve"> significa o Contrato de Serviços Profissionais firmado entre a SFDC e o Cliente (ou uma afiliada do Cliente) em </w:t>
      </w:r>
      <w:r w:rsidR="00477C7B">
        <w:rPr>
          <w:lang w:val="pt-BR"/>
        </w:rPr>
        <w:t xml:space="preserve">31 de </w:t>
      </w:r>
      <w:r w:rsidR="004C5E56">
        <w:rPr>
          <w:lang w:val="pt-BR"/>
        </w:rPr>
        <w:t>janeiro</w:t>
      </w:r>
      <w:r w:rsidR="00477C7B">
        <w:rPr>
          <w:lang w:val="pt-BR"/>
        </w:rPr>
        <w:t xml:space="preserve"> de 2026.</w:t>
      </w:r>
      <w:r>
        <w:rPr>
          <w:lang w:val="pt-BR"/>
        </w:rPr>
        <w:t xml:space="preserve"> </w:t>
      </w:r>
    </w:p>
    <w:p w14:paraId="4996CC89" w14:textId="77777777" w:rsidR="00211257" w:rsidRDefault="00000000">
      <w:pPr>
        <w:pStyle w:val="Ttulo3"/>
        <w:numPr>
          <w:ilvl w:val="0"/>
          <w:numId w:val="16"/>
        </w:numPr>
        <w:rPr>
          <w:lang w:val="pt-BR"/>
        </w:rPr>
      </w:pPr>
      <w:r>
        <w:rPr>
          <w:b/>
          <w:lang w:val="pt-BR"/>
        </w:rPr>
        <w:t>"Aplicação"</w:t>
      </w:r>
      <w:r>
        <w:rPr>
          <w:lang w:val="pt-BR"/>
        </w:rPr>
        <w:t xml:space="preserve"> significa qualquer serviço online, baseado na web e componentes on-premises offline disponibilizados pela SFDC ou qualquer Afiliada da SFDC ao Cliente sob um contrato separado em vigor entre o Cliente e a SFDC ou qualquer Afiliada da SFDC. </w:t>
      </w:r>
    </w:p>
    <w:p w14:paraId="39317777" w14:textId="77777777" w:rsidR="00211257" w:rsidRDefault="00000000">
      <w:pPr>
        <w:pStyle w:val="Ttulo3"/>
        <w:numPr>
          <w:ilvl w:val="0"/>
          <w:numId w:val="16"/>
        </w:numPr>
        <w:rPr>
          <w:lang w:val="pt-BR"/>
        </w:rPr>
      </w:pPr>
      <w:r>
        <w:rPr>
          <w:b/>
          <w:lang w:val="pt-BR"/>
        </w:rPr>
        <w:t>“Pedido de Alteração”</w:t>
      </w:r>
      <w:r>
        <w:rPr>
          <w:lang w:val="pt-BR"/>
        </w:rPr>
        <w:t xml:space="preserve"> é uma emenda formal a esta SOW gerada pela SFDC e assinada por ambas as partes.</w:t>
      </w:r>
    </w:p>
    <w:p w14:paraId="39C0E5F3" w14:textId="77777777" w:rsidR="00211257" w:rsidRDefault="00000000">
      <w:pPr>
        <w:pStyle w:val="Ttulo3"/>
        <w:numPr>
          <w:ilvl w:val="0"/>
          <w:numId w:val="16"/>
        </w:numPr>
        <w:rPr>
          <w:lang w:val="pt-BR"/>
        </w:rPr>
      </w:pPr>
      <w:r>
        <w:rPr>
          <w:b/>
          <w:lang w:val="pt-BR"/>
        </w:rPr>
        <w:t>“Data de Vigência”</w:t>
      </w:r>
      <w:r>
        <w:rPr>
          <w:lang w:val="pt-BR"/>
        </w:rPr>
        <w:t xml:space="preserve"> será a última das respectivas datas de assinaturas desta SOW pelas partes e do recebimento da PO, se exigido pelo Cliente ou pela SFDC.</w:t>
      </w:r>
    </w:p>
    <w:p w14:paraId="38426D53" w14:textId="77777777" w:rsidR="00211257" w:rsidRDefault="00000000">
      <w:pPr>
        <w:pStyle w:val="Ttulo3"/>
        <w:numPr>
          <w:ilvl w:val="0"/>
          <w:numId w:val="16"/>
        </w:numPr>
        <w:rPr>
          <w:b/>
          <w:lang w:val="pt-BR"/>
        </w:rPr>
      </w:pPr>
      <w:r>
        <w:rPr>
          <w:b/>
          <w:lang w:val="pt-BR"/>
        </w:rPr>
        <w:t xml:space="preserve">“Honorários” </w:t>
      </w:r>
      <w:r>
        <w:rPr>
          <w:lang w:val="pt-BR"/>
        </w:rPr>
        <w:t>significam os honorários de Serviços Profissionais de acordo com o desempenho desta SOW</w:t>
      </w:r>
      <w:r>
        <w:rPr>
          <w:b/>
          <w:lang w:val="pt-BR"/>
        </w:rPr>
        <w:t>.</w:t>
      </w:r>
    </w:p>
    <w:p w14:paraId="6768DF05" w14:textId="77777777" w:rsidR="00211257" w:rsidRDefault="00000000">
      <w:pPr>
        <w:pStyle w:val="Ttulo3"/>
        <w:numPr>
          <w:ilvl w:val="0"/>
          <w:numId w:val="16"/>
        </w:numPr>
        <w:rPr>
          <w:lang w:val="pt-BR"/>
        </w:rPr>
      </w:pPr>
      <w:r>
        <w:rPr>
          <w:b/>
          <w:lang w:val="pt-BR"/>
        </w:rPr>
        <w:t>“Prazo da SOW”</w:t>
      </w:r>
      <w:r>
        <w:rPr>
          <w:lang w:val="pt-BR"/>
        </w:rPr>
        <w:t xml:space="preserve"> significa a duração do desempenho dos Serviços Profissionais de acordo com esta SOW e qualquer Pedido de Alteração.</w:t>
      </w:r>
    </w:p>
    <w:p w14:paraId="3D40A2CD" w14:textId="77777777" w:rsidR="00211257" w:rsidRDefault="00000000">
      <w:pPr>
        <w:pStyle w:val="Ttulo3"/>
        <w:numPr>
          <w:ilvl w:val="0"/>
          <w:numId w:val="16"/>
        </w:numPr>
        <w:rPr>
          <w:lang w:val="pt-BR"/>
        </w:rPr>
      </w:pPr>
      <w:r>
        <w:rPr>
          <w:b/>
          <w:lang w:val="pt-BR"/>
        </w:rPr>
        <w:t>“T&amp;E”</w:t>
      </w:r>
      <w:r>
        <w:rPr>
          <w:lang w:val="pt-BR"/>
        </w:rPr>
        <w:t xml:space="preserve"> significa todas as despesas relacionadas com viagens e outras despesas, incluindo, mas não se limitando ao transporte, quilometragem e despesas razoáveis desembolsadas, incorridas pela SFDC na execução dos Serviços Profissionais. </w:t>
      </w:r>
    </w:p>
    <w:p w14:paraId="73B26018" w14:textId="77777777" w:rsidR="00211257" w:rsidRDefault="00000000">
      <w:pPr>
        <w:pStyle w:val="Ttulo1"/>
        <w:jc w:val="left"/>
      </w:pPr>
      <w:r>
        <w:t>Escopo</w:t>
      </w:r>
    </w:p>
    <w:p w14:paraId="1D1D7FD1" w14:textId="77777777" w:rsidR="00211257" w:rsidRDefault="00000000">
      <w:pPr>
        <w:ind w:left="0" w:firstLine="720"/>
        <w:rPr>
          <w:lang w:val="pt-BR"/>
        </w:rPr>
      </w:pPr>
      <w:r>
        <w:rPr>
          <w:lang w:val="pt-BR"/>
        </w:rPr>
        <w:t xml:space="preserve">Sujeito aos termos desta SOW e do Contrato, a SFDC prestará os Serviços Profissionais estabelecidos abaixo nesta Seção 2.  </w:t>
      </w:r>
    </w:p>
    <w:p w14:paraId="0FBD3B96" w14:textId="77777777" w:rsidR="00211257" w:rsidRDefault="00000000">
      <w:pPr>
        <w:pStyle w:val="Ttulo2"/>
        <w:keepNext/>
        <w:keepLines/>
        <w:ind w:left="1026" w:hanging="576"/>
        <w:contextualSpacing w:val="0"/>
        <w:jc w:val="left"/>
      </w:pPr>
      <w:r>
        <w:t xml:space="preserve">Histórico/Objetivo </w:t>
      </w:r>
    </w:p>
    <w:p w14:paraId="69A3A7FB" w14:textId="77777777" w:rsidR="00211257" w:rsidRDefault="00000000">
      <w:pPr>
        <w:ind w:left="810"/>
        <w:rPr>
          <w:lang w:val="pt-BR"/>
        </w:rPr>
      </w:pPr>
      <w:r>
        <w:rPr>
          <w:lang w:val="pt-BR"/>
        </w:rPr>
        <w:t>Os objetivos comerciais de alto nível do Cliente para estes Serviços Profissionais estão resumidos abaixo.  Estes objetivos são apenas para fins informativos (não uma obrigação do Cliente ou da SFDC).</w:t>
      </w:r>
    </w:p>
    <w:p w14:paraId="467034C1" w14:textId="065C4FC3" w:rsidR="00211257" w:rsidRDefault="00000000">
      <w:pPr>
        <w:ind w:left="810"/>
        <w:rPr>
          <w:lang w:val="pt-BR"/>
        </w:rPr>
      </w:pPr>
      <w:r>
        <w:rPr>
          <w:lang w:val="pt-BR"/>
        </w:rPr>
        <w:t xml:space="preserve">Em alto nível, o Cliente pretende atingir os seguintes objetivos de negócio:  </w:t>
      </w:r>
    </w:p>
    <w:p w14:paraId="59A4B185" w14:textId="68669472" w:rsidR="00211257" w:rsidRDefault="00736AFD">
      <w:pPr>
        <w:pStyle w:val="PargrafodaLista"/>
        <w:numPr>
          <w:ilvl w:val="3"/>
          <w:numId w:val="2"/>
        </w:numPr>
        <w:rPr>
          <w:lang w:val="pt-BR"/>
        </w:rPr>
      </w:pPr>
      <w:r>
        <w:rPr>
          <w:lang w:val="pt-BR"/>
        </w:rPr>
        <w:t>&lt;Sugerir objetivos do cliente&gt;</w:t>
      </w:r>
    </w:p>
    <w:p w14:paraId="1E3B1A41" w14:textId="77777777" w:rsidR="00211257" w:rsidRDefault="00000000">
      <w:pPr>
        <w:pStyle w:val="Ttulo2"/>
        <w:jc w:val="left"/>
      </w:pPr>
      <w:r>
        <w:t xml:space="preserve">Serviços de </w:t>
      </w:r>
      <w:proofErr w:type="spellStart"/>
      <w:r>
        <w:t>Implementação</w:t>
      </w:r>
      <w:proofErr w:type="spellEnd"/>
    </w:p>
    <w:p w14:paraId="5C6AE868" w14:textId="77777777" w:rsidR="00211257" w:rsidRDefault="00000000">
      <w:pPr>
        <w:rPr>
          <w:lang w:val="pt-BR"/>
        </w:rPr>
      </w:pPr>
      <w:r>
        <w:rPr>
          <w:lang w:val="pt-BR"/>
        </w:rPr>
        <w:t>A SFDC irá configurar a Aplicação conforme definido abaixo (“Serviços de Implementação”) usando a metodologia de entrega da SFDC descrita na Seção 3.</w:t>
      </w:r>
    </w:p>
    <w:p w14:paraId="0C62D1D9" w14:textId="77777777" w:rsidR="00211257" w:rsidRDefault="00211257">
      <w:pPr>
        <w:spacing w:after="120" w:line="240" w:lineRule="auto"/>
        <w:ind w:left="2088"/>
        <w:outlineLvl w:val="2"/>
        <w:rPr>
          <w:rFonts w:eastAsia="Arial"/>
          <w:b/>
          <w:color w:val="000000"/>
          <w:szCs w:val="18"/>
          <w:lang w:val="en"/>
        </w:rPr>
      </w:pPr>
      <w:bookmarkStart w:id="0" w:name="_Hlk207827082"/>
    </w:p>
    <w:bookmarkEnd w:id="0"/>
    <w:p w14:paraId="01F1B0AE" w14:textId="77777777" w:rsidR="00211257" w:rsidRDefault="00000000">
      <w:pPr>
        <w:pStyle w:val="Ttulo3"/>
        <w:rPr>
          <w:b/>
        </w:rPr>
      </w:pPr>
      <w:r>
        <w:rPr>
          <w:b/>
        </w:rPr>
        <w:t>Salesforce Industries (SFI) Services - Communication Cloud</w:t>
      </w:r>
    </w:p>
    <w:p w14:paraId="3013A3A8" w14:textId="77777777" w:rsidR="00211257" w:rsidRDefault="00000000">
      <w:pPr>
        <w:pStyle w:val="Ttulo4"/>
        <w:jc w:val="left"/>
      </w:pPr>
      <w:r>
        <w:t>SFI - Communication Cloud - EPC/Product Catalog</w:t>
      </w:r>
    </w:p>
    <w:p w14:paraId="7C7A3075" w14:textId="77777777" w:rsidR="00211257" w:rsidRDefault="00000000">
      <w:pPr>
        <w:spacing w:after="120" w:line="240" w:lineRule="auto"/>
        <w:ind w:left="1728"/>
        <w:outlineLvl w:val="2"/>
        <w:rPr>
          <w:b/>
          <w:lang w:val="pt-BR"/>
        </w:rPr>
      </w:pPr>
      <w:r>
        <w:rPr>
          <w:b/>
          <w:lang w:val="pt-BR"/>
        </w:rPr>
        <w:t xml:space="preserve">Descrição </w:t>
      </w:r>
    </w:p>
    <w:p w14:paraId="76A1F3D5" w14:textId="77777777" w:rsidR="00211257" w:rsidRDefault="00000000">
      <w:pPr>
        <w:spacing w:after="120" w:line="240" w:lineRule="auto"/>
        <w:ind w:left="1728"/>
        <w:outlineLvl w:val="2"/>
        <w:rPr>
          <w:lang w:val="pt-BR"/>
        </w:rPr>
      </w:pPr>
      <w:r>
        <w:rPr>
          <w:rFonts w:eastAsia="Arial"/>
          <w:color w:val="000000"/>
          <w:szCs w:val="18"/>
          <w:lang w:val="pt-BR"/>
        </w:rPr>
        <w:t xml:space="preserve">A SFDC configurará até </w:t>
      </w:r>
      <w:r>
        <w:rPr>
          <w:rFonts w:eastAsia="Arial"/>
          <w:color w:val="000000"/>
          <w:szCs w:val="18"/>
          <w:shd w:val="clear" w:color="auto" w:fill="FFFF00"/>
          <w:lang w:val="pt-BR"/>
        </w:rPr>
        <w:t>&lt;número (X)&gt;</w:t>
      </w:r>
      <w:r>
        <w:rPr>
          <w:rFonts w:eastAsia="Arial"/>
          <w:color w:val="000000"/>
          <w:szCs w:val="18"/>
          <w:lang w:val="pt-BR"/>
        </w:rPr>
        <w:t xml:space="preserve"> produtos.  Configuração e suporte para Ofertas e Promoções. Os produtos serão precificados no EPC, usando a Comms Cloud como o catálogo comercial principal.</w:t>
      </w:r>
    </w:p>
    <w:p w14:paraId="3E1431D5" w14:textId="77777777" w:rsidR="00211257" w:rsidRDefault="00000000">
      <w:pPr>
        <w:spacing w:after="120" w:line="240" w:lineRule="auto"/>
        <w:ind w:left="1728"/>
        <w:outlineLvl w:val="2"/>
        <w:rPr>
          <w:b/>
          <w:lang w:val="pt-BR"/>
        </w:rPr>
      </w:pPr>
      <w:r>
        <w:rPr>
          <w:b/>
          <w:lang w:val="pt-BR"/>
        </w:rPr>
        <w:t>Premissas</w:t>
      </w:r>
    </w:p>
    <w:p w14:paraId="27C8912C" w14:textId="77777777" w:rsidR="00211257" w:rsidRDefault="00000000">
      <w:pPr>
        <w:spacing w:after="120" w:line="240" w:lineRule="auto"/>
        <w:ind w:left="1728"/>
        <w:outlineLvl w:val="2"/>
        <w:rPr>
          <w:lang w:val="pt-BR"/>
        </w:rPr>
      </w:pPr>
      <w:r>
        <w:rPr>
          <w:rFonts w:eastAsia="Arial"/>
          <w:color w:val="000000"/>
          <w:szCs w:val="18"/>
          <w:lang w:val="pt-BR"/>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Pr>
          <w:rFonts w:eastAsia="Arial"/>
          <w:color w:val="000000"/>
          <w:szCs w:val="18"/>
          <w:shd w:val="clear" w:color="auto" w:fill="FFFF00"/>
          <w:lang w:val="pt-BR"/>
        </w:rPr>
        <w:t>Aplicativos X</w:t>
      </w:r>
      <w:r>
        <w:rPr>
          <w:rFonts w:eastAsia="Arial"/>
          <w:color w:val="000000"/>
          <w:szCs w:val="18"/>
          <w:lang w:val="pt-BR"/>
        </w:rPr>
        <w:t xml:space="preserve">, </w:t>
      </w:r>
      <w:r>
        <w:rPr>
          <w:rFonts w:eastAsia="Arial"/>
          <w:color w:val="000000"/>
          <w:szCs w:val="18"/>
          <w:shd w:val="clear" w:color="auto" w:fill="FFFF00"/>
          <w:lang w:val="pt-BR"/>
        </w:rPr>
        <w:t>pontos de integrações Y</w:t>
      </w:r>
      <w:r>
        <w:rPr>
          <w:rFonts w:eastAsia="Arial"/>
          <w:color w:val="000000"/>
          <w:szCs w:val="18"/>
          <w:lang w:val="pt-BR"/>
        </w:rPr>
        <w:t xml:space="preserve"> (que são baseados em REST ou na Web) e disponíveis pelo</w:t>
      </w:r>
      <w:r>
        <w:rPr>
          <w:rFonts w:eastAsia="Arial"/>
          <w:color w:val="000000"/>
          <w:szCs w:val="18"/>
          <w:shd w:val="clear" w:color="auto" w:fill="FFFF00"/>
          <w:lang w:val="pt-BR"/>
        </w:rPr>
        <w:t xml:space="preserve"> Sprint X.</w:t>
      </w:r>
    </w:p>
    <w:p w14:paraId="547601D3" w14:textId="77777777" w:rsidR="00211257" w:rsidRDefault="00000000">
      <w:pPr>
        <w:spacing w:after="120" w:line="240" w:lineRule="auto"/>
        <w:ind w:left="1728"/>
        <w:outlineLvl w:val="2"/>
      </w:pPr>
      <w:r>
        <w:rPr>
          <w:rFonts w:eastAsia="Arial"/>
          <w:color w:val="000000"/>
          <w:szCs w:val="18"/>
          <w:lang w:val="pt-BR"/>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p>
    <w:p w14:paraId="4E30E85F" w14:textId="77777777" w:rsidR="00211257" w:rsidRDefault="00000000">
      <w:pPr>
        <w:pStyle w:val="Ttulo4"/>
        <w:jc w:val="left"/>
      </w:pPr>
      <w:r>
        <w:t>SFI - Communication Cloud - CPQ</w:t>
      </w:r>
    </w:p>
    <w:p w14:paraId="454F73DB" w14:textId="77777777" w:rsidR="00211257" w:rsidRDefault="00000000">
      <w:pPr>
        <w:spacing w:after="120" w:line="240" w:lineRule="auto"/>
        <w:ind w:left="1728"/>
        <w:outlineLvl w:val="2"/>
        <w:rPr>
          <w:b/>
        </w:rPr>
      </w:pPr>
      <w:r>
        <w:rPr>
          <w:b/>
        </w:rPr>
        <w:t xml:space="preserve">Descrição </w:t>
      </w:r>
    </w:p>
    <w:p w14:paraId="141C6F41" w14:textId="77777777" w:rsidR="00211257" w:rsidRDefault="00000000">
      <w:pPr>
        <w:spacing w:after="120" w:line="240" w:lineRule="auto"/>
        <w:ind w:left="1728"/>
        <w:outlineLvl w:val="2"/>
        <w:rPr>
          <w:lang w:val="pt-BR"/>
        </w:rPr>
      </w:pPr>
      <w:r>
        <w:rPr>
          <w:rFonts w:eastAsia="Arial"/>
          <w:color w:val="000000"/>
          <w:szCs w:val="18"/>
          <w:lang w:val="pt-BR"/>
        </w:rPr>
        <w:t>A SFDC utilizará os recursos prontos para uso do Carrinho para dar suporte às funções de configuração, preço e cotação. A SFDC dará suporte ao Cliente/SI para criar a interface do usuário de Cotação para Pedido utilizando as capacidades de EPC/CPQ e API.</w:t>
      </w:r>
    </w:p>
    <w:p w14:paraId="21E4CA29" w14:textId="77777777" w:rsidR="00211257" w:rsidRDefault="00000000">
      <w:pPr>
        <w:spacing w:after="120" w:line="240" w:lineRule="auto"/>
        <w:ind w:left="1728"/>
        <w:outlineLvl w:val="2"/>
        <w:rPr>
          <w:b/>
          <w:lang w:val="pt-BR"/>
        </w:rPr>
      </w:pPr>
      <w:r>
        <w:rPr>
          <w:b/>
          <w:lang w:val="pt-BR"/>
        </w:rPr>
        <w:t>Premissas</w:t>
      </w:r>
    </w:p>
    <w:p w14:paraId="612C4D8D" w14:textId="77777777" w:rsidR="00211257" w:rsidRDefault="00000000">
      <w:pPr>
        <w:spacing w:after="120" w:line="240" w:lineRule="auto"/>
        <w:ind w:left="1728"/>
        <w:outlineLvl w:val="2"/>
        <w:rPr>
          <w:lang w:val="pt-BR"/>
        </w:rPr>
      </w:pPr>
      <w:r>
        <w:rPr>
          <w:rFonts w:eastAsia="Arial"/>
          <w:color w:val="000000"/>
          <w:szCs w:val="18"/>
          <w:lang w:val="pt-BR"/>
        </w:rPr>
        <w:t>As interfaces com sistemas externos em todos os processos de Cotação para pedido devem ser concluídas pelo Cliente ou o SI (com suporte de Arquitetos do Salesforce Industries), incluindo, mas não se limitando à: validação de endereço, verificação de capacidade de serviço, verificação de crédito/fraude, pagamentos, verificação de inventário.</w:t>
      </w:r>
    </w:p>
    <w:p w14:paraId="7BA7FF13" w14:textId="77777777" w:rsidR="00211257" w:rsidRDefault="00000000">
      <w:pPr>
        <w:spacing w:after="120" w:line="240" w:lineRule="auto"/>
        <w:ind w:left="1728"/>
        <w:outlineLvl w:val="2"/>
        <w:rPr>
          <w:lang w:val="pt-BR"/>
        </w:rPr>
      </w:pPr>
      <w:r>
        <w:rPr>
          <w:rFonts w:eastAsia="Arial"/>
          <w:color w:val="000000"/>
          <w:szCs w:val="18"/>
          <w:lang w:val="pt-BR"/>
        </w:rPr>
        <w:t xml:space="preserve">Desenvolvimento: O Cliente ou o SI (geralmente) é responsável por todas as Descrição de DevOps. O Salesforce Industries sempre usará a capacidade nativa do produto disponível em geral (GA) do Salesforce Industries em vez de opções personalizadas:   </w:t>
      </w:r>
      <w:r>
        <w:rPr>
          <w:rFonts w:eastAsia="Arial"/>
          <w:color w:val="000000"/>
          <w:szCs w:val="18"/>
          <w:shd w:val="clear" w:color="auto" w:fill="FFFF00"/>
          <w:lang w:val="pt-BR"/>
        </w:rPr>
        <w:t>Aplicativos X</w:t>
      </w:r>
      <w:r>
        <w:rPr>
          <w:rFonts w:eastAsia="Arial"/>
          <w:color w:val="000000"/>
          <w:szCs w:val="18"/>
          <w:lang w:val="pt-BR"/>
        </w:rPr>
        <w:t xml:space="preserve">, </w:t>
      </w:r>
      <w:r>
        <w:rPr>
          <w:rFonts w:eastAsia="Arial"/>
          <w:color w:val="000000"/>
          <w:szCs w:val="18"/>
          <w:shd w:val="clear" w:color="auto" w:fill="FFFF00"/>
          <w:lang w:val="pt-BR"/>
        </w:rPr>
        <w:t>pontos de integrações Y</w:t>
      </w:r>
      <w:r>
        <w:rPr>
          <w:rFonts w:eastAsia="Arial"/>
          <w:color w:val="000000"/>
          <w:szCs w:val="18"/>
          <w:lang w:val="pt-BR"/>
        </w:rPr>
        <w:t xml:space="preserve"> (que são baseados em REST ou na Web) e disponíveis pelo</w:t>
      </w:r>
      <w:r>
        <w:rPr>
          <w:rFonts w:eastAsia="Arial"/>
          <w:color w:val="000000"/>
          <w:szCs w:val="18"/>
          <w:shd w:val="clear" w:color="auto" w:fill="FFFF00"/>
          <w:lang w:val="pt-BR"/>
        </w:rPr>
        <w:t xml:space="preserve"> Sprint X.</w:t>
      </w:r>
    </w:p>
    <w:p w14:paraId="76F16878" w14:textId="77777777" w:rsidR="00211257" w:rsidRDefault="00000000">
      <w:pPr>
        <w:spacing w:after="120" w:line="240" w:lineRule="auto"/>
        <w:ind w:left="1728"/>
        <w:outlineLvl w:val="2"/>
      </w:pPr>
      <w:r>
        <w:rPr>
          <w:rFonts w:eastAsia="Arial"/>
          <w:color w:val="000000"/>
          <w:szCs w:val="18"/>
          <w:lang w:val="pt-BR"/>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p>
    <w:p w14:paraId="2641CB71" w14:textId="77777777" w:rsidR="00211257" w:rsidRDefault="00000000">
      <w:pPr>
        <w:spacing w:after="120" w:line="240" w:lineRule="auto"/>
        <w:ind w:left="1224"/>
        <w:outlineLvl w:val="2"/>
        <w:rPr>
          <w:szCs w:val="18"/>
        </w:rPr>
      </w:pPr>
      <w:r>
        <w:rPr>
          <w:b/>
        </w:rPr>
        <w:t>Production Deployment.</w:t>
      </w:r>
      <w:r>
        <w:t xml:space="preserve"> Following Customer agreement to go-live, the configured Application will be migrated to Production</w:t>
      </w:r>
      <w:r>
        <w:rPr>
          <w:szCs w:val="18"/>
        </w:rPr>
        <w:t xml:space="preserve">, based on deployment instructions created by SFDC.  </w:t>
      </w:r>
      <w:r>
        <w:rPr>
          <w:color w:val="000000"/>
          <w:szCs w:val="18"/>
        </w:rPr>
        <w:t>Customer will implement the production version of the configured Application and is responsible for migrating the customizations between testing environments and production based on deployment instructions created by SFDC.</w:t>
      </w:r>
    </w:p>
    <w:p w14:paraId="45266DAA" w14:textId="77777777" w:rsidR="00211257" w:rsidRDefault="00000000">
      <w:pPr>
        <w:pStyle w:val="Ttulo3"/>
      </w:pPr>
      <w:r>
        <w:rPr>
          <w:b/>
        </w:rPr>
        <w:t>System Documentation.</w:t>
      </w:r>
      <w:r>
        <w:t xml:space="preserve"> </w:t>
      </w:r>
      <w:r>
        <w:rPr>
          <w:color w:val="000000"/>
          <w:shd w:val="clear" w:color="auto" w:fill="FFFFFF"/>
        </w:rPr>
        <w:t>SFDC will provide updated Design Documents that reflect the production state of the SFDC configured Application.</w:t>
      </w:r>
    </w:p>
    <w:p w14:paraId="6E49F4C3" w14:textId="77777777" w:rsidR="00211257" w:rsidRDefault="00000000">
      <w:pPr>
        <w:pStyle w:val="Ttulo2"/>
        <w:jc w:val="left"/>
        <w:rPr>
          <w:lang w:val="pt-BR"/>
        </w:rPr>
      </w:pPr>
      <w:r>
        <w:rPr>
          <w:lang w:val="pt-BR"/>
        </w:rPr>
        <w:t>Premissas e Exclusões de Escopo</w:t>
      </w:r>
    </w:p>
    <w:p w14:paraId="263FCD29" w14:textId="77777777" w:rsidR="00211257" w:rsidRDefault="00000000">
      <w:pPr>
        <w:pStyle w:val="Ttulo3"/>
      </w:pPr>
      <w:r>
        <w:rPr>
          <w:b/>
        </w:rPr>
        <w:t>Premissas de Escopo</w:t>
      </w:r>
    </w:p>
    <w:p w14:paraId="78AE5C28" w14:textId="77777777" w:rsidR="00211257" w:rsidRDefault="00000000">
      <w:pPr>
        <w:pStyle w:val="PargrafodaLista"/>
        <w:numPr>
          <w:ilvl w:val="0"/>
          <w:numId w:val="17"/>
        </w:numPr>
        <w:spacing w:after="0" w:line="240" w:lineRule="auto"/>
        <w:rPr>
          <w:szCs w:val="20"/>
          <w:lang w:val="pt-BR"/>
        </w:rPr>
      </w:pPr>
      <w:r>
        <w:rPr>
          <w:lang w:val="pt-BR"/>
        </w:rPr>
        <w:t>O escopo pode ser limitado pela complexidade dos requisitos técnicos e modelos de dados do Cliente, bem como pela funcionalidade e recursos da Aplicação.</w:t>
      </w:r>
      <w:r>
        <w:rPr>
          <w:rFonts w:eastAsia="Arial"/>
          <w:color w:val="1C212B"/>
          <w:szCs w:val="18"/>
          <w:shd w:val="clear" w:color="auto" w:fill="FFFFFF"/>
          <w:lang w:val="pt-BR"/>
        </w:rPr>
        <w:t xml:space="preserve"> </w:t>
      </w:r>
    </w:p>
    <w:p w14:paraId="5412688F" w14:textId="77777777" w:rsidR="00211257" w:rsidRDefault="00000000">
      <w:pPr>
        <w:pStyle w:val="PargrafodaLista"/>
        <w:numPr>
          <w:ilvl w:val="0"/>
          <w:numId w:val="17"/>
        </w:numPr>
        <w:spacing w:after="0" w:line="240" w:lineRule="auto"/>
        <w:rPr>
          <w:szCs w:val="20"/>
          <w:lang w:val="pt-BR"/>
        </w:rPr>
      </w:pPr>
      <w:r>
        <w:rPr>
          <w:lang w:val="pt-BR"/>
        </w:rPr>
        <w:t>Os recursos padrão serão usados sempre que for razoavelmente possível</w:t>
      </w:r>
      <w:r>
        <w:rPr>
          <w:szCs w:val="20"/>
          <w:lang w:val="pt-BR"/>
        </w:rPr>
        <w:t>.</w:t>
      </w:r>
    </w:p>
    <w:p w14:paraId="614223B8" w14:textId="77777777" w:rsidR="00211257" w:rsidRDefault="00000000">
      <w:pPr>
        <w:pStyle w:val="PargrafodaLista"/>
        <w:numPr>
          <w:ilvl w:val="0"/>
          <w:numId w:val="17"/>
        </w:numPr>
        <w:spacing w:after="0" w:line="240" w:lineRule="auto"/>
        <w:rPr>
          <w:szCs w:val="20"/>
          <w:lang w:val="pt-BR"/>
        </w:rPr>
      </w:pPr>
      <w:r>
        <w:rPr>
          <w:lang w:val="pt-BR"/>
        </w:rPr>
        <w:t>A configuração cliques sem Código será usada sempre que for razoavelmente possível</w:t>
      </w:r>
      <w:r>
        <w:rPr>
          <w:szCs w:val="20"/>
          <w:lang w:val="pt-BR"/>
        </w:rPr>
        <w:t>.</w:t>
      </w:r>
    </w:p>
    <w:p w14:paraId="416127A7" w14:textId="77777777" w:rsidR="00211257" w:rsidRDefault="00000000">
      <w:pPr>
        <w:pStyle w:val="PargrafodaLista"/>
        <w:numPr>
          <w:ilvl w:val="0"/>
          <w:numId w:val="17"/>
        </w:numPr>
        <w:spacing w:after="0" w:line="240" w:lineRule="auto"/>
        <w:rPr>
          <w:szCs w:val="20"/>
        </w:rPr>
      </w:pPr>
      <w:r>
        <w:rPr>
          <w:rFonts w:eastAsia="Arial"/>
          <w:color w:val="1C212B"/>
          <w:szCs w:val="18"/>
          <w:shd w:val="clear" w:color="auto" w:fill="FFFFFF"/>
          <w:lang w:val="pt-BR"/>
        </w:rPr>
        <w:t xml:space="preserve">Código personalizado será usado somente se a SFDC considerar necessário. </w:t>
      </w:r>
    </w:p>
    <w:p w14:paraId="473B1B64" w14:textId="77777777" w:rsidR="00211257" w:rsidRDefault="00000000">
      <w:pPr>
        <w:pStyle w:val="PargrafodaLista"/>
        <w:numPr>
          <w:ilvl w:val="0"/>
          <w:numId w:val="17"/>
        </w:numPr>
        <w:spacing w:after="0" w:line="240" w:lineRule="auto"/>
        <w:rPr>
          <w:szCs w:val="20"/>
          <w:lang w:val="pt-BR"/>
        </w:rPr>
      </w:pPr>
      <w:r>
        <w:rPr>
          <w:lang w:val="pt-BR"/>
        </w:rPr>
        <w:t>O escopo assume um único idioma e uma única moeda, conforme aplicável</w:t>
      </w:r>
      <w:r>
        <w:rPr>
          <w:rFonts w:eastAsia="Arial"/>
          <w:color w:val="1C212B"/>
          <w:szCs w:val="18"/>
          <w:shd w:val="clear" w:color="auto" w:fill="FFFFFF"/>
          <w:lang w:val="pt-BR"/>
        </w:rPr>
        <w:t xml:space="preserve"> </w:t>
      </w:r>
    </w:p>
    <w:p w14:paraId="4196B07B" w14:textId="77777777" w:rsidR="00211257" w:rsidRDefault="00000000">
      <w:pPr>
        <w:pStyle w:val="Ttulo3"/>
      </w:pPr>
      <w:r>
        <w:rPr>
          <w:b/>
        </w:rPr>
        <w:t>Exclusões de Escopo</w:t>
      </w:r>
    </w:p>
    <w:p w14:paraId="4CFD40C4" w14:textId="77777777" w:rsidR="00211257" w:rsidRDefault="00000000">
      <w:pPr>
        <w:pStyle w:val="PargrafodaLista"/>
        <w:numPr>
          <w:ilvl w:val="0"/>
          <w:numId w:val="18"/>
        </w:numPr>
        <w:spacing w:after="0" w:line="240" w:lineRule="auto"/>
        <w:rPr>
          <w:lang w:val="pt-BR"/>
        </w:rPr>
      </w:pPr>
      <w:r>
        <w:rPr>
          <w:lang w:val="pt-BR"/>
        </w:rPr>
        <w:t>Qualquer trabalho não especificado nesta SOW é considerado fora de escopo, incluindo, sem limitação:</w:t>
      </w:r>
    </w:p>
    <w:p w14:paraId="2AAA7021" w14:textId="77777777" w:rsidR="00211257" w:rsidRDefault="00000000">
      <w:pPr>
        <w:pStyle w:val="PargrafodaLista"/>
        <w:spacing w:after="0" w:line="240" w:lineRule="auto"/>
        <w:ind w:left="1800"/>
        <w:rPr>
          <w:szCs w:val="20"/>
          <w:lang w:val="pt-BR"/>
        </w:rPr>
      </w:pPr>
      <w:r>
        <w:rPr>
          <w:lang w:val="pt-BR"/>
        </w:rPr>
        <w:lastRenderedPageBreak/>
        <w:t>Migração de dados legados</w:t>
      </w:r>
    </w:p>
    <w:p w14:paraId="679C5C0E" w14:textId="77777777" w:rsidR="00211257" w:rsidRDefault="00000000">
      <w:pPr>
        <w:pStyle w:val="PargrafodaLista"/>
        <w:numPr>
          <w:ilvl w:val="0"/>
          <w:numId w:val="18"/>
        </w:numPr>
        <w:spacing w:after="0" w:line="240" w:lineRule="auto"/>
        <w:rPr>
          <w:szCs w:val="20"/>
        </w:rPr>
      </w:pPr>
      <w:r>
        <w:rPr>
          <w:szCs w:val="20"/>
        </w:rPr>
        <w:t>APIs personalizadas</w:t>
      </w:r>
    </w:p>
    <w:p w14:paraId="74847C85" w14:textId="77777777" w:rsidR="00211257" w:rsidRDefault="00000000">
      <w:pPr>
        <w:pStyle w:val="PargrafodaLista"/>
        <w:numPr>
          <w:ilvl w:val="0"/>
          <w:numId w:val="18"/>
        </w:numPr>
        <w:spacing w:after="0" w:line="240" w:lineRule="auto"/>
        <w:rPr>
          <w:szCs w:val="20"/>
        </w:rPr>
      </w:pPr>
      <w:r>
        <w:t>Configuração de aplicativo móvel</w:t>
      </w:r>
    </w:p>
    <w:p w14:paraId="19A9E8B0" w14:textId="77777777" w:rsidR="00211257" w:rsidRDefault="00000000">
      <w:pPr>
        <w:pStyle w:val="PargrafodaLista"/>
        <w:numPr>
          <w:ilvl w:val="0"/>
          <w:numId w:val="18"/>
        </w:numPr>
        <w:spacing w:after="0" w:line="240" w:lineRule="auto"/>
        <w:rPr>
          <w:szCs w:val="20"/>
          <w:lang w:val="pt-BR"/>
        </w:rPr>
      </w:pPr>
      <w:r>
        <w:rPr>
          <w:lang w:val="pt-BR"/>
        </w:rPr>
        <w:t>Mudança Centrada no Ser Humano ou serviços educacionais</w:t>
      </w:r>
    </w:p>
    <w:p w14:paraId="265070D8" w14:textId="77777777" w:rsidR="00211257" w:rsidRDefault="00000000">
      <w:pPr>
        <w:pStyle w:val="PargrafodaLista"/>
        <w:numPr>
          <w:ilvl w:val="0"/>
          <w:numId w:val="18"/>
        </w:numPr>
        <w:spacing w:after="0" w:line="240" w:lineRule="auto"/>
        <w:rPr>
          <w:szCs w:val="20"/>
          <w:lang w:val="pt-BR"/>
        </w:rPr>
      </w:pPr>
      <w:r>
        <w:rPr>
          <w:lang w:val="pt-BR"/>
        </w:rPr>
        <w:t>Serviços de gerenciamento de alterações</w:t>
      </w:r>
    </w:p>
    <w:p w14:paraId="7705DE30" w14:textId="77777777" w:rsidR="00211257" w:rsidRDefault="00000000">
      <w:pPr>
        <w:pStyle w:val="PargrafodaLista"/>
        <w:numPr>
          <w:ilvl w:val="0"/>
          <w:numId w:val="18"/>
        </w:numPr>
        <w:spacing w:after="0" w:line="240" w:lineRule="auto"/>
        <w:rPr>
          <w:szCs w:val="20"/>
        </w:rPr>
      </w:pPr>
      <w:r>
        <w:t>Teste e otimização de performance</w:t>
      </w:r>
    </w:p>
    <w:p w14:paraId="5CC96EBC" w14:textId="47DB5BCF" w:rsidR="00211257" w:rsidRPr="00736AFD" w:rsidRDefault="00000000" w:rsidP="00736AFD">
      <w:pPr>
        <w:pStyle w:val="PargrafodaLista"/>
        <w:numPr>
          <w:ilvl w:val="0"/>
          <w:numId w:val="18"/>
        </w:numPr>
        <w:spacing w:after="0" w:line="240" w:lineRule="auto"/>
        <w:rPr>
          <w:szCs w:val="20"/>
          <w:lang w:val="pt-BR"/>
        </w:rPr>
      </w:pPr>
      <w:r>
        <w:rPr>
          <w:lang w:val="pt-BR"/>
        </w:rPr>
        <w:t>Requerimentos não-funcionais, incluindo, sem limitação, conformidade de segurança, padrões de acessibilidade, certificações regulatórias</w:t>
      </w:r>
      <w:r>
        <w:rPr>
          <w:rFonts w:eastAsia="Arial"/>
          <w:color w:val="1C212B"/>
          <w:szCs w:val="18"/>
          <w:shd w:val="clear" w:color="auto" w:fill="FFFFFF"/>
          <w:lang w:val="pt-BR"/>
        </w:rPr>
        <w:t>.</w:t>
      </w:r>
    </w:p>
    <w:p w14:paraId="2E7F11FA" w14:textId="593696B4" w:rsidR="00211257" w:rsidRPr="00477C7B" w:rsidRDefault="00000000" w:rsidP="00477C7B">
      <w:pPr>
        <w:pStyle w:val="PargrafodaLista"/>
        <w:numPr>
          <w:ilvl w:val="0"/>
          <w:numId w:val="18"/>
        </w:numPr>
        <w:spacing w:after="0" w:line="240" w:lineRule="auto"/>
        <w:rPr>
          <w:szCs w:val="20"/>
          <w:lang w:val="pt-BR"/>
        </w:rPr>
      </w:pPr>
      <w:r>
        <w:rPr>
          <w:lang w:val="pt-BR"/>
        </w:rPr>
        <w:t>Suporte contínuo, manutenção e melhorias futuras</w:t>
      </w:r>
    </w:p>
    <w:p w14:paraId="5BE16A7A" w14:textId="77777777" w:rsidR="00211257" w:rsidRDefault="00000000">
      <w:pPr>
        <w:pStyle w:val="Ttulo1"/>
        <w:keepNext/>
        <w:keepLines/>
        <w:spacing w:beforeLines="240" w:before="576" w:after="120" w:line="276" w:lineRule="auto"/>
        <w:ind w:left="432" w:hanging="432"/>
        <w:contextualSpacing w:val="0"/>
        <w:jc w:val="left"/>
        <w:rPr>
          <w:lang w:val="pt-BR"/>
        </w:rPr>
      </w:pPr>
      <w:bookmarkStart w:id="1" w:name="_Hlk165898311"/>
      <w:r>
        <w:rPr>
          <w:lang w:val="pt-BR"/>
        </w:rPr>
        <w:t>Cronograma e Honorários dos Serviços Profissionais</w:t>
      </w:r>
    </w:p>
    <w:bookmarkEnd w:id="1"/>
    <w:p w14:paraId="71BEAF2C" w14:textId="77777777" w:rsidR="00211257" w:rsidRDefault="00000000">
      <w:pPr>
        <w:pStyle w:val="Ttulo2"/>
        <w:jc w:val="left"/>
      </w:pPr>
      <w:r>
        <w:t>Cronograma</w:t>
      </w:r>
    </w:p>
    <w:p w14:paraId="3B53178E" w14:textId="77777777" w:rsidR="00211257" w:rsidRDefault="00000000">
      <w:pPr>
        <w:rPr>
          <w:lang w:val="pt-BR"/>
        </w:rPr>
      </w:pPr>
      <w:bookmarkStart w:id="2" w:name="_Hlk165898786"/>
      <w:r>
        <w:rPr>
          <w:lang w:val="pt-BR"/>
        </w:rPr>
        <w:t xml:space="preserve">A SFDC estima que o projeto seja </w:t>
      </w:r>
      <w:r>
        <w:rPr>
          <w:color w:val="000000"/>
          <w:lang w:val="pt-BR"/>
        </w:rPr>
        <w:t>12 weeks</w:t>
      </w:r>
      <w:r>
        <w:rPr>
          <w:lang w:val="pt-BR"/>
        </w:rPr>
        <w:t>.  Esta estimativa baseia-se na suposição da SFDC de que será capaz de executar os Serviços Profissionais sem atrasos iniciados pelo Cliente. Um cronograma preliminar é estabelecido abaixo, e um cronograma mais detalhado do projeto é produzido durante a fase de Definição do projeto. Os Serviços Profissionais começam em uma data de início a ser acordada mutuamente por escrito (e-mail aceitável), mas não antes de  após a Data Efetiva desta SOW.</w:t>
      </w:r>
    </w:p>
    <w:bookmarkEnd w:id="2"/>
    <w:p w14:paraId="7DBB8410" w14:textId="77777777" w:rsidR="00211257" w:rsidRDefault="00000000">
      <w:pPr>
        <w:pStyle w:val="Ttulo2"/>
        <w:jc w:val="left"/>
        <w:rPr>
          <w:lang w:val="pt-BR"/>
        </w:rPr>
      </w:pPr>
      <w:r>
        <w:rPr>
          <w:lang w:val="pt-BR"/>
        </w:rPr>
        <w:t xml:space="preserve">Metodologia dos Serviços de Implementação Salesforce </w:t>
      </w:r>
    </w:p>
    <w:p w14:paraId="1DC66615" w14:textId="77777777" w:rsidR="00211257" w:rsidRDefault="00000000">
      <w:pPr>
        <w:rPr>
          <w:lang w:val="pt-BR"/>
        </w:rPr>
      </w:pPr>
      <w:r>
        <w:rPr>
          <w:lang w:val="pt-BR"/>
        </w:rPr>
        <w:t>A Salesforce utiliza a Metodologia de Serviços Profissionais Salesforce (“MSPS”) para executar os Serviços de Implementação. A MSPS envolve quatro etapas: Definição (</w:t>
      </w:r>
      <w:r>
        <w:rPr>
          <w:i/>
          <w:lang w:val="pt-BR"/>
        </w:rPr>
        <w:t>Define</w:t>
      </w:r>
      <w:r>
        <w:rPr>
          <w:lang w:val="pt-BR"/>
        </w:rPr>
        <w:t>), Desenho (</w:t>
      </w:r>
      <w:r>
        <w:rPr>
          <w:i/>
          <w:lang w:val="pt-BR"/>
        </w:rPr>
        <w:t>Design</w:t>
      </w:r>
      <w:r>
        <w:rPr>
          <w:lang w:val="pt-BR"/>
        </w:rPr>
        <w:t>), Entrega (</w:t>
      </w:r>
      <w:r>
        <w:rPr>
          <w:i/>
          <w:lang w:val="pt-BR"/>
        </w:rPr>
        <w:t>Deliver</w:t>
      </w:r>
      <w:r>
        <w:rPr>
          <w:lang w:val="pt-BR"/>
        </w:rPr>
        <w:t>) e Implantação (</w:t>
      </w:r>
      <w:r>
        <w:rPr>
          <w:i/>
          <w:lang w:val="pt-BR"/>
        </w:rPr>
        <w:t>Deploy</w:t>
      </w:r>
      <w:r>
        <w:rPr>
          <w:lang w:val="pt-BR"/>
        </w:rPr>
        <w:t xml:space="preserve">). </w:t>
      </w:r>
    </w:p>
    <w:p w14:paraId="5F46E84D" w14:textId="77777777" w:rsidR="00211257" w:rsidRDefault="00000000">
      <w:pPr>
        <w:rPr>
          <w:lang w:val="pt-BR"/>
        </w:rPr>
      </w:pPr>
      <w:r>
        <w:rPr>
          <w:lang w:val="pt-BR"/>
        </w:rPr>
        <w:t xml:space="preserve">Essa metodologia é adaptável e ajustada para atender as necessidades únicas de cada cliente, incorporando ambos os princípios </w:t>
      </w:r>
      <w:r>
        <w:rPr>
          <w:i/>
          <w:lang w:val="pt-BR"/>
        </w:rPr>
        <w:t xml:space="preserve">waterfall </w:t>
      </w:r>
      <w:r>
        <w:rPr>
          <w:lang w:val="pt-BR"/>
        </w:rPr>
        <w:t>e</w:t>
      </w:r>
      <w:r>
        <w:rPr>
          <w:i/>
          <w:lang w:val="pt-BR"/>
        </w:rPr>
        <w:t xml:space="preserve"> agile</w:t>
      </w:r>
      <w:r>
        <w:rPr>
          <w:lang w:val="pt-BR"/>
        </w:rPr>
        <w:t xml:space="preserve">. A estrutura escolhida depende das necessidades do Cliente, da natureza do engajamento e das recomendações da SFDC sobre melhores práticas. Durante as etapas de Definição e Desenho, a SFDC e o Cliente acordarão quanto à abordagem planejada, incluindo como o escopo será gerenciado. </w:t>
      </w:r>
    </w:p>
    <w:p w14:paraId="3E4AC669" w14:textId="77777777" w:rsidR="00211257" w:rsidRDefault="00000000">
      <w:pPr>
        <w:rPr>
          <w:lang w:val="pt-BR"/>
        </w:rPr>
      </w:pPr>
      <w:r>
        <w:rPr>
          <w:lang w:val="pt-BR"/>
        </w:rPr>
        <w:t>Como parte da Metodologia de Serviços Profissionais Salesforce:</w:t>
      </w:r>
    </w:p>
    <w:p w14:paraId="55AA8E53" w14:textId="77777777" w:rsidR="00211257" w:rsidRDefault="00000000">
      <w:pPr>
        <w:pStyle w:val="PargrafodaLista"/>
        <w:numPr>
          <w:ilvl w:val="3"/>
          <w:numId w:val="4"/>
        </w:numPr>
        <w:rPr>
          <w:lang w:val="pt-BR"/>
        </w:rPr>
      </w:pPr>
      <w:r>
        <w:rPr>
          <w:lang w:val="pt-BR"/>
        </w:rPr>
        <w:t>A SFDC e o Cliente documentarão a funcionalidade de Aplicação configurada desejada como uma lista de necessidades funcionais por tipo de usuário ("</w:t>
      </w:r>
      <w:r>
        <w:rPr>
          <w:b/>
          <w:lang w:val="pt-BR"/>
        </w:rPr>
        <w:t>Histórias de Usuário</w:t>
      </w:r>
      <w:r>
        <w:rPr>
          <w:lang w:val="pt-BR"/>
        </w:rPr>
        <w:t xml:space="preserve">").  </w:t>
      </w:r>
    </w:p>
    <w:p w14:paraId="0B22DA60" w14:textId="77777777" w:rsidR="00211257" w:rsidRDefault="00000000">
      <w:pPr>
        <w:pStyle w:val="PargrafodaLista"/>
        <w:numPr>
          <w:ilvl w:val="3"/>
          <w:numId w:val="4"/>
        </w:numPr>
        <w:rPr>
          <w:lang w:val="pt-BR"/>
        </w:rPr>
      </w:pPr>
      <w:r>
        <w:rPr>
          <w:lang w:val="pt-BR"/>
        </w:rPr>
        <w:t>O desenvolvimento será feito em uma série de incrementos regulares ("</w:t>
      </w:r>
      <w:r>
        <w:rPr>
          <w:b/>
          <w:lang w:val="pt-BR"/>
        </w:rPr>
        <w:t>Sprints</w:t>
      </w:r>
      <w:r>
        <w:rPr>
          <w:lang w:val="pt-BR"/>
        </w:rPr>
        <w:t xml:space="preserve">"), que incluem a entrega dos componentes da solução e testes dos mesmos, à medida em que são construídos.  </w:t>
      </w:r>
    </w:p>
    <w:p w14:paraId="53204EA5" w14:textId="77777777" w:rsidR="00211257" w:rsidRDefault="00000000">
      <w:pPr>
        <w:pStyle w:val="PargrafodaLista"/>
        <w:numPr>
          <w:ilvl w:val="3"/>
          <w:numId w:val="4"/>
        </w:numPr>
        <w:rPr>
          <w:lang w:val="pt-BR"/>
        </w:rPr>
      </w:pPr>
      <w:r>
        <w:rPr>
          <w:lang w:val="pt-BR"/>
        </w:rPr>
        <w:t>As revisões de desenvolvimento são realizadas mediante a conclusão de cada Sprint para medir o progresso funcional, bem como para validar e fornecer feedback.</w:t>
      </w:r>
    </w:p>
    <w:p w14:paraId="1975EB82" w14:textId="77777777" w:rsidR="00211257" w:rsidRDefault="00000000">
      <w:pPr>
        <w:pStyle w:val="PargrafodaLista"/>
        <w:numPr>
          <w:ilvl w:val="3"/>
          <w:numId w:val="4"/>
        </w:numPr>
        <w:rPr>
          <w:lang w:val="pt-BR"/>
        </w:rPr>
      </w:pPr>
      <w:r>
        <w:rPr>
          <w:lang w:val="pt-BR"/>
        </w:rPr>
        <w:t xml:space="preserve">A priorização contínua da História do Usuário, conforme acordado mutuamente por escrito (suficiente por e-mail) entre o Proprietário do Produto do Cliente e a SFDC ditará o conteúdo final da Aplicação configurada. </w:t>
      </w:r>
    </w:p>
    <w:p w14:paraId="5BD88C5A" w14:textId="77777777" w:rsidR="00211257" w:rsidRDefault="00000000">
      <w:pPr>
        <w:pStyle w:val="PargrafodaLista"/>
        <w:numPr>
          <w:ilvl w:val="3"/>
          <w:numId w:val="4"/>
        </w:numPr>
        <w:rPr>
          <w:lang w:val="pt-BR"/>
        </w:rPr>
      </w:pPr>
      <w:r>
        <w:rPr>
          <w:lang w:val="pt-BR"/>
        </w:rPr>
        <w:t xml:space="preserve">O Proprietário do Produto do Cliente (conforme definido na Seção 6) pode solicitar funcionalidades adicionais ou alternativas com base na priorização das Histórias de Usuário, à medida em que são refinadas e desenvolvidas durante a etapa de Entrega da Aplicação configurada. Como consequência, o escopo preciso da Aplicação configurada não pode ser determinado no início dos Serviços de Implementação e o escopo detalhado descrito acima pode não ser completado como parte dos Serviços de Implementação. </w:t>
      </w:r>
    </w:p>
    <w:p w14:paraId="1D8D4665" w14:textId="77777777" w:rsidR="00211257" w:rsidRDefault="00000000">
      <w:pPr>
        <w:pStyle w:val="Ttulo3"/>
        <w:rPr>
          <w:lang w:val="pt-BR"/>
        </w:rPr>
      </w:pPr>
      <w:r>
        <w:rPr>
          <w:lang w:val="pt-BR"/>
        </w:rPr>
        <w:t>Etapas de Definição e Desenho</w:t>
      </w:r>
    </w:p>
    <w:p w14:paraId="4FD2412B" w14:textId="77777777" w:rsidR="00211257" w:rsidRDefault="00000000">
      <w:pPr>
        <w:rPr>
          <w:lang w:val="pt-BR"/>
        </w:rPr>
      </w:pPr>
      <w:r>
        <w:rPr>
          <w:lang w:val="pt-BR"/>
        </w:rPr>
        <w:t>Antes das etapas de Definição e Desenho, a SFDC prepara um conjunto de riscos, premissas, metas de projeto, objetivos, limitações, métricas de sucesso e partes interessadas.</w:t>
      </w:r>
    </w:p>
    <w:p w14:paraId="501AFC77" w14:textId="77777777" w:rsidR="00211257" w:rsidRDefault="00000000">
      <w:pPr>
        <w:rPr>
          <w:lang w:val="pt-BR"/>
        </w:rPr>
      </w:pPr>
      <w:r>
        <w:rPr>
          <w:lang w:val="pt-BR"/>
        </w:rPr>
        <w:t>Durante as etapas de Definição e Desenho, a SFDC inicia o projeto e colaborativamente estabelece as metas e objetivos de resultados de negócio do Cliente. A SFDC e o Cliente também definirão como o projeto será gerenciado e o plano de execução, incluindo escopo, recursos, cronograma, orçamento e teste de qualidade (</w:t>
      </w:r>
      <w:r>
        <w:rPr>
          <w:i/>
          <w:lang w:val="pt-BR"/>
        </w:rPr>
        <w:t>quality assurance</w:t>
      </w:r>
      <w:r>
        <w:rPr>
          <w:lang w:val="pt-BR"/>
        </w:rPr>
        <w:t xml:space="preserve">). As etapas de Definição e Desenho estabelecem a arquitetura em alto nível necessária para iniciar a etapa de Entrega. A SFDC documenta a solução de negócio e os componentes técnicos para que o Cliente possa prover aprovação formal. As Descrição das etapas de Definição e Desenho, com frequência, ocorrem simultaneamente. Caso seja mutuamente acordado, a etapa de Entrega poderá ser iniciada antes das etapas de Definição e Desenho se encerrarem. </w:t>
      </w:r>
    </w:p>
    <w:p w14:paraId="36544603" w14:textId="77777777" w:rsidR="00211257" w:rsidRDefault="00211257">
      <w:pPr>
        <w:rPr>
          <w:lang w:val="pt-BR"/>
        </w:rPr>
      </w:pPr>
    </w:p>
    <w:p w14:paraId="5A0EA054" w14:textId="77777777" w:rsidR="00211257" w:rsidRDefault="00000000">
      <w:pPr>
        <w:rPr>
          <w:lang w:val="pt-BR"/>
        </w:rPr>
      </w:pPr>
      <w:r>
        <w:rPr>
          <w:lang w:val="pt-BR"/>
        </w:rPr>
        <w:t>Durante as etapas de Definição e Desenho, a SFDC coordenará as seguintes reuniões, que ocorrerão sequencialmente.</w:t>
      </w:r>
    </w:p>
    <w:p w14:paraId="7E299C0A" w14:textId="77777777" w:rsidR="00211257" w:rsidRDefault="00000000">
      <w:pPr>
        <w:numPr>
          <w:ilvl w:val="0"/>
          <w:numId w:val="10"/>
        </w:numPr>
        <w:contextualSpacing/>
        <w:rPr>
          <w:lang w:val="pt-BR"/>
        </w:rPr>
      </w:pPr>
      <w:r>
        <w:rPr>
          <w:b/>
          <w:lang w:val="pt-BR"/>
        </w:rPr>
        <w:lastRenderedPageBreak/>
        <w:t>Alinhamento do Time de Projeto</w:t>
      </w:r>
      <w:r>
        <w:rPr>
          <w:lang w:val="pt-BR"/>
        </w:rPr>
        <w:t>: os times da SFDC e do Cliente confirmam um entendimento inicial do escopo do projeto, realizam o planejamento preliminar, alinham funções e acompanhamento do projeto e mecanismos de controle.</w:t>
      </w:r>
    </w:p>
    <w:p w14:paraId="1D54308F" w14:textId="77777777" w:rsidR="00211257" w:rsidRDefault="00000000">
      <w:pPr>
        <w:numPr>
          <w:ilvl w:val="0"/>
          <w:numId w:val="10"/>
        </w:numPr>
        <w:contextualSpacing/>
        <w:rPr>
          <w:lang w:val="pt-BR"/>
        </w:rPr>
      </w:pPr>
      <w:r>
        <w:rPr>
          <w:b/>
          <w:lang w:val="pt-BR"/>
        </w:rPr>
        <w:t xml:space="preserve">Reunião de </w:t>
      </w:r>
      <w:r>
        <w:rPr>
          <w:b/>
          <w:i/>
          <w:lang w:val="pt-BR"/>
        </w:rPr>
        <w:t>Kickoff</w:t>
      </w:r>
      <w:r>
        <w:rPr>
          <w:b/>
          <w:lang w:val="pt-BR"/>
        </w:rPr>
        <w:t xml:space="preserve"> e Alinhamento da Metodologia:</w:t>
      </w:r>
      <w:r>
        <w:rPr>
          <w:lang w:val="pt-BR"/>
        </w:rPr>
        <w:t xml:space="preserve"> os times alinham elementos críticos da MSPS. A SFDC facilita sessões de descoberta para criar o backlog inicial das Histórias de Usuário.</w:t>
      </w:r>
    </w:p>
    <w:p w14:paraId="41D79A44" w14:textId="77777777" w:rsidR="00211257" w:rsidRDefault="00000000">
      <w:pPr>
        <w:numPr>
          <w:ilvl w:val="0"/>
          <w:numId w:val="10"/>
        </w:numPr>
        <w:contextualSpacing/>
        <w:rPr>
          <w:lang w:val="pt-BR"/>
        </w:rPr>
      </w:pPr>
      <w:r>
        <w:rPr>
          <w:b/>
          <w:lang w:val="pt-BR"/>
        </w:rPr>
        <w:t xml:space="preserve">Arquitetura Técnica e Análise de Integração: </w:t>
      </w:r>
      <w:r>
        <w:rPr>
          <w:lang w:val="pt-BR"/>
        </w:rPr>
        <w:t>a SFDC analisa os requerimentos técnicos para os Serviços de Implementação.</w:t>
      </w:r>
    </w:p>
    <w:p w14:paraId="07460503" w14:textId="77777777" w:rsidR="00211257" w:rsidRDefault="00000000">
      <w:pPr>
        <w:numPr>
          <w:ilvl w:val="0"/>
          <w:numId w:val="10"/>
        </w:numPr>
        <w:contextualSpacing/>
        <w:rPr>
          <w:lang w:val="pt-BR"/>
        </w:rPr>
      </w:pPr>
      <w:r>
        <w:rPr>
          <w:b/>
          <w:lang w:val="pt-BR"/>
        </w:rPr>
        <w:t>Preparação da Construção:</w:t>
      </w:r>
      <w:r>
        <w:rPr>
          <w:lang w:val="pt-BR"/>
        </w:rPr>
        <w:t xml:space="preserve"> por fim, o time realiza as preparações para iniciar a entrega da solução, incluindo:</w:t>
      </w:r>
    </w:p>
    <w:p w14:paraId="243B038E" w14:textId="77777777" w:rsidR="00211257" w:rsidRDefault="00000000">
      <w:pPr>
        <w:numPr>
          <w:ilvl w:val="1"/>
          <w:numId w:val="10"/>
        </w:numPr>
        <w:contextualSpacing/>
        <w:rPr>
          <w:lang w:val="pt-BR"/>
        </w:rPr>
      </w:pPr>
      <w:r>
        <w:rPr>
          <w:lang w:val="pt-BR"/>
        </w:rPr>
        <w:t>Os ambientes são inicializados e configurados;</w:t>
      </w:r>
    </w:p>
    <w:p w14:paraId="070432A9" w14:textId="77777777" w:rsidR="00211257" w:rsidRDefault="00000000">
      <w:pPr>
        <w:numPr>
          <w:ilvl w:val="1"/>
          <w:numId w:val="10"/>
        </w:numPr>
        <w:contextualSpacing/>
        <w:rPr>
          <w:lang w:val="pt-BR"/>
        </w:rPr>
      </w:pPr>
      <w:r>
        <w:rPr>
          <w:lang w:val="pt-BR"/>
        </w:rPr>
        <w:t>Acompanhamento do gerenciamento de código e desenvolvimento, bem como aquisição e configuração dos sistemas de gerenciamento;</w:t>
      </w:r>
    </w:p>
    <w:p w14:paraId="4718293A" w14:textId="77777777" w:rsidR="00211257" w:rsidRDefault="00000000">
      <w:pPr>
        <w:numPr>
          <w:ilvl w:val="1"/>
          <w:numId w:val="10"/>
        </w:numPr>
        <w:contextualSpacing/>
        <w:rPr>
          <w:lang w:val="pt-BR"/>
        </w:rPr>
      </w:pPr>
      <w:r>
        <w:rPr>
          <w:lang w:val="pt-BR"/>
        </w:rPr>
        <w:t>Histórias de Usuário suficientes são mutuamente acordadas para o início do desenvolvimento (normalmente o suficiente para, ao menos, dois Sprints).</w:t>
      </w:r>
    </w:p>
    <w:p w14:paraId="04F279E1" w14:textId="77777777" w:rsidR="00211257" w:rsidRDefault="00000000">
      <w:pPr>
        <w:rPr>
          <w:b/>
          <w:lang w:val="pt-BR"/>
        </w:rPr>
      </w:pPr>
      <w:r>
        <w:rPr>
          <w:b/>
          <w:lang w:val="pt-BR"/>
        </w:rPr>
        <w:t>Entregáveis de Definição e Desenho</w:t>
      </w:r>
    </w:p>
    <w:p w14:paraId="653A5E1D" w14:textId="77777777" w:rsidR="00211257" w:rsidRDefault="00000000">
      <w:pPr>
        <w:numPr>
          <w:ilvl w:val="0"/>
          <w:numId w:val="11"/>
        </w:numPr>
        <w:contextualSpacing/>
        <w:rPr>
          <w:b/>
          <w:lang w:val="pt-BR"/>
        </w:rPr>
      </w:pPr>
      <w:r>
        <w:rPr>
          <w:b/>
          <w:lang w:val="pt-BR"/>
        </w:rPr>
        <w:t>Documentos de Planejamento</w:t>
      </w:r>
      <w:r>
        <w:rPr>
          <w:lang w:val="pt-BR"/>
        </w:rPr>
        <w:t xml:space="preserve"> estabelecem um plano de referência para o desenho e configuração da Aplicação e refinamento do escopo, requerimentos do cliente e datas de entrega preliminares. Os Documentos de Planejamento incluem PMP, Cronograma de Referência, Desenho da Solução em Alto-Nível, Garantia de Qualidade e Planos de Testes. Uma vez aprovados mutualmente, os Documentos de Planejamento são um ponto de referência para governar o escopo do projeto, cronograma, orçamento e entregáveis.</w:t>
      </w:r>
    </w:p>
    <w:p w14:paraId="0B397347" w14:textId="77777777" w:rsidR="00211257" w:rsidRDefault="00000000">
      <w:pPr>
        <w:numPr>
          <w:ilvl w:val="0"/>
          <w:numId w:val="11"/>
        </w:numPr>
        <w:contextualSpacing/>
        <w:rPr>
          <w:b/>
          <w:lang w:val="pt-BR"/>
        </w:rPr>
      </w:pPr>
      <w:r>
        <w:rPr>
          <w:b/>
          <w:lang w:val="pt-BR"/>
        </w:rPr>
        <w:t>Documentos de Desenho</w:t>
      </w:r>
      <w:r>
        <w:rPr>
          <w:lang w:val="pt-BR"/>
        </w:rPr>
        <w:t xml:space="preserve"> descrevem o desenho em geral e o escopo funcional da Aplicação configurada. Os Documentos de Desenho incluem o desenho da solução em alto-nível, a matriz de perfil de usuário, o desenho do modelo de objeto, o mapa de história e o backlog do produto das histórias de usuário, garantia de qualidade e planos de testes, e cronograma de referência revisto. Uma vez aprovados os Documentos de Desenho, a SFDC iniciará a etapa de Entrega. Em projetos com tendência </w:t>
      </w:r>
      <w:r>
        <w:rPr>
          <w:i/>
          <w:lang w:val="pt-BR"/>
        </w:rPr>
        <w:t>agile</w:t>
      </w:r>
      <w:r>
        <w:rPr>
          <w:lang w:val="pt-BR"/>
        </w:rPr>
        <w:t>, o desenho da solução em alto-nível e o mapa de história podem ser finalizados após o início da etapa de Entrega.</w:t>
      </w:r>
    </w:p>
    <w:p w14:paraId="36081E1F" w14:textId="77777777" w:rsidR="00211257" w:rsidRDefault="00000000">
      <w:pPr>
        <w:pStyle w:val="Ttulo3"/>
      </w:pPr>
      <w:r>
        <w:t>Etapa de Entrega</w:t>
      </w:r>
    </w:p>
    <w:p w14:paraId="70784EFF" w14:textId="77777777" w:rsidR="00211257" w:rsidRDefault="00000000">
      <w:pPr>
        <w:rPr>
          <w:i/>
          <w:lang w:val="pt-BR"/>
        </w:rPr>
      </w:pPr>
      <w:r>
        <w:rPr>
          <w:i/>
          <w:lang w:val="pt-BR"/>
        </w:rPr>
        <w:t>A etapa de Entrega poderá começar antes das etapas de Definição e Desenho serem totalmente concluídas, se mutuamente acordado entre Cliente e SFDC nos Documentos de Planejamento.</w:t>
      </w:r>
    </w:p>
    <w:p w14:paraId="527B6E44" w14:textId="77777777" w:rsidR="00211257" w:rsidRDefault="00000000">
      <w:pPr>
        <w:rPr>
          <w:lang w:val="pt-BR"/>
        </w:rPr>
      </w:pPr>
      <w:r>
        <w:rPr>
          <w:lang w:val="pt-BR"/>
        </w:rPr>
        <w:t>Na etapa de Entrega, a SFDC configura, desenvolve e testa a Aplicação em uma série de Sprints de desenvolvimento baseados no backlog do produto das Histórias de Usuário, dos Documentos de Planejamentos e dos Documentos de Desenho. Durante cada Sprint, a SFDC e o Cliente selecionam Histórias de Usuário, finalizam o desenho, constroem e testam a funcionalidade, executam scripts de testes e obtêm aceitação. A SFDC realizará o teste unitário da Aplicação configurada e criará, de forma independente, casos de teste para validar a conformidade com o critério de aceitação definido. A SFDC e o Cliente também conduzirão reuniões de Revisão de Sprint para determinados Sprints para possibilitar ao Cliente que forneça feedback.</w:t>
      </w:r>
    </w:p>
    <w:p w14:paraId="64421A9E" w14:textId="77777777" w:rsidR="00211257" w:rsidRDefault="00000000">
      <w:pPr>
        <w:rPr>
          <w:lang w:val="pt-BR"/>
        </w:rPr>
      </w:pPr>
      <w:r>
        <w:rPr>
          <w:lang w:val="pt-BR"/>
        </w:rPr>
        <w:t>O Cliente é responsável por conduzir os Testes Integrados de Sistema (STI) e os Testes de Aceitação de Usuário (UAT) e fornecer feedback e aceitação. A SFDC ajudará a coordenar e facilitar o STI e o UAT. Após a conclusão do UAT final do Cliente, a SFDC trabalhará com o Cliente para confirmar a concordância para a implantação da Aplicação configurada no ambiente de produção.</w:t>
      </w:r>
    </w:p>
    <w:p w14:paraId="5703F929" w14:textId="77777777" w:rsidR="00211257" w:rsidRDefault="00000000">
      <w:pPr>
        <w:rPr>
          <w:b/>
          <w:lang w:val="pt-BR"/>
        </w:rPr>
      </w:pPr>
      <w:r>
        <w:rPr>
          <w:b/>
          <w:lang w:val="pt-BR"/>
        </w:rPr>
        <w:t>Entregáveis da Etapa de Entrega</w:t>
      </w:r>
    </w:p>
    <w:p w14:paraId="4E7A8AF6" w14:textId="77777777" w:rsidR="00211257" w:rsidRDefault="00000000">
      <w:pPr>
        <w:numPr>
          <w:ilvl w:val="0"/>
          <w:numId w:val="12"/>
        </w:numPr>
        <w:contextualSpacing/>
        <w:rPr>
          <w:b/>
          <w:lang w:val="pt-BR"/>
        </w:rPr>
      </w:pPr>
      <w:r>
        <w:rPr>
          <w:b/>
          <w:lang w:val="pt-BR"/>
        </w:rPr>
        <w:t xml:space="preserve">Aplicação Configurada: </w:t>
      </w:r>
      <w:r>
        <w:rPr>
          <w:lang w:val="pt-BR"/>
        </w:rPr>
        <w:t>Versão da Aplicação que é implementada de acordo com os Documentos de Desenho aprovados.</w:t>
      </w:r>
    </w:p>
    <w:p w14:paraId="4E31DCE1" w14:textId="77777777" w:rsidR="00211257" w:rsidRDefault="00000000">
      <w:pPr>
        <w:numPr>
          <w:ilvl w:val="0"/>
          <w:numId w:val="12"/>
        </w:numPr>
        <w:contextualSpacing/>
        <w:rPr>
          <w:b/>
          <w:lang w:val="pt-BR"/>
        </w:rPr>
      </w:pPr>
      <w:r>
        <w:rPr>
          <w:b/>
          <w:lang w:val="pt-BR"/>
        </w:rPr>
        <w:t>Conclusão do UAT:</w:t>
      </w:r>
      <w:r>
        <w:rPr>
          <w:lang w:val="pt-BR"/>
        </w:rPr>
        <w:t xml:space="preserve"> Notificação do Cliente de conclusão do UAT, aceitação final da Aplicação configurada e concordância em implantar no ambiente de produção.</w:t>
      </w:r>
    </w:p>
    <w:p w14:paraId="69F37196" w14:textId="77777777" w:rsidR="00211257" w:rsidRDefault="00000000">
      <w:pPr>
        <w:pStyle w:val="Ttulo3"/>
      </w:pPr>
      <w:r>
        <w:t>Etapas de Implantação</w:t>
      </w:r>
    </w:p>
    <w:p w14:paraId="3B597D21" w14:textId="77777777" w:rsidR="00211257" w:rsidRDefault="00000000">
      <w:pPr>
        <w:rPr>
          <w:lang w:val="pt-BR"/>
        </w:rPr>
      </w:pPr>
      <w:r>
        <w:rPr>
          <w:lang w:val="pt-BR"/>
        </w:rPr>
        <w:t>Após a concordância do Cliente para o go-live, a Aplicação configurada será migrada para Produção, com base nas instruções de implantação criadas pela SFDC. A responsabilidade pela implantação da produção está definida na Seção 2.</w:t>
      </w:r>
    </w:p>
    <w:p w14:paraId="73223B91" w14:textId="77777777" w:rsidR="00211257" w:rsidRDefault="00000000">
      <w:pPr>
        <w:ind w:firstLine="11"/>
        <w:rPr>
          <w:lang w:val="pt-BR"/>
        </w:rPr>
      </w:pPr>
      <w:r>
        <w:rPr>
          <w:lang w:val="pt-BR"/>
        </w:rPr>
        <w:t>Após a implantação, a SFDC atualizará e publicará uma versão final da checklist de implantação para refletir os Serviços de Implementação completos e os resultados atuais da implantação da produção.</w:t>
      </w:r>
    </w:p>
    <w:p w14:paraId="03542F0D" w14:textId="77777777" w:rsidR="00211257" w:rsidRDefault="00000000">
      <w:pPr>
        <w:ind w:firstLine="11"/>
        <w:rPr>
          <w:b/>
          <w:lang w:val="pt-BR"/>
        </w:rPr>
      </w:pPr>
      <w:r>
        <w:rPr>
          <w:b/>
          <w:lang w:val="pt-BR"/>
        </w:rPr>
        <w:t>Entregáveis da Etapa de Implantação</w:t>
      </w:r>
    </w:p>
    <w:p w14:paraId="4F9DC57C" w14:textId="77777777" w:rsidR="00211257" w:rsidRDefault="00000000">
      <w:pPr>
        <w:numPr>
          <w:ilvl w:val="0"/>
          <w:numId w:val="13"/>
        </w:numPr>
        <w:contextualSpacing/>
        <w:rPr>
          <w:b/>
          <w:lang w:val="pt-BR"/>
        </w:rPr>
      </w:pPr>
      <w:r>
        <w:rPr>
          <w:b/>
          <w:lang w:val="pt-BR"/>
        </w:rPr>
        <w:t xml:space="preserve">Plano de Implantação: </w:t>
      </w:r>
      <w:r>
        <w:rPr>
          <w:lang w:val="pt-BR"/>
        </w:rPr>
        <w:t>Documenta a abordagem para implantar a Aplicação configurada, o código e a funcionalidade ao ambiente de produção do Cliente.</w:t>
      </w:r>
    </w:p>
    <w:p w14:paraId="72AE15FD" w14:textId="77777777" w:rsidR="00211257" w:rsidRDefault="00000000">
      <w:pPr>
        <w:numPr>
          <w:ilvl w:val="0"/>
          <w:numId w:val="13"/>
        </w:numPr>
        <w:contextualSpacing/>
        <w:rPr>
          <w:b/>
          <w:lang w:val="pt-BR"/>
        </w:rPr>
      </w:pPr>
      <w:r>
        <w:rPr>
          <w:b/>
          <w:lang w:val="pt-BR"/>
        </w:rPr>
        <w:t>Aplicação de Produção Implantada</w:t>
      </w:r>
      <w:r>
        <w:rPr>
          <w:lang w:val="pt-BR"/>
        </w:rPr>
        <w:t>: Aplicação configurada implantada migrada para o ambiente de produção.</w:t>
      </w:r>
    </w:p>
    <w:p w14:paraId="1B8E89FE" w14:textId="77777777" w:rsidR="00211257" w:rsidRDefault="00000000">
      <w:pPr>
        <w:numPr>
          <w:ilvl w:val="0"/>
          <w:numId w:val="13"/>
        </w:numPr>
        <w:contextualSpacing/>
        <w:rPr>
          <w:b/>
          <w:lang w:val="pt-BR"/>
        </w:rPr>
      </w:pPr>
      <w:r>
        <w:rPr>
          <w:b/>
          <w:lang w:val="pt-BR"/>
        </w:rPr>
        <w:lastRenderedPageBreak/>
        <w:t xml:space="preserve">Documentação de Histórias de Usuário/Backlog do Produto: </w:t>
      </w:r>
      <w:r>
        <w:rPr>
          <w:lang w:val="pt-BR"/>
        </w:rPr>
        <w:t>Documentos refletindo a versão final das Histórias de Usuário aceitas que são implementadas como parte da Aplicação configurada.</w:t>
      </w:r>
    </w:p>
    <w:p w14:paraId="46508B26" w14:textId="77777777" w:rsidR="00211257" w:rsidRDefault="00000000">
      <w:pPr>
        <w:numPr>
          <w:ilvl w:val="0"/>
          <w:numId w:val="13"/>
        </w:numPr>
        <w:contextualSpacing/>
        <w:rPr>
          <w:b/>
          <w:lang w:val="pt-BR"/>
        </w:rPr>
      </w:pPr>
      <w:r>
        <w:rPr>
          <w:b/>
          <w:lang w:val="pt-BR"/>
        </w:rPr>
        <w:t xml:space="preserve">Documentação da Aplicação configurada: </w:t>
      </w:r>
      <w:r>
        <w:rPr>
          <w:lang w:val="pt-BR"/>
        </w:rPr>
        <w:t>a Documentação da Aplicação configurada será fornecida conforme definido na Seção 2.</w:t>
      </w:r>
    </w:p>
    <w:p w14:paraId="1AF6FB49" w14:textId="77777777" w:rsidR="00211257" w:rsidRDefault="00000000">
      <w:pPr>
        <w:pStyle w:val="Ttulo2"/>
        <w:keepNext/>
        <w:keepLines/>
        <w:numPr>
          <w:ilvl w:val="1"/>
          <w:numId w:val="4"/>
        </w:numPr>
        <w:contextualSpacing w:val="0"/>
        <w:jc w:val="left"/>
      </w:pPr>
      <w:r>
        <w:t>Aceitação</w:t>
      </w:r>
    </w:p>
    <w:p w14:paraId="1012E821" w14:textId="77777777" w:rsidR="00211257" w:rsidRDefault="00000000">
      <w:pPr>
        <w:rPr>
          <w:lang w:val="pt-BR"/>
        </w:rPr>
      </w:pPr>
      <w:bookmarkStart w:id="3" w:name="_Hlk165899540"/>
      <w:r>
        <w:rPr>
          <w:lang w:val="pt-BR"/>
        </w:rPr>
        <w:t>Após a conclusão de cada Entregável, a SFDC, conforme aplicável: (a) enviará uma cópia completa de tal Entregável ao Cliente; e (b) a pedido do Cliente, demonstrará a funcionalidade de tal Entregável ao Cliente.  O Cliente é responsável por revisar e testar todos os Entregáveis de acordo com esta SOW de acordo com quaisquer critérios de aceitação e planos de teste mutuamente acordados por escrito pelas partes para tal Entregável.  O Cliente fornecerá à SFDC uma notificação por escrito de aceitação para cada Entregável imediatamente após a aceitação; no entanto, a falha em rejeitar um Entregável, como estabelecido abaixo, será considerada aceitação.  Se o Cliente, em seu julgamento razoável e de boa fé, determinar que qualquer Entregável submetido não satisfaz os critérios de aceitação acordados conforme especificado nesta SOW ou conforme mutuamente acordado por escrito pelas partes para tal Entregável, o Cliente deverá notificar a SFDC por escrito dentro de dez (10) dias úteis após o envio do Entregável pela SFDC, especificando as deficiências em detalhes.  A SFDC utilizará esforços comercialmente razoáveis para corrigir tais deficiências e reapresentar o Entregável ao Cliente tão logo seja praticável.  O Cliente revisará e testará novamente o Entregável contra tais critérios de aceitação acordados e detalhará quaisquer deficiências à SFDC por escrito dentro de dez (10) dias úteis após a reapresentação do Entregável.  Se um Entregável não atender a tais critérios de aceitação especificados nesta SOW após sua segunda (2º) reapresentação ao Cliente, o Cliente pode, como sua única e exclusiva solução: (i) rejeitar novamente o Entregável e devolvê-lo à SFDC para posterior correção e reapresentação de acordo com o processo descrito acima (e se o Entregável não for aceito após duas (2) reapresentações, a questão será encaminhada ao patrocinador executivo do Cliente para o projeto associado a esta SOW e ao Gerente de Projeto ou Gerente de Engajamento da SFDC), ou (ii) encerrar esta SOW imediatamente após notificação por escrito e recuperar todos os honorários de Serviços Profissionais pagos sob esta SOW por tal Entregável deficiente.  Se as partes determinarem que os requisitos funcionais ou critérios de aceitação especificados nesta SOW exigem modificações (por exemplo, devido a premissas incorretas ou requisitos alterados), elas cooperarão de boa fé para assinar um Pedido de Alteração para tais requisitos ou critérios de aceitação revisados.  A aceitação de Estórias de Usuário desenvolvidas e demonstradas ao Cliente é um processo interativo, ao qual o acima exposto não se aplica. Em vez disso, o Cliente deverá aceitar formalmente as Histórias de Usuário por meio do aplicativo de rastreamento ou por escrito (aceitável por e-mail). Caso o Cliente não aceite Histórias de Usuário sujeitas ao acima exposto, nem rejeite Histórias de Usuário por escrito (e-mail aceitável), então tais Histórias de Usuário serão consideradas aceitas no primeiro dos dez (10) dias úteis após a demonstração da História ou dois (2) dias úteis após o término da Sprint em que a História do Usuário foi concluída.</w:t>
      </w:r>
    </w:p>
    <w:bookmarkEnd w:id="3"/>
    <w:p w14:paraId="405FEDD7" w14:textId="77777777" w:rsidR="00211257" w:rsidRDefault="00000000">
      <w:pPr>
        <w:pStyle w:val="Ttulo1"/>
        <w:jc w:val="left"/>
        <w:rPr>
          <w:lang w:val="pt-BR"/>
        </w:rPr>
      </w:pPr>
      <w:r>
        <w:rPr>
          <w:lang w:val="pt-BR"/>
        </w:rPr>
        <w:t>Honorários dos Serviços Profissionais</w:t>
      </w:r>
    </w:p>
    <w:p w14:paraId="3B341F42" w14:textId="77777777" w:rsidR="00211257" w:rsidRDefault="00000000">
      <w:pPr>
        <w:pStyle w:val="Ttulo2"/>
        <w:jc w:val="left"/>
        <w:rPr>
          <w:lang w:val="pt-BR"/>
        </w:rPr>
      </w:pPr>
      <w:r>
        <w:rPr>
          <w:lang w:val="pt-BR"/>
        </w:rPr>
        <w:t>Honorários Fixos com Base em Marcos</w:t>
      </w:r>
    </w:p>
    <w:p w14:paraId="599FEBC2" w14:textId="77777777" w:rsidR="00211257" w:rsidRDefault="00000000">
      <w:pPr>
        <w:rPr>
          <w:lang w:val="pt-BR"/>
        </w:rPr>
      </w:pPr>
      <w:r>
        <w:rPr>
          <w:lang w:val="pt-BR"/>
        </w:rPr>
        <w:t xml:space="preserve">Os Serviços Profissionais são prestados com base em honorários fixos. Um Pedido de Alteração pode ser necessário se houver mudanças no escopo do projeto, recursos, cronograma, marcos, Entregáveis, complexidade ou designação de um novo gerente de projeto do Cliente. A SFDC faturará ao Cliente após a aceitação de cada marco. Impostos e T&amp;Es efetivos, se aplicáveis, serão faturados mensalmente e pagos de acordo com os termos do Contrato. </w:t>
      </w:r>
    </w:p>
    <w:p w14:paraId="672467F0" w14:textId="77777777" w:rsidR="00211257" w:rsidRDefault="00000000">
      <w:pPr>
        <w:rPr>
          <w:lang w:val="pt-BR"/>
        </w:rPr>
      </w:pPr>
      <w:r>
        <w:rPr>
          <w:lang w:val="pt-BR"/>
        </w:rPr>
        <w:t>A tabela a seguir mostra os marcos planejados, as datas de conclusão previstas e os honorários faturáveis para cada um deles: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1"/>
        <w:gridCol w:w="2248"/>
        <w:gridCol w:w="3781"/>
        <w:gridCol w:w="1016"/>
        <w:gridCol w:w="15"/>
        <w:gridCol w:w="1830"/>
        <w:gridCol w:w="1569"/>
      </w:tblGrid>
      <w:tr w:rsidR="00477C7B" w14:paraId="415C9218" w14:textId="77C40FBD" w:rsidTr="004C5E56">
        <w:trPr>
          <w:trHeight w:val="314"/>
        </w:trPr>
        <w:tc>
          <w:tcPr>
            <w:tcW w:w="153" w:type="pct"/>
            <w:shd w:val="clear" w:color="auto" w:fill="1F4C78"/>
            <w:tcMar>
              <w:top w:w="0" w:type="dxa"/>
              <w:left w:w="115" w:type="dxa"/>
              <w:bottom w:w="0" w:type="dxa"/>
              <w:right w:w="115" w:type="dxa"/>
            </w:tcMar>
            <w:vAlign w:val="bottom"/>
            <w:hideMark/>
          </w:tcPr>
          <w:p w14:paraId="7AB442B1" w14:textId="72B255B8" w:rsidR="00477C7B" w:rsidRPr="00477C7B" w:rsidRDefault="00477C7B" w:rsidP="004C5E56">
            <w:pPr>
              <w:pStyle w:val="NormalWeb"/>
              <w:widowControl w:val="0"/>
              <w:adjustRightInd w:val="0"/>
              <w:snapToGrid w:val="0"/>
              <w:spacing w:before="0" w:beforeAutospacing="0" w:after="0" w:afterAutospacing="0"/>
              <w:ind w:left="0" w:right="-222"/>
              <w:jc w:val="center"/>
              <w:rPr>
                <w:color w:val="FFFFFF" w:themeColor="background1"/>
              </w:rPr>
            </w:pPr>
            <w:r w:rsidRPr="00477C7B">
              <w:rPr>
                <w:rFonts w:ascii="Arial" w:hAnsi="Arial" w:cs="Arial"/>
                <w:b/>
                <w:color w:val="FFFFFF" w:themeColor="background1"/>
                <w:sz w:val="18"/>
                <w:szCs w:val="18"/>
              </w:rPr>
              <w:t>#</w:t>
            </w:r>
          </w:p>
        </w:tc>
        <w:tc>
          <w:tcPr>
            <w:tcW w:w="1042" w:type="pct"/>
            <w:shd w:val="clear" w:color="auto" w:fill="1F4C78"/>
            <w:tcMar>
              <w:top w:w="0" w:type="dxa"/>
              <w:left w:w="115" w:type="dxa"/>
              <w:bottom w:w="0" w:type="dxa"/>
              <w:right w:w="115" w:type="dxa"/>
            </w:tcMar>
            <w:vAlign w:val="bottom"/>
            <w:hideMark/>
          </w:tcPr>
          <w:p w14:paraId="706F7EB4" w14:textId="77777777" w:rsidR="00477C7B" w:rsidRDefault="00477C7B" w:rsidP="004C5E56">
            <w:pPr>
              <w:pStyle w:val="NormalWeb"/>
              <w:widowControl w:val="0"/>
              <w:adjustRightInd w:val="0"/>
              <w:snapToGrid w:val="0"/>
              <w:spacing w:before="0" w:beforeAutospacing="0" w:after="0" w:afterAutospacing="0"/>
              <w:ind w:left="-29"/>
              <w:rPr>
                <w:color w:val="FFFFFF" w:themeColor="background1"/>
              </w:rPr>
            </w:pPr>
            <w:r>
              <w:rPr>
                <w:rFonts w:ascii="Arial" w:hAnsi="Arial" w:cs="Arial"/>
                <w:b/>
                <w:color w:val="FFFFFF" w:themeColor="background1"/>
                <w:sz w:val="18"/>
                <w:szCs w:val="18"/>
              </w:rPr>
              <w:t>Marco</w:t>
            </w:r>
          </w:p>
        </w:tc>
        <w:tc>
          <w:tcPr>
            <w:tcW w:w="1752" w:type="pct"/>
            <w:shd w:val="clear" w:color="auto" w:fill="1F4C78"/>
            <w:tcMar>
              <w:top w:w="0" w:type="dxa"/>
              <w:left w:w="115" w:type="dxa"/>
              <w:bottom w:w="0" w:type="dxa"/>
              <w:right w:w="115" w:type="dxa"/>
            </w:tcMar>
            <w:vAlign w:val="bottom"/>
            <w:hideMark/>
          </w:tcPr>
          <w:p w14:paraId="005CA9B8" w14:textId="4178D71F" w:rsidR="00477C7B" w:rsidRDefault="00477C7B" w:rsidP="004C5E56">
            <w:pPr>
              <w:pStyle w:val="NormalWeb"/>
              <w:widowControl w:val="0"/>
              <w:adjustRightInd w:val="0"/>
              <w:snapToGrid w:val="0"/>
              <w:spacing w:before="0" w:beforeAutospacing="0" w:after="0" w:afterAutospacing="0"/>
              <w:ind w:left="0"/>
              <w:rPr>
                <w:color w:val="FFFFFF" w:themeColor="background1"/>
              </w:rPr>
            </w:pPr>
            <w:proofErr w:type="spellStart"/>
            <w:r>
              <w:rPr>
                <w:rFonts w:ascii="Arial" w:hAnsi="Arial" w:cs="Arial"/>
                <w:b/>
                <w:color w:val="FFFFFF" w:themeColor="background1"/>
                <w:sz w:val="18"/>
                <w:szCs w:val="18"/>
              </w:rPr>
              <w:t>Critérios</w:t>
            </w:r>
            <w:proofErr w:type="spellEnd"/>
            <w:r>
              <w:rPr>
                <w:rFonts w:ascii="Arial" w:hAnsi="Arial" w:cs="Arial"/>
                <w:b/>
                <w:color w:val="FFFFFF" w:themeColor="background1"/>
                <w:sz w:val="18"/>
                <w:szCs w:val="18"/>
              </w:rPr>
              <w:t xml:space="preserve"> de </w:t>
            </w:r>
            <w:proofErr w:type="spellStart"/>
            <w:r>
              <w:rPr>
                <w:rFonts w:ascii="Arial" w:hAnsi="Arial" w:cs="Arial"/>
                <w:b/>
                <w:color w:val="FFFFFF" w:themeColor="background1"/>
                <w:sz w:val="18"/>
                <w:szCs w:val="18"/>
              </w:rPr>
              <w:t>Aceitação</w:t>
            </w:r>
            <w:proofErr w:type="spellEnd"/>
          </w:p>
        </w:tc>
        <w:tc>
          <w:tcPr>
            <w:tcW w:w="478" w:type="pct"/>
            <w:gridSpan w:val="2"/>
            <w:shd w:val="clear" w:color="auto" w:fill="1F4C78"/>
            <w:tcMar>
              <w:top w:w="0" w:type="dxa"/>
              <w:left w:w="115" w:type="dxa"/>
              <w:bottom w:w="0" w:type="dxa"/>
              <w:right w:w="115" w:type="dxa"/>
            </w:tcMar>
            <w:vAlign w:val="bottom"/>
            <w:hideMark/>
          </w:tcPr>
          <w:p w14:paraId="7DE7A1BA" w14:textId="354521E0" w:rsidR="00477C7B" w:rsidRPr="00477C7B" w:rsidRDefault="004C5E56" w:rsidP="004C5E56">
            <w:pPr>
              <w:pStyle w:val="NormalWeb"/>
              <w:widowControl w:val="0"/>
              <w:tabs>
                <w:tab w:val="left" w:pos="1231"/>
              </w:tabs>
              <w:adjustRightInd w:val="0"/>
              <w:snapToGrid w:val="0"/>
              <w:spacing w:before="0" w:beforeAutospacing="0" w:after="0" w:afterAutospacing="0"/>
              <w:ind w:left="0"/>
              <w:jc w:val="center"/>
              <w:rPr>
                <w:color w:val="FFFFFF" w:themeColor="background1"/>
              </w:rPr>
            </w:pPr>
            <w:r>
              <w:rPr>
                <w:rFonts w:ascii="Arial" w:hAnsi="Arial" w:cs="Arial"/>
                <w:b/>
                <w:color w:val="FFFFFF" w:themeColor="background1"/>
                <w:sz w:val="18"/>
                <w:szCs w:val="18"/>
              </w:rPr>
              <w:t xml:space="preserve">Semana </w:t>
            </w:r>
            <w:proofErr w:type="spellStart"/>
            <w:r>
              <w:rPr>
                <w:rFonts w:ascii="Arial" w:hAnsi="Arial" w:cs="Arial"/>
                <w:b/>
                <w:color w:val="FFFFFF" w:themeColor="background1"/>
                <w:sz w:val="18"/>
                <w:szCs w:val="18"/>
              </w:rPr>
              <w:t>Estimada</w:t>
            </w:r>
            <w:proofErr w:type="spellEnd"/>
          </w:p>
        </w:tc>
        <w:tc>
          <w:tcPr>
            <w:tcW w:w="848" w:type="pct"/>
            <w:shd w:val="clear" w:color="auto" w:fill="1F4C78"/>
            <w:tcMar>
              <w:top w:w="0" w:type="dxa"/>
              <w:left w:w="115" w:type="dxa"/>
              <w:bottom w:w="0" w:type="dxa"/>
              <w:right w:w="115" w:type="dxa"/>
            </w:tcMar>
            <w:vAlign w:val="bottom"/>
            <w:hideMark/>
          </w:tcPr>
          <w:p w14:paraId="3A344B04" w14:textId="1880EFFC" w:rsidR="00477C7B" w:rsidRPr="00477C7B" w:rsidRDefault="00477C7B" w:rsidP="004C5E56">
            <w:pPr>
              <w:pStyle w:val="NormalWeb"/>
              <w:widowControl w:val="0"/>
              <w:adjustRightInd w:val="0"/>
              <w:snapToGrid w:val="0"/>
              <w:spacing w:before="0" w:beforeAutospacing="0" w:after="0" w:afterAutospacing="0"/>
              <w:ind w:left="0"/>
              <w:jc w:val="center"/>
              <w:rPr>
                <w:color w:val="FFFFFF" w:themeColor="background1"/>
              </w:rPr>
            </w:pPr>
            <w:proofErr w:type="spellStart"/>
            <w:r>
              <w:rPr>
                <w:rFonts w:ascii="Arial" w:hAnsi="Arial" w:cs="Arial"/>
                <w:b/>
                <w:color w:val="FFFFFF" w:themeColor="background1"/>
                <w:sz w:val="18"/>
                <w:szCs w:val="18"/>
              </w:rPr>
              <w:t>Honorário</w:t>
            </w:r>
            <w:proofErr w:type="spellEnd"/>
            <w:r>
              <w:rPr>
                <w:rFonts w:ascii="Arial" w:hAnsi="Arial" w:cs="Arial"/>
                <w:b/>
                <w:color w:val="FFFFFF" w:themeColor="background1"/>
                <w:sz w:val="18"/>
                <w:szCs w:val="18"/>
              </w:rPr>
              <w:t xml:space="preserve"> (</w:t>
            </w:r>
            <w:proofErr w:type="spellStart"/>
            <w:r>
              <w:rPr>
                <w:rFonts w:ascii="Arial" w:hAnsi="Arial" w:cs="Arial"/>
                <w:b/>
                <w:color w:val="FFFFFF" w:themeColor="background1"/>
                <w:sz w:val="18"/>
                <w:szCs w:val="18"/>
              </w:rPr>
              <w:t>sem</w:t>
            </w:r>
            <w:proofErr w:type="spellEnd"/>
            <w:r>
              <w:rPr>
                <w:rFonts w:ascii="Arial" w:hAnsi="Arial" w:cs="Arial"/>
                <w:b/>
                <w:color w:val="FFFFFF" w:themeColor="background1"/>
                <w:sz w:val="18"/>
                <w:szCs w:val="18"/>
              </w:rPr>
              <w:t xml:space="preserve"> </w:t>
            </w:r>
            <w:proofErr w:type="spellStart"/>
            <w:r>
              <w:rPr>
                <w:rFonts w:ascii="Arial" w:hAnsi="Arial" w:cs="Arial"/>
                <w:b/>
                <w:color w:val="FFFFFF" w:themeColor="background1"/>
                <w:sz w:val="18"/>
                <w:szCs w:val="18"/>
              </w:rPr>
              <w:t>Imposto</w:t>
            </w:r>
            <w:proofErr w:type="spellEnd"/>
            <w:r>
              <w:rPr>
                <w:rFonts w:ascii="Arial" w:hAnsi="Arial" w:cs="Arial"/>
                <w:b/>
                <w:color w:val="FFFFFF" w:themeColor="background1"/>
                <w:sz w:val="18"/>
                <w:szCs w:val="18"/>
              </w:rPr>
              <w:t>)</w:t>
            </w:r>
          </w:p>
        </w:tc>
        <w:tc>
          <w:tcPr>
            <w:tcW w:w="727" w:type="pct"/>
            <w:shd w:val="clear" w:color="auto" w:fill="1F4C78"/>
            <w:vAlign w:val="bottom"/>
          </w:tcPr>
          <w:p w14:paraId="379CB694" w14:textId="6C8B4387" w:rsidR="00477C7B" w:rsidRPr="00477C7B" w:rsidRDefault="00477C7B" w:rsidP="004C5E56">
            <w:pPr>
              <w:pStyle w:val="NormalWeb"/>
              <w:widowControl w:val="0"/>
              <w:adjustRightInd w:val="0"/>
              <w:snapToGrid w:val="0"/>
              <w:spacing w:before="0" w:beforeAutospacing="0" w:after="0" w:afterAutospacing="0"/>
              <w:ind w:left="0"/>
              <w:jc w:val="center"/>
              <w:rPr>
                <w:rFonts w:ascii="Arial" w:hAnsi="Arial" w:cs="Arial"/>
                <w:b/>
                <w:color w:val="FFFFFF" w:themeColor="background1"/>
                <w:sz w:val="18"/>
                <w:szCs w:val="18"/>
              </w:rPr>
            </w:pPr>
            <w:proofErr w:type="spellStart"/>
            <w:r>
              <w:rPr>
                <w:rFonts w:ascii="Arial" w:hAnsi="Arial" w:cs="Arial"/>
                <w:b/>
                <w:color w:val="FFFFFF" w:themeColor="background1"/>
                <w:sz w:val="18"/>
                <w:szCs w:val="18"/>
              </w:rPr>
              <w:t>Honorário</w:t>
            </w:r>
            <w:proofErr w:type="spellEnd"/>
            <w:r>
              <w:rPr>
                <w:rFonts w:ascii="Arial" w:hAnsi="Arial" w:cs="Arial"/>
                <w:b/>
                <w:color w:val="FFFFFF" w:themeColor="background1"/>
                <w:sz w:val="18"/>
                <w:szCs w:val="18"/>
              </w:rPr>
              <w:t xml:space="preserve"> (</w:t>
            </w:r>
            <w:r>
              <w:rPr>
                <w:rFonts w:ascii="Arial" w:hAnsi="Arial" w:cs="Arial"/>
                <w:b/>
                <w:color w:val="FFFFFF" w:themeColor="background1"/>
                <w:sz w:val="18"/>
                <w:szCs w:val="18"/>
              </w:rPr>
              <w:t>com</w:t>
            </w:r>
            <w:r>
              <w:rPr>
                <w:rFonts w:ascii="Arial" w:hAnsi="Arial" w:cs="Arial"/>
                <w:b/>
                <w:color w:val="FFFFFF" w:themeColor="background1"/>
                <w:sz w:val="18"/>
                <w:szCs w:val="18"/>
              </w:rPr>
              <w:t xml:space="preserve"> </w:t>
            </w:r>
            <w:proofErr w:type="spellStart"/>
            <w:r>
              <w:rPr>
                <w:rFonts w:ascii="Arial" w:hAnsi="Arial" w:cs="Arial"/>
                <w:b/>
                <w:color w:val="FFFFFF" w:themeColor="background1"/>
                <w:sz w:val="18"/>
                <w:szCs w:val="18"/>
              </w:rPr>
              <w:t>Imposto</w:t>
            </w:r>
            <w:proofErr w:type="spellEnd"/>
            <w:r>
              <w:rPr>
                <w:rFonts w:ascii="Arial" w:hAnsi="Arial" w:cs="Arial"/>
                <w:b/>
                <w:color w:val="FFFFFF" w:themeColor="background1"/>
                <w:sz w:val="18"/>
                <w:szCs w:val="18"/>
              </w:rPr>
              <w:t>)</w:t>
            </w:r>
          </w:p>
        </w:tc>
      </w:tr>
      <w:tr w:rsidR="00477C7B" w14:paraId="66A97866" w14:textId="12151B6B" w:rsidTr="004C5E56">
        <w:trPr>
          <w:trHeight w:val="253"/>
        </w:trPr>
        <w:tc>
          <w:tcPr>
            <w:tcW w:w="153" w:type="pct"/>
            <w:noWrap/>
            <w:vAlign w:val="bottom"/>
          </w:tcPr>
          <w:p w14:paraId="032EB6A4" w14:textId="32465573" w:rsidR="00477C7B" w:rsidRDefault="00477C7B" w:rsidP="004C5E56">
            <w:pPr>
              <w:ind w:left="0"/>
              <w:jc w:val="center"/>
            </w:pPr>
            <w:r>
              <w:t>1</w:t>
            </w:r>
          </w:p>
        </w:tc>
        <w:tc>
          <w:tcPr>
            <w:tcW w:w="1042" w:type="pct"/>
            <w:tcMar>
              <w:top w:w="0" w:type="dxa"/>
              <w:left w:w="115" w:type="dxa"/>
              <w:bottom w:w="0" w:type="dxa"/>
              <w:right w:w="115" w:type="dxa"/>
            </w:tcMar>
            <w:vAlign w:val="bottom"/>
            <w:hideMark/>
          </w:tcPr>
          <w:p w14:paraId="3221716B" w14:textId="237F254D" w:rsidR="00477C7B" w:rsidRDefault="00477C7B" w:rsidP="004C5E56">
            <w:pPr>
              <w:widowControl w:val="0"/>
              <w:adjustRightInd w:val="0"/>
              <w:snapToGrid w:val="0"/>
              <w:spacing w:after="0" w:line="240" w:lineRule="auto"/>
              <w:ind w:left="0"/>
            </w:pPr>
            <w:proofErr w:type="spellStart"/>
            <w:r>
              <w:t>Imersão</w:t>
            </w:r>
            <w:proofErr w:type="spellEnd"/>
            <w:r>
              <w:t xml:space="preserve"> e Discovery</w:t>
            </w:r>
            <w:r w:rsidR="00B64536">
              <w:t xml:space="preserve"> de </w:t>
            </w:r>
            <w:proofErr w:type="spellStart"/>
            <w:r w:rsidR="00B64536">
              <w:t>Produtos</w:t>
            </w:r>
            <w:proofErr w:type="spellEnd"/>
          </w:p>
        </w:tc>
        <w:tc>
          <w:tcPr>
            <w:tcW w:w="1752" w:type="pct"/>
            <w:tcMar>
              <w:top w:w="0" w:type="dxa"/>
              <w:left w:w="115" w:type="dxa"/>
              <w:bottom w:w="0" w:type="dxa"/>
              <w:right w:w="115" w:type="dxa"/>
            </w:tcMar>
            <w:vAlign w:val="bottom"/>
            <w:hideMark/>
          </w:tcPr>
          <w:p w14:paraId="4808E66C" w14:textId="77777777" w:rsidR="00477C7B" w:rsidRDefault="00477C7B" w:rsidP="004C5E56">
            <w:pPr>
              <w:widowControl w:val="0"/>
              <w:adjustRightInd w:val="0"/>
              <w:snapToGrid w:val="0"/>
              <w:spacing w:after="0" w:line="240" w:lineRule="auto"/>
              <w:ind w:left="0"/>
            </w:pPr>
            <w:r>
              <w:rPr>
                <w:rFonts w:eastAsia="Times New Roman"/>
                <w:color w:val="1C212B"/>
                <w:shd w:val="clear" w:color="auto" w:fill="FFFFFF"/>
              </w:rPr>
              <w:t xml:space="preserve">#Descrever </w:t>
            </w:r>
            <w:proofErr w:type="spellStart"/>
            <w:r>
              <w:rPr>
                <w:rFonts w:eastAsia="Times New Roman"/>
                <w:color w:val="1C212B"/>
                <w:shd w:val="clear" w:color="auto" w:fill="FFFFFF"/>
              </w:rPr>
              <w:t>atividade</w:t>
            </w:r>
            <w:proofErr w:type="spellEnd"/>
            <w:r>
              <w:rPr>
                <w:rFonts w:eastAsia="Times New Roman"/>
                <w:color w:val="1C212B"/>
                <w:shd w:val="clear" w:color="auto" w:fill="FFFFFF"/>
              </w:rPr>
              <w:t xml:space="preserve"> e </w:t>
            </w:r>
            <w:proofErr w:type="spellStart"/>
            <w:r>
              <w:rPr>
                <w:rFonts w:eastAsia="Times New Roman"/>
                <w:color w:val="1C212B"/>
                <w:shd w:val="clear" w:color="auto" w:fill="FFFFFF"/>
              </w:rPr>
              <w:t>criterio</w:t>
            </w:r>
            <w:proofErr w:type="spellEnd"/>
            <w:r>
              <w:rPr>
                <w:rFonts w:eastAsia="Times New Roman"/>
                <w:color w:val="1C212B"/>
                <w:shd w:val="clear" w:color="auto" w:fill="FFFFFF"/>
              </w:rPr>
              <w:t xml:space="preserve"> de </w:t>
            </w:r>
            <w:proofErr w:type="spellStart"/>
            <w:r>
              <w:rPr>
                <w:rFonts w:eastAsia="Times New Roman"/>
                <w:color w:val="1C212B"/>
                <w:shd w:val="clear" w:color="auto" w:fill="FFFFFF"/>
              </w:rPr>
              <w:t>aceite</w:t>
            </w:r>
            <w:proofErr w:type="spellEnd"/>
          </w:p>
        </w:tc>
        <w:tc>
          <w:tcPr>
            <w:tcW w:w="478" w:type="pct"/>
            <w:gridSpan w:val="2"/>
            <w:tcMar>
              <w:top w:w="0" w:type="dxa"/>
              <w:left w:w="115" w:type="dxa"/>
              <w:bottom w:w="0" w:type="dxa"/>
              <w:right w:w="115" w:type="dxa"/>
            </w:tcMar>
            <w:vAlign w:val="bottom"/>
            <w:hideMark/>
          </w:tcPr>
          <w:p w14:paraId="7DF34EA0" w14:textId="5A7217E9" w:rsidR="00477C7B" w:rsidRDefault="004C5E56" w:rsidP="004C5E56">
            <w:pPr>
              <w:pStyle w:val="NormalWeb"/>
              <w:widowControl w:val="0"/>
              <w:adjustRightInd w:val="0"/>
              <w:snapToGrid w:val="0"/>
              <w:spacing w:before="0" w:beforeAutospacing="0" w:after="0" w:afterAutospacing="0"/>
              <w:ind w:left="0"/>
              <w:jc w:val="center"/>
              <w:rPr>
                <w:rFonts w:ascii="Arial" w:hAnsi="Arial" w:cs="Arial"/>
                <w:sz w:val="20"/>
                <w:szCs w:val="20"/>
              </w:rPr>
            </w:pPr>
            <w:r>
              <w:rPr>
                <w:rFonts w:ascii="Arial" w:hAnsi="Arial" w:cs="Arial"/>
                <w:color w:val="000000"/>
                <w:sz w:val="20"/>
                <w:szCs w:val="20"/>
              </w:rPr>
              <w:t>2</w:t>
            </w:r>
          </w:p>
        </w:tc>
        <w:tc>
          <w:tcPr>
            <w:tcW w:w="848" w:type="pct"/>
            <w:tcMar>
              <w:top w:w="0" w:type="dxa"/>
              <w:left w:w="115" w:type="dxa"/>
              <w:bottom w:w="0" w:type="dxa"/>
              <w:right w:w="115" w:type="dxa"/>
            </w:tcMar>
            <w:vAlign w:val="bottom"/>
            <w:hideMark/>
          </w:tcPr>
          <w:p w14:paraId="286E18DB" w14:textId="6E3BCA50"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107.236,11</w:t>
            </w:r>
          </w:p>
        </w:tc>
        <w:tc>
          <w:tcPr>
            <w:tcW w:w="727" w:type="pct"/>
            <w:vAlign w:val="bottom"/>
          </w:tcPr>
          <w:p w14:paraId="4EC98E91" w14:textId="0CFD4D74"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114.752,39</w:t>
            </w:r>
          </w:p>
        </w:tc>
      </w:tr>
      <w:tr w:rsidR="00477C7B" w14:paraId="1B4EB89D" w14:textId="256F4172" w:rsidTr="004C5E56">
        <w:trPr>
          <w:trHeight w:val="90"/>
        </w:trPr>
        <w:tc>
          <w:tcPr>
            <w:tcW w:w="153" w:type="pct"/>
            <w:noWrap/>
            <w:vAlign w:val="bottom"/>
          </w:tcPr>
          <w:p w14:paraId="22BC4654" w14:textId="554369EC" w:rsidR="00477C7B" w:rsidRDefault="00477C7B" w:rsidP="004C5E56">
            <w:pPr>
              <w:ind w:left="0"/>
              <w:jc w:val="center"/>
            </w:pPr>
            <w:r>
              <w:t>2</w:t>
            </w:r>
          </w:p>
        </w:tc>
        <w:tc>
          <w:tcPr>
            <w:tcW w:w="1042" w:type="pct"/>
            <w:tcMar>
              <w:top w:w="0" w:type="dxa"/>
              <w:left w:w="115" w:type="dxa"/>
              <w:bottom w:w="0" w:type="dxa"/>
              <w:right w:w="115" w:type="dxa"/>
            </w:tcMar>
            <w:vAlign w:val="bottom"/>
            <w:hideMark/>
          </w:tcPr>
          <w:p w14:paraId="2BE2C3E8" w14:textId="44115784" w:rsidR="00477C7B" w:rsidRDefault="00477C7B" w:rsidP="004C5E56">
            <w:pPr>
              <w:widowControl w:val="0"/>
              <w:adjustRightInd w:val="0"/>
              <w:snapToGrid w:val="0"/>
              <w:spacing w:after="0" w:line="240" w:lineRule="auto"/>
              <w:ind w:left="0"/>
            </w:pPr>
            <w:proofErr w:type="spellStart"/>
            <w:r>
              <w:t>Modelagem</w:t>
            </w:r>
            <w:proofErr w:type="spellEnd"/>
            <w:r w:rsidR="00B64536">
              <w:t xml:space="preserve"> (Product </w:t>
            </w:r>
            <w:proofErr w:type="gramStart"/>
            <w:r w:rsidR="00B64536">
              <w:t>Blue Print</w:t>
            </w:r>
            <w:proofErr w:type="gramEnd"/>
            <w:r w:rsidR="00B64536">
              <w:t>)</w:t>
            </w:r>
          </w:p>
        </w:tc>
        <w:tc>
          <w:tcPr>
            <w:tcW w:w="1752" w:type="pct"/>
            <w:tcMar>
              <w:top w:w="0" w:type="dxa"/>
              <w:left w:w="115" w:type="dxa"/>
              <w:bottom w:w="0" w:type="dxa"/>
              <w:right w:w="115" w:type="dxa"/>
            </w:tcMar>
            <w:vAlign w:val="bottom"/>
            <w:hideMark/>
          </w:tcPr>
          <w:p w14:paraId="35826862" w14:textId="77777777" w:rsidR="00477C7B" w:rsidRDefault="00477C7B" w:rsidP="004C5E56">
            <w:pPr>
              <w:widowControl w:val="0"/>
              <w:adjustRightInd w:val="0"/>
              <w:snapToGrid w:val="0"/>
              <w:spacing w:after="0" w:line="240" w:lineRule="auto"/>
              <w:ind w:left="0"/>
            </w:pPr>
            <w:r>
              <w:rPr>
                <w:rFonts w:eastAsia="Times New Roman"/>
                <w:color w:val="1C212B"/>
                <w:shd w:val="clear" w:color="auto" w:fill="FFFFFF"/>
              </w:rPr>
              <w:t xml:space="preserve">#Descrever </w:t>
            </w:r>
            <w:proofErr w:type="spellStart"/>
            <w:r>
              <w:rPr>
                <w:rFonts w:eastAsia="Times New Roman"/>
                <w:color w:val="1C212B"/>
                <w:shd w:val="clear" w:color="auto" w:fill="FFFFFF"/>
              </w:rPr>
              <w:t>atividade</w:t>
            </w:r>
            <w:proofErr w:type="spellEnd"/>
            <w:r>
              <w:rPr>
                <w:rFonts w:eastAsia="Times New Roman"/>
                <w:color w:val="1C212B"/>
                <w:shd w:val="clear" w:color="auto" w:fill="FFFFFF"/>
              </w:rPr>
              <w:t xml:space="preserve"> e </w:t>
            </w:r>
            <w:proofErr w:type="spellStart"/>
            <w:r>
              <w:rPr>
                <w:rFonts w:eastAsia="Times New Roman"/>
                <w:color w:val="1C212B"/>
                <w:shd w:val="clear" w:color="auto" w:fill="FFFFFF"/>
              </w:rPr>
              <w:t>criterio</w:t>
            </w:r>
            <w:proofErr w:type="spellEnd"/>
            <w:r>
              <w:rPr>
                <w:rFonts w:eastAsia="Times New Roman"/>
                <w:color w:val="1C212B"/>
                <w:shd w:val="clear" w:color="auto" w:fill="FFFFFF"/>
              </w:rPr>
              <w:t xml:space="preserve"> de </w:t>
            </w:r>
            <w:proofErr w:type="spellStart"/>
            <w:r>
              <w:rPr>
                <w:rFonts w:eastAsia="Times New Roman"/>
                <w:color w:val="1C212B"/>
                <w:shd w:val="clear" w:color="auto" w:fill="FFFFFF"/>
              </w:rPr>
              <w:t>aceite</w:t>
            </w:r>
            <w:proofErr w:type="spellEnd"/>
          </w:p>
        </w:tc>
        <w:tc>
          <w:tcPr>
            <w:tcW w:w="478" w:type="pct"/>
            <w:gridSpan w:val="2"/>
            <w:tcMar>
              <w:top w:w="0" w:type="dxa"/>
              <w:left w:w="115" w:type="dxa"/>
              <w:bottom w:w="0" w:type="dxa"/>
              <w:right w:w="115" w:type="dxa"/>
            </w:tcMar>
            <w:vAlign w:val="bottom"/>
            <w:hideMark/>
          </w:tcPr>
          <w:p w14:paraId="6C1913CC" w14:textId="7B4B9C44" w:rsidR="00477C7B" w:rsidRDefault="004C5E56" w:rsidP="004C5E56">
            <w:pPr>
              <w:pStyle w:val="NormalWeb"/>
              <w:widowControl w:val="0"/>
              <w:adjustRightInd w:val="0"/>
              <w:snapToGrid w:val="0"/>
              <w:spacing w:before="0" w:beforeAutospacing="0" w:after="0" w:afterAutospacing="0"/>
              <w:ind w:left="0"/>
              <w:jc w:val="center"/>
              <w:rPr>
                <w:rFonts w:ascii="Arial" w:hAnsi="Arial" w:cs="Arial"/>
                <w:sz w:val="20"/>
                <w:szCs w:val="20"/>
              </w:rPr>
            </w:pPr>
            <w:r>
              <w:rPr>
                <w:rFonts w:ascii="Arial" w:hAnsi="Arial" w:cs="Arial"/>
                <w:color w:val="000000"/>
                <w:sz w:val="20"/>
                <w:szCs w:val="20"/>
              </w:rPr>
              <w:t>4</w:t>
            </w:r>
          </w:p>
        </w:tc>
        <w:tc>
          <w:tcPr>
            <w:tcW w:w="848" w:type="pct"/>
            <w:tcMar>
              <w:top w:w="0" w:type="dxa"/>
              <w:left w:w="115" w:type="dxa"/>
              <w:bottom w:w="0" w:type="dxa"/>
              <w:right w:w="115" w:type="dxa"/>
            </w:tcMar>
            <w:vAlign w:val="bottom"/>
            <w:hideMark/>
          </w:tcPr>
          <w:p w14:paraId="01866148" w14:textId="2F1301DD"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107.236,11</w:t>
            </w:r>
          </w:p>
        </w:tc>
        <w:tc>
          <w:tcPr>
            <w:tcW w:w="727" w:type="pct"/>
            <w:vAlign w:val="bottom"/>
          </w:tcPr>
          <w:p w14:paraId="382E740D" w14:textId="490C9BF2"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114.752,39</w:t>
            </w:r>
          </w:p>
        </w:tc>
      </w:tr>
      <w:tr w:rsidR="00477C7B" w14:paraId="67B0F0ED" w14:textId="6926F50E" w:rsidTr="004C5E56">
        <w:trPr>
          <w:trHeight w:val="236"/>
        </w:trPr>
        <w:tc>
          <w:tcPr>
            <w:tcW w:w="153" w:type="pct"/>
            <w:noWrap/>
            <w:vAlign w:val="bottom"/>
          </w:tcPr>
          <w:p w14:paraId="360D0E04" w14:textId="164355C2" w:rsidR="00477C7B" w:rsidRDefault="00477C7B" w:rsidP="004C5E56">
            <w:pPr>
              <w:ind w:left="0"/>
              <w:jc w:val="center"/>
            </w:pPr>
            <w:r>
              <w:t>3</w:t>
            </w:r>
          </w:p>
        </w:tc>
        <w:tc>
          <w:tcPr>
            <w:tcW w:w="1042" w:type="pct"/>
            <w:tcMar>
              <w:top w:w="0" w:type="dxa"/>
              <w:left w:w="115" w:type="dxa"/>
              <w:bottom w:w="0" w:type="dxa"/>
              <w:right w:w="115" w:type="dxa"/>
            </w:tcMar>
            <w:vAlign w:val="bottom"/>
            <w:hideMark/>
          </w:tcPr>
          <w:p w14:paraId="2DDF9086" w14:textId="1C160541" w:rsidR="00477C7B" w:rsidRDefault="00477C7B" w:rsidP="004C5E56">
            <w:pPr>
              <w:widowControl w:val="0"/>
              <w:adjustRightInd w:val="0"/>
              <w:snapToGrid w:val="0"/>
              <w:spacing w:after="0" w:line="240" w:lineRule="auto"/>
              <w:ind w:left="0"/>
            </w:pPr>
            <w:proofErr w:type="spellStart"/>
            <w:r>
              <w:t>Configuração</w:t>
            </w:r>
            <w:proofErr w:type="spellEnd"/>
            <w:r>
              <w:t xml:space="preserve"> e Build (PoC)</w:t>
            </w:r>
          </w:p>
        </w:tc>
        <w:tc>
          <w:tcPr>
            <w:tcW w:w="1752" w:type="pct"/>
            <w:tcMar>
              <w:top w:w="0" w:type="dxa"/>
              <w:left w:w="115" w:type="dxa"/>
              <w:bottom w:w="0" w:type="dxa"/>
              <w:right w:w="115" w:type="dxa"/>
            </w:tcMar>
            <w:vAlign w:val="bottom"/>
            <w:hideMark/>
          </w:tcPr>
          <w:p w14:paraId="74B83779" w14:textId="77777777" w:rsidR="00477C7B" w:rsidRDefault="00477C7B" w:rsidP="004C5E56">
            <w:pPr>
              <w:widowControl w:val="0"/>
              <w:adjustRightInd w:val="0"/>
              <w:snapToGrid w:val="0"/>
              <w:spacing w:after="0" w:line="240" w:lineRule="auto"/>
              <w:ind w:left="0"/>
            </w:pPr>
            <w:r>
              <w:rPr>
                <w:rFonts w:eastAsia="Times New Roman"/>
                <w:color w:val="1C212B"/>
                <w:shd w:val="clear" w:color="auto" w:fill="FFFFFF"/>
              </w:rPr>
              <w:t xml:space="preserve">#Descrever </w:t>
            </w:r>
            <w:proofErr w:type="spellStart"/>
            <w:r>
              <w:rPr>
                <w:rFonts w:eastAsia="Times New Roman"/>
                <w:color w:val="1C212B"/>
                <w:shd w:val="clear" w:color="auto" w:fill="FFFFFF"/>
              </w:rPr>
              <w:t>atividade</w:t>
            </w:r>
            <w:proofErr w:type="spellEnd"/>
            <w:r>
              <w:rPr>
                <w:rFonts w:eastAsia="Times New Roman"/>
                <w:color w:val="1C212B"/>
                <w:shd w:val="clear" w:color="auto" w:fill="FFFFFF"/>
              </w:rPr>
              <w:t xml:space="preserve"> e </w:t>
            </w:r>
            <w:proofErr w:type="spellStart"/>
            <w:r>
              <w:rPr>
                <w:rFonts w:eastAsia="Times New Roman"/>
                <w:color w:val="1C212B"/>
                <w:shd w:val="clear" w:color="auto" w:fill="FFFFFF"/>
              </w:rPr>
              <w:t>criterio</w:t>
            </w:r>
            <w:proofErr w:type="spellEnd"/>
            <w:r>
              <w:rPr>
                <w:rFonts w:eastAsia="Times New Roman"/>
                <w:color w:val="1C212B"/>
                <w:shd w:val="clear" w:color="auto" w:fill="FFFFFF"/>
              </w:rPr>
              <w:t xml:space="preserve"> de </w:t>
            </w:r>
            <w:proofErr w:type="spellStart"/>
            <w:r>
              <w:rPr>
                <w:rFonts w:eastAsia="Times New Roman"/>
                <w:color w:val="1C212B"/>
                <w:shd w:val="clear" w:color="auto" w:fill="FFFFFF"/>
              </w:rPr>
              <w:t>aceite</w:t>
            </w:r>
            <w:proofErr w:type="spellEnd"/>
          </w:p>
        </w:tc>
        <w:tc>
          <w:tcPr>
            <w:tcW w:w="478" w:type="pct"/>
            <w:gridSpan w:val="2"/>
            <w:tcMar>
              <w:top w:w="0" w:type="dxa"/>
              <w:left w:w="115" w:type="dxa"/>
              <w:bottom w:w="0" w:type="dxa"/>
              <w:right w:w="115" w:type="dxa"/>
            </w:tcMar>
            <w:vAlign w:val="bottom"/>
            <w:hideMark/>
          </w:tcPr>
          <w:p w14:paraId="4105F294" w14:textId="67374E2F" w:rsidR="00477C7B" w:rsidRDefault="004C5E56" w:rsidP="004C5E56">
            <w:pPr>
              <w:pStyle w:val="NormalWeb"/>
              <w:widowControl w:val="0"/>
              <w:adjustRightInd w:val="0"/>
              <w:snapToGrid w:val="0"/>
              <w:spacing w:before="0" w:beforeAutospacing="0" w:after="0" w:afterAutospacing="0"/>
              <w:ind w:left="0"/>
              <w:jc w:val="center"/>
              <w:rPr>
                <w:rFonts w:ascii="Arial" w:hAnsi="Arial" w:cs="Arial"/>
                <w:sz w:val="20"/>
                <w:szCs w:val="20"/>
              </w:rPr>
            </w:pPr>
            <w:r>
              <w:rPr>
                <w:rFonts w:ascii="Arial" w:hAnsi="Arial" w:cs="Arial"/>
                <w:color w:val="000000"/>
                <w:sz w:val="20"/>
                <w:szCs w:val="20"/>
              </w:rPr>
              <w:t>8</w:t>
            </w:r>
          </w:p>
        </w:tc>
        <w:tc>
          <w:tcPr>
            <w:tcW w:w="848" w:type="pct"/>
            <w:tcMar>
              <w:top w:w="0" w:type="dxa"/>
              <w:left w:w="115" w:type="dxa"/>
              <w:bottom w:w="0" w:type="dxa"/>
              <w:right w:w="115" w:type="dxa"/>
            </w:tcMar>
            <w:vAlign w:val="bottom"/>
            <w:hideMark/>
          </w:tcPr>
          <w:p w14:paraId="27F7C799" w14:textId="755EAB49"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321.708,32</w:t>
            </w:r>
          </w:p>
        </w:tc>
        <w:tc>
          <w:tcPr>
            <w:tcW w:w="727" w:type="pct"/>
            <w:vAlign w:val="bottom"/>
          </w:tcPr>
          <w:p w14:paraId="16940E3A" w14:textId="65F09C82"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344.257,16</w:t>
            </w:r>
          </w:p>
        </w:tc>
      </w:tr>
      <w:tr w:rsidR="00477C7B" w14:paraId="495687DB" w14:textId="48F28F60" w:rsidTr="004C5E56">
        <w:trPr>
          <w:trHeight w:val="90"/>
        </w:trPr>
        <w:tc>
          <w:tcPr>
            <w:tcW w:w="153" w:type="pct"/>
            <w:noWrap/>
            <w:vAlign w:val="bottom"/>
          </w:tcPr>
          <w:p w14:paraId="1812E857" w14:textId="303DB0D8" w:rsidR="00477C7B" w:rsidRDefault="00477C7B" w:rsidP="004C5E56">
            <w:pPr>
              <w:ind w:left="0"/>
              <w:jc w:val="center"/>
            </w:pPr>
            <w:r>
              <w:t>4</w:t>
            </w:r>
          </w:p>
        </w:tc>
        <w:tc>
          <w:tcPr>
            <w:tcW w:w="1042" w:type="pct"/>
            <w:tcMar>
              <w:top w:w="0" w:type="dxa"/>
              <w:left w:w="115" w:type="dxa"/>
              <w:bottom w:w="0" w:type="dxa"/>
              <w:right w:w="115" w:type="dxa"/>
            </w:tcMar>
            <w:vAlign w:val="bottom"/>
          </w:tcPr>
          <w:p w14:paraId="28682288" w14:textId="5793B49A" w:rsidR="00477C7B" w:rsidRDefault="00B64536" w:rsidP="004C5E56">
            <w:pPr>
              <w:widowControl w:val="0"/>
              <w:adjustRightInd w:val="0"/>
              <w:snapToGrid w:val="0"/>
              <w:spacing w:after="0" w:line="240" w:lineRule="auto"/>
              <w:ind w:left="0"/>
            </w:pPr>
            <w:proofErr w:type="spellStart"/>
            <w:r>
              <w:t>Suporte</w:t>
            </w:r>
            <w:proofErr w:type="spellEnd"/>
            <w:r>
              <w:t xml:space="preserve"> UAT e </w:t>
            </w:r>
            <w:proofErr w:type="spellStart"/>
            <w:r w:rsidR="00477C7B" w:rsidRPr="00477C7B">
              <w:t>Transferência</w:t>
            </w:r>
            <w:proofErr w:type="spellEnd"/>
            <w:r w:rsidR="00477C7B" w:rsidRPr="00477C7B">
              <w:t xml:space="preserve"> de </w:t>
            </w:r>
            <w:proofErr w:type="spellStart"/>
            <w:r w:rsidR="00477C7B" w:rsidRPr="00477C7B">
              <w:t>Conhecimento</w:t>
            </w:r>
            <w:proofErr w:type="spellEnd"/>
          </w:p>
        </w:tc>
        <w:tc>
          <w:tcPr>
            <w:tcW w:w="1752" w:type="pct"/>
            <w:tcMar>
              <w:top w:w="0" w:type="dxa"/>
              <w:left w:w="115" w:type="dxa"/>
              <w:bottom w:w="0" w:type="dxa"/>
              <w:right w:w="115" w:type="dxa"/>
            </w:tcMar>
            <w:vAlign w:val="bottom"/>
          </w:tcPr>
          <w:p w14:paraId="3E01757A" w14:textId="30224220" w:rsidR="00477C7B" w:rsidRDefault="00477C7B" w:rsidP="004C5E56">
            <w:pPr>
              <w:widowControl w:val="0"/>
              <w:adjustRightInd w:val="0"/>
              <w:snapToGrid w:val="0"/>
              <w:spacing w:after="0" w:line="240" w:lineRule="auto"/>
              <w:ind w:left="0"/>
              <w:rPr>
                <w:rFonts w:eastAsia="Times New Roman"/>
                <w:color w:val="1C212B"/>
                <w:shd w:val="clear" w:color="auto" w:fill="FFFFFF"/>
              </w:rPr>
            </w:pPr>
            <w:r>
              <w:rPr>
                <w:rFonts w:eastAsia="Times New Roman"/>
                <w:color w:val="1C212B"/>
                <w:shd w:val="clear" w:color="auto" w:fill="FFFFFF"/>
              </w:rPr>
              <w:t xml:space="preserve">#Descrever </w:t>
            </w:r>
            <w:proofErr w:type="spellStart"/>
            <w:r>
              <w:rPr>
                <w:rFonts w:eastAsia="Times New Roman"/>
                <w:color w:val="1C212B"/>
                <w:shd w:val="clear" w:color="auto" w:fill="FFFFFF"/>
              </w:rPr>
              <w:t>atividade</w:t>
            </w:r>
            <w:proofErr w:type="spellEnd"/>
            <w:r>
              <w:rPr>
                <w:rFonts w:eastAsia="Times New Roman"/>
                <w:color w:val="1C212B"/>
                <w:shd w:val="clear" w:color="auto" w:fill="FFFFFF"/>
              </w:rPr>
              <w:t xml:space="preserve"> e </w:t>
            </w:r>
            <w:proofErr w:type="spellStart"/>
            <w:r>
              <w:rPr>
                <w:rFonts w:eastAsia="Times New Roman"/>
                <w:color w:val="1C212B"/>
                <w:shd w:val="clear" w:color="auto" w:fill="FFFFFF"/>
              </w:rPr>
              <w:t>criterio</w:t>
            </w:r>
            <w:proofErr w:type="spellEnd"/>
            <w:r>
              <w:rPr>
                <w:rFonts w:eastAsia="Times New Roman"/>
                <w:color w:val="1C212B"/>
                <w:shd w:val="clear" w:color="auto" w:fill="FFFFFF"/>
              </w:rPr>
              <w:t xml:space="preserve"> de </w:t>
            </w:r>
            <w:proofErr w:type="spellStart"/>
            <w:r>
              <w:rPr>
                <w:rFonts w:eastAsia="Times New Roman"/>
                <w:color w:val="1C212B"/>
                <w:shd w:val="clear" w:color="auto" w:fill="FFFFFF"/>
              </w:rPr>
              <w:t>aceite</w:t>
            </w:r>
            <w:proofErr w:type="spellEnd"/>
          </w:p>
        </w:tc>
        <w:tc>
          <w:tcPr>
            <w:tcW w:w="478" w:type="pct"/>
            <w:gridSpan w:val="2"/>
            <w:tcMar>
              <w:top w:w="0" w:type="dxa"/>
              <w:left w:w="115" w:type="dxa"/>
              <w:bottom w:w="0" w:type="dxa"/>
              <w:right w:w="115" w:type="dxa"/>
            </w:tcMar>
            <w:vAlign w:val="bottom"/>
          </w:tcPr>
          <w:p w14:paraId="59049A64" w14:textId="2BBD3B9F" w:rsidR="00477C7B" w:rsidRDefault="004C5E56" w:rsidP="004C5E56">
            <w:pPr>
              <w:pStyle w:val="NormalWeb"/>
              <w:ind w:left="0"/>
              <w:jc w:val="center"/>
              <w:rPr>
                <w:color w:val="000000"/>
                <w:sz w:val="20"/>
                <w:szCs w:val="20"/>
              </w:rPr>
            </w:pPr>
            <w:r>
              <w:rPr>
                <w:rFonts w:ascii="Arial" w:hAnsi="Arial" w:cs="Arial"/>
                <w:color w:val="000000"/>
                <w:sz w:val="20"/>
                <w:szCs w:val="20"/>
              </w:rPr>
              <w:t>12</w:t>
            </w:r>
          </w:p>
        </w:tc>
        <w:tc>
          <w:tcPr>
            <w:tcW w:w="848" w:type="pct"/>
            <w:tcMar>
              <w:top w:w="0" w:type="dxa"/>
              <w:left w:w="115" w:type="dxa"/>
              <w:bottom w:w="0" w:type="dxa"/>
              <w:right w:w="115" w:type="dxa"/>
            </w:tcMar>
            <w:vAlign w:val="bottom"/>
          </w:tcPr>
          <w:p w14:paraId="20A3DCB3" w14:textId="2D9E2E13"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107.236,11</w:t>
            </w:r>
          </w:p>
        </w:tc>
        <w:tc>
          <w:tcPr>
            <w:tcW w:w="727" w:type="pct"/>
            <w:vAlign w:val="bottom"/>
          </w:tcPr>
          <w:p w14:paraId="1C733A95" w14:textId="57CAB575" w:rsidR="00477C7B" w:rsidRPr="00477C7B" w:rsidRDefault="00477C7B" w:rsidP="004C5E56">
            <w:pPr>
              <w:widowControl w:val="0"/>
              <w:adjustRightInd w:val="0"/>
              <w:snapToGrid w:val="0"/>
              <w:spacing w:after="0"/>
              <w:ind w:left="-25" w:firstLine="86"/>
              <w:jc w:val="center"/>
              <w:rPr>
                <w:rFonts w:eastAsia="Times New Roman"/>
                <w:color w:val="000000"/>
                <w:sz w:val="20"/>
                <w:szCs w:val="20"/>
              </w:rPr>
            </w:pPr>
            <w:r w:rsidRPr="00477C7B">
              <w:rPr>
                <w:rFonts w:eastAsia="Times New Roman"/>
                <w:color w:val="000000"/>
                <w:sz w:val="20"/>
                <w:szCs w:val="20"/>
              </w:rPr>
              <w:t>R$    114.752,39</w:t>
            </w:r>
          </w:p>
        </w:tc>
      </w:tr>
      <w:tr w:rsidR="00477C7B" w:rsidRPr="00477C7B" w14:paraId="26864EF1" w14:textId="0B9B1E67" w:rsidTr="004C5E56">
        <w:trPr>
          <w:trHeight w:val="494"/>
        </w:trPr>
        <w:tc>
          <w:tcPr>
            <w:tcW w:w="153" w:type="pct"/>
            <w:shd w:val="clear" w:color="auto" w:fill="1F4C78"/>
            <w:noWrap/>
            <w:vAlign w:val="bottom"/>
          </w:tcPr>
          <w:p w14:paraId="0A17A4B8" w14:textId="77777777" w:rsidR="00477C7B" w:rsidRDefault="00477C7B" w:rsidP="004C5E56">
            <w:pPr>
              <w:pStyle w:val="NormalWeb"/>
              <w:widowControl w:val="0"/>
              <w:adjustRightInd w:val="0"/>
              <w:snapToGrid w:val="0"/>
              <w:spacing w:before="0" w:beforeAutospacing="0" w:after="0" w:afterAutospacing="0"/>
              <w:jc w:val="center"/>
              <w:rPr>
                <w:rFonts w:ascii="Arial" w:hAnsi="Arial" w:cs="Arial"/>
                <w:b/>
                <w:color w:val="FFFFFF" w:themeColor="background1"/>
                <w:sz w:val="18"/>
                <w:szCs w:val="20"/>
              </w:rPr>
            </w:pPr>
          </w:p>
        </w:tc>
        <w:tc>
          <w:tcPr>
            <w:tcW w:w="2794" w:type="pct"/>
            <w:gridSpan w:val="2"/>
            <w:shd w:val="clear" w:color="auto" w:fill="1F4C78"/>
            <w:tcMar>
              <w:top w:w="0" w:type="dxa"/>
              <w:left w:w="115" w:type="dxa"/>
              <w:bottom w:w="0" w:type="dxa"/>
              <w:right w:w="115" w:type="dxa"/>
            </w:tcMar>
            <w:vAlign w:val="bottom"/>
            <w:hideMark/>
          </w:tcPr>
          <w:p w14:paraId="4816DA8B" w14:textId="77777777" w:rsidR="00477C7B" w:rsidRDefault="00477C7B" w:rsidP="004C5E56">
            <w:pPr>
              <w:pStyle w:val="NormalWeb"/>
              <w:widowControl w:val="0"/>
              <w:adjustRightInd w:val="0"/>
              <w:snapToGrid w:val="0"/>
              <w:spacing w:before="0" w:beforeAutospacing="0" w:after="0" w:afterAutospacing="0"/>
              <w:ind w:left="-111" w:firstLine="81"/>
              <w:jc w:val="right"/>
              <w:rPr>
                <w:color w:val="FFFFFF" w:themeColor="background1"/>
                <w:sz w:val="18"/>
                <w:szCs w:val="20"/>
                <w:lang w:val="pt-BR"/>
              </w:rPr>
            </w:pPr>
            <w:r>
              <w:rPr>
                <w:rFonts w:ascii="Arial" w:hAnsi="Arial" w:cs="Arial"/>
                <w:b/>
                <w:color w:val="FFFFFF" w:themeColor="background1"/>
                <w:sz w:val="18"/>
                <w:szCs w:val="18"/>
                <w:lang w:val="pt-BR"/>
              </w:rPr>
              <w:t>Honorários Totais dos Serviços Profissionais</w:t>
            </w:r>
          </w:p>
        </w:tc>
        <w:tc>
          <w:tcPr>
            <w:tcW w:w="471" w:type="pct"/>
            <w:shd w:val="clear" w:color="auto" w:fill="1F4C78"/>
            <w:tcMar>
              <w:top w:w="0" w:type="dxa"/>
              <w:left w:w="115" w:type="dxa"/>
              <w:bottom w:w="0" w:type="dxa"/>
              <w:right w:w="115" w:type="dxa"/>
            </w:tcMar>
            <w:vAlign w:val="bottom"/>
            <w:hideMark/>
          </w:tcPr>
          <w:p w14:paraId="6BAA65E6" w14:textId="2BAAB3CF" w:rsidR="00477C7B" w:rsidRDefault="00477C7B" w:rsidP="004C5E56">
            <w:pPr>
              <w:pStyle w:val="NormalWeb"/>
              <w:widowControl w:val="0"/>
              <w:adjustRightInd w:val="0"/>
              <w:snapToGrid w:val="0"/>
              <w:spacing w:before="0" w:beforeAutospacing="0" w:after="0" w:afterAutospacing="0"/>
              <w:ind w:left="-25" w:hanging="4"/>
              <w:jc w:val="center"/>
              <w:rPr>
                <w:color w:val="FFFFFF" w:themeColor="background1"/>
                <w:sz w:val="18"/>
                <w:szCs w:val="20"/>
              </w:rPr>
            </w:pPr>
          </w:p>
        </w:tc>
        <w:tc>
          <w:tcPr>
            <w:tcW w:w="855" w:type="pct"/>
            <w:gridSpan w:val="2"/>
            <w:shd w:val="clear" w:color="auto" w:fill="1F4C78"/>
            <w:vAlign w:val="bottom"/>
          </w:tcPr>
          <w:p w14:paraId="2FCAED13" w14:textId="34A1A5AD" w:rsidR="00477C7B" w:rsidRDefault="00477C7B" w:rsidP="00B64536">
            <w:pPr>
              <w:pStyle w:val="NormalWeb"/>
              <w:widowControl w:val="0"/>
              <w:adjustRightInd w:val="0"/>
              <w:snapToGrid w:val="0"/>
              <w:spacing w:before="0" w:beforeAutospacing="0" w:after="0" w:afterAutospacing="0"/>
              <w:ind w:left="0"/>
              <w:jc w:val="center"/>
              <w:rPr>
                <w:color w:val="FFFFFF" w:themeColor="background1"/>
                <w:sz w:val="18"/>
                <w:szCs w:val="20"/>
              </w:rPr>
            </w:pPr>
            <w:r>
              <w:rPr>
                <w:rFonts w:ascii="Arial" w:hAnsi="Arial" w:cs="Arial"/>
                <w:b/>
                <w:color w:val="FFFFFF" w:themeColor="background1"/>
                <w:sz w:val="18"/>
                <w:szCs w:val="20"/>
              </w:rPr>
              <w:t>R$ 643.416,64</w:t>
            </w:r>
          </w:p>
        </w:tc>
        <w:tc>
          <w:tcPr>
            <w:tcW w:w="727" w:type="pct"/>
            <w:shd w:val="clear" w:color="auto" w:fill="1F4C78"/>
            <w:vAlign w:val="bottom"/>
          </w:tcPr>
          <w:p w14:paraId="58EA18B4" w14:textId="13EE1375" w:rsidR="00477C7B" w:rsidRDefault="00477C7B" w:rsidP="004C5E56">
            <w:pPr>
              <w:pStyle w:val="NormalWeb"/>
              <w:widowControl w:val="0"/>
              <w:adjustRightInd w:val="0"/>
              <w:snapToGrid w:val="0"/>
              <w:spacing w:before="0" w:beforeAutospacing="0" w:after="0" w:afterAutospacing="0"/>
              <w:ind w:left="0"/>
              <w:jc w:val="center"/>
              <w:rPr>
                <w:rFonts w:ascii="Arial" w:hAnsi="Arial" w:cs="Arial"/>
                <w:b/>
                <w:color w:val="FFFFFF" w:themeColor="background1"/>
                <w:sz w:val="18"/>
                <w:szCs w:val="20"/>
              </w:rPr>
            </w:pPr>
            <w:r w:rsidRPr="00477C7B">
              <w:rPr>
                <w:rFonts w:ascii="Arial" w:hAnsi="Arial" w:cs="Arial"/>
                <w:b/>
                <w:color w:val="FFFFFF" w:themeColor="background1"/>
                <w:sz w:val="18"/>
                <w:szCs w:val="20"/>
              </w:rPr>
              <w:t>R</w:t>
            </w:r>
            <w:r>
              <w:rPr>
                <w:rFonts w:ascii="Arial" w:hAnsi="Arial" w:cs="Arial"/>
                <w:b/>
                <w:color w:val="FFFFFF" w:themeColor="background1"/>
                <w:sz w:val="18"/>
                <w:szCs w:val="20"/>
              </w:rPr>
              <w:t xml:space="preserve">$ </w:t>
            </w:r>
            <w:r w:rsidRPr="00477C7B">
              <w:rPr>
                <w:rFonts w:ascii="Arial" w:hAnsi="Arial" w:cs="Arial"/>
                <w:b/>
                <w:color w:val="FFFFFF" w:themeColor="background1"/>
                <w:sz w:val="18"/>
                <w:szCs w:val="20"/>
              </w:rPr>
              <w:t>688.514,33</w:t>
            </w:r>
          </w:p>
        </w:tc>
      </w:tr>
      <w:tr w:rsidR="004C5E56" w14:paraId="30D06359" w14:textId="27C28F94" w:rsidTr="004C5E56">
        <w:trPr>
          <w:trHeight w:val="107"/>
        </w:trPr>
        <w:tc>
          <w:tcPr>
            <w:tcW w:w="153" w:type="pct"/>
            <w:noWrap/>
            <w:vAlign w:val="bottom"/>
          </w:tcPr>
          <w:p w14:paraId="16F5BEEE" w14:textId="77777777" w:rsidR="004C5E56" w:rsidRDefault="004C5E56" w:rsidP="004C5E56">
            <w:pPr>
              <w:pStyle w:val="NormalWeb"/>
              <w:widowControl w:val="0"/>
              <w:adjustRightInd w:val="0"/>
              <w:snapToGrid w:val="0"/>
              <w:spacing w:before="0" w:beforeAutospacing="0" w:after="0" w:afterAutospacing="0"/>
              <w:jc w:val="center"/>
              <w:rPr>
                <w:rFonts w:ascii="Arial" w:hAnsi="Arial" w:cs="Arial"/>
                <w:color w:val="000000"/>
                <w:sz w:val="20"/>
                <w:szCs w:val="20"/>
              </w:rPr>
            </w:pPr>
          </w:p>
        </w:tc>
        <w:tc>
          <w:tcPr>
            <w:tcW w:w="2794" w:type="pct"/>
            <w:gridSpan w:val="2"/>
            <w:tcMar>
              <w:top w:w="0" w:type="dxa"/>
              <w:left w:w="115" w:type="dxa"/>
              <w:bottom w:w="0" w:type="dxa"/>
              <w:right w:w="115" w:type="dxa"/>
            </w:tcMar>
            <w:vAlign w:val="bottom"/>
            <w:hideMark/>
          </w:tcPr>
          <w:p w14:paraId="6CAA7FCF" w14:textId="77777777" w:rsidR="004C5E56" w:rsidRDefault="004C5E56" w:rsidP="004C5E56">
            <w:pPr>
              <w:pStyle w:val="NormalWeb"/>
              <w:widowControl w:val="0"/>
              <w:adjustRightInd w:val="0"/>
              <w:snapToGrid w:val="0"/>
              <w:spacing w:before="0" w:beforeAutospacing="0" w:after="0" w:afterAutospacing="0"/>
              <w:ind w:left="-111"/>
              <w:jc w:val="right"/>
              <w:rPr>
                <w:sz w:val="20"/>
                <w:szCs w:val="20"/>
                <w:lang w:val="pt-BR"/>
              </w:rPr>
            </w:pPr>
            <w:r>
              <w:rPr>
                <w:rFonts w:ascii="Arial" w:hAnsi="Arial" w:cs="Arial"/>
                <w:color w:val="000000"/>
                <w:sz w:val="18"/>
                <w:szCs w:val="18"/>
                <w:lang w:val="pt-BR"/>
              </w:rPr>
              <w:t>Alíquota de Impostos na Data de Vigência </w:t>
            </w:r>
          </w:p>
        </w:tc>
        <w:tc>
          <w:tcPr>
            <w:tcW w:w="2053" w:type="pct"/>
            <w:gridSpan w:val="4"/>
            <w:tcMar>
              <w:top w:w="0" w:type="dxa"/>
              <w:left w:w="115" w:type="dxa"/>
              <w:bottom w:w="0" w:type="dxa"/>
              <w:right w:w="115" w:type="dxa"/>
            </w:tcMar>
            <w:vAlign w:val="bottom"/>
            <w:hideMark/>
          </w:tcPr>
          <w:p w14:paraId="6E0AE09A" w14:textId="5815C02F" w:rsidR="004C5E56" w:rsidRDefault="004C5E56" w:rsidP="004C5E56">
            <w:pPr>
              <w:pStyle w:val="NormalWeb"/>
              <w:widowControl w:val="0"/>
              <w:adjustRightInd w:val="0"/>
              <w:snapToGrid w:val="0"/>
              <w:spacing w:before="0" w:beforeAutospacing="0" w:after="0" w:afterAutospacing="0"/>
              <w:ind w:left="0"/>
              <w:rPr>
                <w:rFonts w:ascii="Arial" w:hAnsi="Arial" w:cs="Arial"/>
                <w:color w:val="000000"/>
                <w:sz w:val="20"/>
                <w:szCs w:val="20"/>
              </w:rPr>
            </w:pPr>
            <w:r>
              <w:rPr>
                <w:rFonts w:ascii="Arial" w:hAnsi="Arial" w:cs="Arial"/>
                <w:color w:val="000000"/>
                <w:sz w:val="20"/>
                <w:szCs w:val="20"/>
              </w:rPr>
              <w:t>6,55</w:t>
            </w:r>
          </w:p>
        </w:tc>
      </w:tr>
      <w:tr w:rsidR="004C5E56" w14:paraId="73B2250F" w14:textId="32576ADC" w:rsidTr="004C5E56">
        <w:trPr>
          <w:trHeight w:val="107"/>
        </w:trPr>
        <w:tc>
          <w:tcPr>
            <w:tcW w:w="153" w:type="pct"/>
            <w:noWrap/>
            <w:vAlign w:val="bottom"/>
          </w:tcPr>
          <w:p w14:paraId="71C713A3" w14:textId="77777777" w:rsidR="004C5E56" w:rsidRDefault="004C5E56" w:rsidP="004C5E56">
            <w:pPr>
              <w:pStyle w:val="NormalWeb"/>
              <w:widowControl w:val="0"/>
              <w:adjustRightInd w:val="0"/>
              <w:snapToGrid w:val="0"/>
              <w:spacing w:before="0" w:beforeAutospacing="0" w:after="0" w:afterAutospacing="0"/>
              <w:jc w:val="center"/>
              <w:rPr>
                <w:rFonts w:ascii="Arial" w:hAnsi="Arial" w:cs="Arial"/>
                <w:color w:val="000000"/>
                <w:sz w:val="20"/>
                <w:szCs w:val="20"/>
              </w:rPr>
            </w:pPr>
          </w:p>
        </w:tc>
        <w:tc>
          <w:tcPr>
            <w:tcW w:w="2794" w:type="pct"/>
            <w:gridSpan w:val="2"/>
            <w:tcMar>
              <w:top w:w="0" w:type="dxa"/>
              <w:left w:w="115" w:type="dxa"/>
              <w:bottom w:w="0" w:type="dxa"/>
              <w:right w:w="115" w:type="dxa"/>
            </w:tcMar>
            <w:vAlign w:val="bottom"/>
            <w:hideMark/>
          </w:tcPr>
          <w:p w14:paraId="7D493AB7" w14:textId="77777777" w:rsidR="004C5E56" w:rsidRDefault="004C5E56" w:rsidP="004C5E56">
            <w:pPr>
              <w:pStyle w:val="NormalWeb"/>
              <w:widowControl w:val="0"/>
              <w:adjustRightInd w:val="0"/>
              <w:snapToGrid w:val="0"/>
              <w:spacing w:before="0" w:beforeAutospacing="0" w:after="0" w:afterAutospacing="0"/>
              <w:ind w:left="-111"/>
              <w:jc w:val="right"/>
              <w:rPr>
                <w:sz w:val="20"/>
                <w:szCs w:val="20"/>
              </w:rPr>
            </w:pPr>
            <w:r>
              <w:rPr>
                <w:rFonts w:ascii="Arial" w:hAnsi="Arial" w:cs="Arial"/>
                <w:color w:val="000000"/>
                <w:sz w:val="18"/>
                <w:szCs w:val="18"/>
              </w:rPr>
              <w:t>Impostos Estimados</w:t>
            </w:r>
          </w:p>
        </w:tc>
        <w:tc>
          <w:tcPr>
            <w:tcW w:w="2053" w:type="pct"/>
            <w:gridSpan w:val="4"/>
            <w:tcMar>
              <w:top w:w="0" w:type="dxa"/>
              <w:left w:w="115" w:type="dxa"/>
              <w:bottom w:w="0" w:type="dxa"/>
              <w:right w:w="115" w:type="dxa"/>
            </w:tcMar>
            <w:vAlign w:val="bottom"/>
            <w:hideMark/>
          </w:tcPr>
          <w:p w14:paraId="5EAB3796" w14:textId="61B611DD" w:rsidR="004C5E56" w:rsidRDefault="004C5E56" w:rsidP="004C5E56">
            <w:pPr>
              <w:pStyle w:val="NormalWeb"/>
              <w:widowControl w:val="0"/>
              <w:adjustRightInd w:val="0"/>
              <w:snapToGrid w:val="0"/>
              <w:spacing w:before="0" w:beforeAutospacing="0" w:after="0" w:afterAutospacing="0"/>
              <w:ind w:left="0"/>
              <w:rPr>
                <w:rFonts w:ascii="Arial" w:hAnsi="Arial" w:cs="Arial"/>
                <w:color w:val="000000"/>
                <w:sz w:val="20"/>
                <w:szCs w:val="20"/>
              </w:rPr>
            </w:pPr>
            <w:r>
              <w:rPr>
                <w:rFonts w:ascii="Arial" w:hAnsi="Arial" w:cs="Arial"/>
                <w:color w:val="000000"/>
                <w:sz w:val="20"/>
                <w:szCs w:val="20"/>
              </w:rPr>
              <w:t>R$ 45</w:t>
            </w:r>
            <w:r w:rsidR="00543B62">
              <w:rPr>
                <w:rFonts w:ascii="Arial" w:hAnsi="Arial" w:cs="Arial"/>
                <w:color w:val="000000"/>
                <w:sz w:val="20"/>
                <w:szCs w:val="20"/>
              </w:rPr>
              <w:t>.</w:t>
            </w:r>
            <w:r>
              <w:rPr>
                <w:rFonts w:ascii="Arial" w:hAnsi="Arial" w:cs="Arial"/>
                <w:color w:val="000000"/>
                <w:sz w:val="20"/>
                <w:szCs w:val="20"/>
              </w:rPr>
              <w:t>097</w:t>
            </w:r>
            <w:r w:rsidR="00543B62">
              <w:rPr>
                <w:rFonts w:ascii="Arial" w:hAnsi="Arial" w:cs="Arial"/>
                <w:color w:val="000000"/>
                <w:sz w:val="20"/>
                <w:szCs w:val="20"/>
              </w:rPr>
              <w:t>,</w:t>
            </w:r>
            <w:r>
              <w:rPr>
                <w:rFonts w:ascii="Arial" w:hAnsi="Arial" w:cs="Arial"/>
                <w:color w:val="000000"/>
                <w:sz w:val="20"/>
                <w:szCs w:val="20"/>
              </w:rPr>
              <w:t>6</w:t>
            </w:r>
            <w:r w:rsidR="00543B62">
              <w:rPr>
                <w:rFonts w:ascii="Arial" w:hAnsi="Arial" w:cs="Arial"/>
                <w:color w:val="000000"/>
                <w:sz w:val="20"/>
                <w:szCs w:val="20"/>
              </w:rPr>
              <w:t>9</w:t>
            </w:r>
          </w:p>
        </w:tc>
      </w:tr>
      <w:tr w:rsidR="004C5E56" w14:paraId="382DD80E" w14:textId="69806223" w:rsidTr="004C5E56">
        <w:trPr>
          <w:trHeight w:val="98"/>
        </w:trPr>
        <w:tc>
          <w:tcPr>
            <w:tcW w:w="153" w:type="pct"/>
            <w:noWrap/>
            <w:vAlign w:val="bottom"/>
          </w:tcPr>
          <w:p w14:paraId="2A37F377" w14:textId="77777777" w:rsidR="004C5E56" w:rsidRDefault="004C5E56" w:rsidP="004C5E56">
            <w:pPr>
              <w:pStyle w:val="NormalWeb"/>
              <w:widowControl w:val="0"/>
              <w:adjustRightInd w:val="0"/>
              <w:snapToGrid w:val="0"/>
              <w:spacing w:before="0" w:beforeAutospacing="0" w:after="0" w:afterAutospacing="0"/>
              <w:jc w:val="center"/>
              <w:rPr>
                <w:rFonts w:ascii="Arial" w:hAnsi="Arial" w:cs="Arial"/>
                <w:color w:val="000000"/>
                <w:sz w:val="20"/>
                <w:szCs w:val="20"/>
              </w:rPr>
            </w:pPr>
          </w:p>
        </w:tc>
        <w:tc>
          <w:tcPr>
            <w:tcW w:w="2794" w:type="pct"/>
            <w:gridSpan w:val="2"/>
            <w:tcMar>
              <w:top w:w="0" w:type="dxa"/>
              <w:left w:w="115" w:type="dxa"/>
              <w:bottom w:w="0" w:type="dxa"/>
              <w:right w:w="115" w:type="dxa"/>
            </w:tcMar>
            <w:vAlign w:val="bottom"/>
            <w:hideMark/>
          </w:tcPr>
          <w:p w14:paraId="3F83E416" w14:textId="77777777" w:rsidR="004C5E56" w:rsidRDefault="004C5E56" w:rsidP="004C5E56">
            <w:pPr>
              <w:pStyle w:val="NormalWeb"/>
              <w:widowControl w:val="0"/>
              <w:adjustRightInd w:val="0"/>
              <w:snapToGrid w:val="0"/>
              <w:spacing w:before="0" w:beforeAutospacing="0" w:after="0" w:afterAutospacing="0"/>
              <w:ind w:left="-111" w:firstLine="25"/>
              <w:jc w:val="right"/>
              <w:rPr>
                <w:sz w:val="20"/>
                <w:szCs w:val="20"/>
              </w:rPr>
            </w:pPr>
            <w:r>
              <w:rPr>
                <w:rFonts w:ascii="Arial" w:hAnsi="Arial" w:cs="Arial"/>
                <w:color w:val="000000"/>
                <w:sz w:val="18"/>
                <w:szCs w:val="18"/>
              </w:rPr>
              <w:t>T&amp;E Estimadas</w:t>
            </w:r>
          </w:p>
        </w:tc>
        <w:tc>
          <w:tcPr>
            <w:tcW w:w="2053" w:type="pct"/>
            <w:gridSpan w:val="4"/>
            <w:tcMar>
              <w:top w:w="0" w:type="dxa"/>
              <w:left w:w="115" w:type="dxa"/>
              <w:bottom w:w="0" w:type="dxa"/>
              <w:right w:w="115" w:type="dxa"/>
            </w:tcMar>
            <w:vAlign w:val="bottom"/>
            <w:hideMark/>
          </w:tcPr>
          <w:p w14:paraId="7D41C116" w14:textId="11D0257D" w:rsidR="004C5E56" w:rsidRDefault="004C5E56" w:rsidP="004C5E56">
            <w:pPr>
              <w:pStyle w:val="NormalWeb"/>
              <w:widowControl w:val="0"/>
              <w:adjustRightInd w:val="0"/>
              <w:snapToGrid w:val="0"/>
              <w:spacing w:before="0" w:beforeAutospacing="0" w:after="0" w:afterAutospacing="0"/>
              <w:ind w:left="0"/>
              <w:rPr>
                <w:rFonts w:ascii="Arial" w:hAnsi="Arial" w:cs="Arial"/>
                <w:color w:val="000000"/>
                <w:sz w:val="20"/>
                <w:szCs w:val="20"/>
              </w:rPr>
            </w:pPr>
            <w:r>
              <w:rPr>
                <w:rFonts w:ascii="Arial" w:hAnsi="Arial" w:cs="Arial"/>
                <w:color w:val="000000"/>
                <w:sz w:val="20"/>
                <w:szCs w:val="20"/>
              </w:rPr>
              <w:t>R$ 0,00</w:t>
            </w:r>
          </w:p>
        </w:tc>
      </w:tr>
      <w:tr w:rsidR="004C5E56" w14:paraId="51DF457E" w14:textId="5E996A2B" w:rsidTr="004C5E56">
        <w:trPr>
          <w:trHeight w:val="52"/>
        </w:trPr>
        <w:tc>
          <w:tcPr>
            <w:tcW w:w="153" w:type="pct"/>
            <w:noWrap/>
            <w:vAlign w:val="bottom"/>
          </w:tcPr>
          <w:p w14:paraId="3086C540" w14:textId="77777777" w:rsidR="004C5E56" w:rsidRDefault="004C5E56" w:rsidP="004C5E56">
            <w:pPr>
              <w:pStyle w:val="NormalWeb"/>
              <w:widowControl w:val="0"/>
              <w:adjustRightInd w:val="0"/>
              <w:snapToGrid w:val="0"/>
              <w:spacing w:before="0" w:beforeAutospacing="0" w:after="0" w:afterAutospacing="0"/>
              <w:jc w:val="center"/>
              <w:rPr>
                <w:rFonts w:ascii="Arial" w:hAnsi="Arial" w:cs="Arial"/>
                <w:b/>
                <w:color w:val="000000"/>
                <w:sz w:val="20"/>
                <w:szCs w:val="20"/>
              </w:rPr>
            </w:pPr>
          </w:p>
        </w:tc>
        <w:tc>
          <w:tcPr>
            <w:tcW w:w="2794" w:type="pct"/>
            <w:gridSpan w:val="2"/>
            <w:tcMar>
              <w:top w:w="0" w:type="dxa"/>
              <w:left w:w="115" w:type="dxa"/>
              <w:bottom w:w="0" w:type="dxa"/>
              <w:right w:w="115" w:type="dxa"/>
            </w:tcMar>
            <w:vAlign w:val="bottom"/>
            <w:hideMark/>
          </w:tcPr>
          <w:p w14:paraId="3D49E94A" w14:textId="77777777" w:rsidR="004C5E56" w:rsidRDefault="004C5E56" w:rsidP="004C5E56">
            <w:pPr>
              <w:pStyle w:val="NormalWeb"/>
              <w:widowControl w:val="0"/>
              <w:adjustRightInd w:val="0"/>
              <w:snapToGrid w:val="0"/>
              <w:spacing w:before="0" w:beforeAutospacing="0" w:after="0" w:afterAutospacing="0"/>
              <w:ind w:left="-111"/>
              <w:jc w:val="right"/>
              <w:rPr>
                <w:sz w:val="20"/>
                <w:szCs w:val="20"/>
                <w:lang w:val="pt-BR"/>
              </w:rPr>
            </w:pPr>
            <w:r>
              <w:rPr>
                <w:rFonts w:ascii="Arial" w:hAnsi="Arial" w:cs="Arial"/>
                <w:b/>
                <w:color w:val="000000"/>
                <w:sz w:val="18"/>
                <w:szCs w:val="18"/>
                <w:lang w:val="pt-BR"/>
              </w:rPr>
              <w:t>Total estimado</w:t>
            </w:r>
            <w:r>
              <w:rPr>
                <w:rFonts w:ascii="Arial" w:hAnsi="Arial" w:cs="Arial"/>
                <w:color w:val="000000"/>
                <w:sz w:val="18"/>
                <w:szCs w:val="18"/>
                <w:lang w:val="pt-BR"/>
              </w:rPr>
              <w:t xml:space="preserve"> (Honorários, Impostos e T&amp;E)</w:t>
            </w:r>
          </w:p>
        </w:tc>
        <w:tc>
          <w:tcPr>
            <w:tcW w:w="2053" w:type="pct"/>
            <w:gridSpan w:val="4"/>
            <w:tcMar>
              <w:top w:w="0" w:type="dxa"/>
              <w:left w:w="115" w:type="dxa"/>
              <w:bottom w:w="0" w:type="dxa"/>
              <w:right w:w="115" w:type="dxa"/>
            </w:tcMar>
            <w:vAlign w:val="bottom"/>
            <w:hideMark/>
          </w:tcPr>
          <w:p w14:paraId="3E8AD328" w14:textId="522185B9" w:rsidR="004C5E56" w:rsidRDefault="004C5E56" w:rsidP="004C5E56">
            <w:pPr>
              <w:pStyle w:val="NormalWeb"/>
              <w:widowControl w:val="0"/>
              <w:adjustRightInd w:val="0"/>
              <w:snapToGrid w:val="0"/>
              <w:spacing w:before="0" w:beforeAutospacing="0" w:after="0" w:afterAutospacing="0"/>
              <w:ind w:left="0"/>
              <w:rPr>
                <w:rFonts w:ascii="Arial" w:hAnsi="Arial" w:cs="Arial"/>
                <w:color w:val="000000"/>
                <w:sz w:val="20"/>
                <w:szCs w:val="20"/>
              </w:rPr>
            </w:pPr>
            <w:r>
              <w:rPr>
                <w:rFonts w:ascii="Arial" w:hAnsi="Arial" w:cs="Arial"/>
                <w:color w:val="000000"/>
                <w:sz w:val="20"/>
                <w:szCs w:val="20"/>
              </w:rPr>
              <w:t>R$ 688,514.33</w:t>
            </w:r>
          </w:p>
        </w:tc>
      </w:tr>
    </w:tbl>
    <w:p w14:paraId="05994220" w14:textId="77777777" w:rsidR="00211257" w:rsidRDefault="00000000">
      <w:pPr>
        <w:pStyle w:val="Ttulo2"/>
        <w:jc w:val="left"/>
        <w:rPr>
          <w:lang w:val="pt-BR"/>
        </w:rPr>
      </w:pPr>
      <w:r>
        <w:rPr>
          <w:lang w:val="pt-BR"/>
        </w:rPr>
        <w:lastRenderedPageBreak/>
        <w:t>Requerimentos de Viagens e Despesas (T&amp;E)</w:t>
      </w:r>
    </w:p>
    <w:p w14:paraId="10639191" w14:textId="77777777" w:rsidR="002B2190" w:rsidRDefault="00000000" w:rsidP="00FF7FAD">
      <w:pPr>
        <w:rPr>
          <w:lang w:val="pt-BR"/>
        </w:rPr>
      </w:pPr>
      <w:r>
        <w:rPr>
          <w:lang w:val="pt-BR"/>
        </w:rPr>
        <w:t xml:space="preserve">As </w:t>
      </w:r>
      <w:proofErr w:type="spellStart"/>
      <w:r>
        <w:rPr>
          <w:lang w:val="pt-BR"/>
        </w:rPr>
        <w:t>T&amp;Es</w:t>
      </w:r>
      <w:proofErr w:type="spellEnd"/>
      <w:r>
        <w:rPr>
          <w:lang w:val="pt-BR"/>
        </w:rPr>
        <w:t xml:space="preserve"> </w:t>
      </w:r>
      <w:r w:rsidR="00543B62">
        <w:rPr>
          <w:lang w:val="pt-BR"/>
        </w:rPr>
        <w:t xml:space="preserve">não </w:t>
      </w:r>
      <w:r>
        <w:rPr>
          <w:lang w:val="pt-BR"/>
        </w:rPr>
        <w:t xml:space="preserve">estão atualmente estimadas </w:t>
      </w:r>
      <w:r w:rsidR="00AD5281">
        <w:rPr>
          <w:lang w:val="pt-BR"/>
        </w:rPr>
        <w:t>e, portanto,</w:t>
      </w:r>
      <w:r w:rsidR="00543B62">
        <w:rPr>
          <w:lang w:val="pt-BR"/>
        </w:rPr>
        <w:t xml:space="preserve"> </w:t>
      </w:r>
      <w:r>
        <w:rPr>
          <w:lang w:val="pt-BR"/>
        </w:rPr>
        <w:t xml:space="preserve">não estão incluídas nos honorários de Serviços Profissionais estabelecidos nesta SOW. </w:t>
      </w:r>
    </w:p>
    <w:p w14:paraId="53F6717F" w14:textId="593BADDE" w:rsidR="00FF7FAD" w:rsidRPr="00FF7FAD" w:rsidRDefault="00FF7FAD" w:rsidP="00FF7FAD">
      <w:pPr>
        <w:rPr>
          <w:lang w:val="pt-BR"/>
        </w:rPr>
      </w:pPr>
      <w:r w:rsidRPr="00FF7FAD">
        <w:rPr>
          <w:lang w:val="pt-BR"/>
        </w:rPr>
        <w:t xml:space="preserve">Embora este projeto tenha como premissa principal a execução remota, a SFDC e o Cliente </w:t>
      </w:r>
      <w:r w:rsidR="00AD5281" w:rsidRPr="00FF7FAD">
        <w:rPr>
          <w:lang w:val="pt-BR"/>
        </w:rPr>
        <w:t>reconhecem</w:t>
      </w:r>
      <w:r w:rsidRPr="00FF7FAD">
        <w:rPr>
          <w:lang w:val="pt-BR"/>
        </w:rPr>
        <w:t xml:space="preserve"> a importância de momentos presenciais para determinadas atividades críticas ao sucesso do projeto</w:t>
      </w:r>
      <w:r w:rsidR="002B2190">
        <w:rPr>
          <w:lang w:val="pt-BR"/>
        </w:rPr>
        <w:t xml:space="preserve"> como: </w:t>
      </w:r>
      <w:r w:rsidRPr="00FF7FAD">
        <w:rPr>
          <w:lang w:val="pt-BR"/>
        </w:rPr>
        <w:t xml:space="preserve">workshops de descoberta, PI Planning, refinamento de HDU, sessões de alinhamento estratégico, validação de entregas e atividades de capacitação técnica. Não são consideradas atividades </w:t>
      </w:r>
      <w:proofErr w:type="spellStart"/>
      <w:r w:rsidRPr="00FF7FAD">
        <w:rPr>
          <w:lang w:val="pt-BR"/>
        </w:rPr>
        <w:t>critícas</w:t>
      </w:r>
      <w:proofErr w:type="spellEnd"/>
      <w:r w:rsidRPr="00FF7FAD">
        <w:rPr>
          <w:lang w:val="pt-BR"/>
        </w:rPr>
        <w:t>: desenvolvimento, acompanhamento de testes e sustentação.</w:t>
      </w:r>
    </w:p>
    <w:p w14:paraId="5EA59827" w14:textId="2D6EE9A8" w:rsidR="00FF7FAD" w:rsidRPr="00FF7FAD" w:rsidRDefault="00FF7FAD" w:rsidP="00FF7FAD">
      <w:pPr>
        <w:rPr>
          <w:lang w:val="pt-BR"/>
        </w:rPr>
      </w:pPr>
      <w:r w:rsidRPr="00FF7FAD">
        <w:rPr>
          <w:lang w:val="pt-BR"/>
        </w:rPr>
        <w:t>A utilização desta capacidade será acompanhada pela Gestão do Projeto SFDC</w:t>
      </w:r>
      <w:r w:rsidR="002B2190">
        <w:rPr>
          <w:lang w:val="pt-BR"/>
        </w:rPr>
        <w:t xml:space="preserve"> e os </w:t>
      </w:r>
      <w:r w:rsidRPr="00FF7FAD">
        <w:rPr>
          <w:lang w:val="pt-BR"/>
        </w:rPr>
        <w:t xml:space="preserve">critérios de criticidade devem ser respeitados pelo Cliente e, caso </w:t>
      </w:r>
      <w:r w:rsidR="002B2190">
        <w:rPr>
          <w:lang w:val="pt-BR"/>
        </w:rPr>
        <w:t>contrário</w:t>
      </w:r>
      <w:r w:rsidRPr="00FF7FAD">
        <w:rPr>
          <w:lang w:val="pt-BR"/>
        </w:rPr>
        <w:t xml:space="preserve">, as </w:t>
      </w:r>
      <w:proofErr w:type="spellStart"/>
      <w:r w:rsidRPr="00FF7FAD">
        <w:rPr>
          <w:lang w:val="pt-BR"/>
        </w:rPr>
        <w:t>T&amp;Es</w:t>
      </w:r>
      <w:proofErr w:type="spellEnd"/>
      <w:r w:rsidRPr="00FF7FAD">
        <w:rPr>
          <w:lang w:val="pt-BR"/>
        </w:rPr>
        <w:t xml:space="preserve"> serão faturadas separadamente e reembolsadas pelo Cliente de acordo com a política de Viagens e Despesas da </w:t>
      </w:r>
      <w:proofErr w:type="spellStart"/>
      <w:r w:rsidRPr="00FF7FAD">
        <w:rPr>
          <w:lang w:val="pt-BR"/>
        </w:rPr>
        <w:t>Salesforce</w:t>
      </w:r>
      <w:proofErr w:type="spellEnd"/>
      <w:r w:rsidRPr="00FF7FAD">
        <w:rPr>
          <w:lang w:val="pt-BR"/>
        </w:rPr>
        <w:t>.</w:t>
      </w:r>
    </w:p>
    <w:p w14:paraId="1AD24645" w14:textId="77777777" w:rsidR="00211257" w:rsidRDefault="00000000">
      <w:pPr>
        <w:pStyle w:val="Ttulo2"/>
        <w:jc w:val="left"/>
        <w:rPr>
          <w:lang w:val="pt-BR"/>
        </w:rPr>
      </w:pPr>
      <w:proofErr w:type="spellStart"/>
      <w:r>
        <w:rPr>
          <w:lang w:val="pt-BR"/>
        </w:rPr>
        <w:t>Informacões</w:t>
      </w:r>
      <w:proofErr w:type="spellEnd"/>
      <w:r>
        <w:rPr>
          <w:lang w:val="pt-BR"/>
        </w:rPr>
        <w:t xml:space="preserve"> Fiscais do Cliente</w:t>
      </w:r>
    </w:p>
    <w:p w14:paraId="0FDE795F" w14:textId="64446DF9" w:rsidR="00211257" w:rsidRDefault="00000000">
      <w:pPr>
        <w:pStyle w:val="Ttulo3"/>
      </w:pPr>
      <w:bookmarkStart w:id="4" w:name="_Hlk165903594"/>
      <w:r>
        <w:t xml:space="preserve">CNPJ#:  </w:t>
      </w:r>
      <w:r w:rsidR="00543B62">
        <w:rPr>
          <w:color w:val="000000"/>
          <w:szCs w:val="18"/>
        </w:rPr>
        <w:t>40.432.544/0001-47</w:t>
      </w:r>
    </w:p>
    <w:bookmarkEnd w:id="4"/>
    <w:p w14:paraId="64E2DCBE" w14:textId="59BF1174" w:rsidR="00211257" w:rsidRDefault="00000000">
      <w:pPr>
        <w:pStyle w:val="Ttulo3"/>
        <w:rPr>
          <w:lang w:val="pt-BR"/>
        </w:rPr>
      </w:pPr>
      <w:r>
        <w:rPr>
          <w:lang w:val="pt-BR"/>
        </w:rPr>
        <w:t>Isento de Tributos? N</w:t>
      </w:r>
      <w:r w:rsidR="00543B62">
        <w:rPr>
          <w:lang w:val="pt-BR"/>
        </w:rPr>
        <w:t>ão</w:t>
      </w:r>
    </w:p>
    <w:p w14:paraId="6E3B5DCE" w14:textId="77777777" w:rsidR="00211257" w:rsidRDefault="00000000">
      <w:pPr>
        <w:pStyle w:val="Ttulo3"/>
      </w:pPr>
      <w:r>
        <w:t>Moeda: BRL</w:t>
      </w:r>
    </w:p>
    <w:p w14:paraId="768AA08B" w14:textId="77777777" w:rsidR="00211257" w:rsidRDefault="00000000">
      <w:pPr>
        <w:pStyle w:val="Ttulo2"/>
        <w:jc w:val="left"/>
      </w:pPr>
      <w:r>
        <w:t>Requisitos de PO do Cliente</w:t>
      </w:r>
    </w:p>
    <w:p w14:paraId="3F3DE650" w14:textId="77777777" w:rsidR="00211257" w:rsidRDefault="00000000">
      <w:pPr>
        <w:ind w:left="792"/>
      </w:pPr>
      <w:r>
        <w:rPr>
          <w:lang w:val="pt-BR"/>
        </w:rPr>
        <w:t xml:space="preserve">Uma Ordem de Compra (“PO”) é requerida para a compra ou pagamento dos serviços desta SOW. </w:t>
      </w:r>
      <w:r>
        <w:rPr>
          <w:rFonts w:eastAsia="Arial"/>
          <w:b/>
          <w:color w:val="1C212B"/>
          <w:szCs w:val="18"/>
          <w:shd w:val="clear" w:color="auto" w:fill="FFFFFF"/>
          <w:lang w:val="pt-BR"/>
        </w:rPr>
        <w:t xml:space="preserve"> </w:t>
      </w:r>
    </w:p>
    <w:p w14:paraId="44B9619B" w14:textId="69627E1A" w:rsidR="00211257" w:rsidRDefault="00000000">
      <w:pPr>
        <w:pStyle w:val="Ttulo2"/>
        <w:jc w:val="left"/>
      </w:pPr>
      <w:r>
        <w:rPr>
          <w:rFonts w:eastAsia="Arial"/>
          <w:color w:val="1C212B"/>
          <w:szCs w:val="18"/>
          <w:shd w:val="clear" w:color="auto" w:fill="FFFFFF"/>
        </w:rPr>
        <w:t>PO#</w:t>
      </w:r>
      <w:r w:rsidR="00543B62">
        <w:rPr>
          <w:rFonts w:eastAsia="Arial"/>
          <w:color w:val="1C212B"/>
          <w:szCs w:val="18"/>
          <w:shd w:val="clear" w:color="auto" w:fill="FFFFFF"/>
        </w:rPr>
        <w:t xml:space="preserve"> do </w:t>
      </w:r>
      <w:proofErr w:type="spellStart"/>
      <w:r w:rsidR="00543B62">
        <w:rPr>
          <w:rFonts w:eastAsia="Arial"/>
          <w:color w:val="1C212B"/>
          <w:szCs w:val="18"/>
          <w:shd w:val="clear" w:color="auto" w:fill="FFFFFF"/>
        </w:rPr>
        <w:t>Cliente</w:t>
      </w:r>
      <w:proofErr w:type="spellEnd"/>
      <w:r>
        <w:rPr>
          <w:rFonts w:eastAsia="Arial"/>
          <w:color w:val="1C212B"/>
          <w:szCs w:val="18"/>
          <w:shd w:val="clear" w:color="auto" w:fill="FFFFFF"/>
        </w:rPr>
        <w:t xml:space="preserve">: </w:t>
      </w:r>
    </w:p>
    <w:p w14:paraId="16E24948" w14:textId="2A9E9229" w:rsidR="00211257" w:rsidRDefault="00543B62">
      <w:pPr>
        <w:ind w:left="792"/>
        <w:rPr>
          <w:rFonts w:eastAsia="Arial"/>
          <w:color w:val="000000"/>
          <w:szCs w:val="18"/>
          <w:shd w:val="clear" w:color="auto" w:fill="FFFFFF"/>
        </w:rPr>
      </w:pPr>
      <w:r>
        <w:rPr>
          <w:rFonts w:eastAsia="Arial"/>
          <w:b/>
          <w:color w:val="1C212B"/>
          <w:szCs w:val="18"/>
          <w:shd w:val="clear" w:color="auto" w:fill="FFFFFF"/>
        </w:rPr>
        <w:t xml:space="preserve">Valor da </w:t>
      </w:r>
      <w:r w:rsidR="00000000">
        <w:rPr>
          <w:rFonts w:eastAsia="Arial"/>
          <w:b/>
          <w:color w:val="1C212B"/>
          <w:szCs w:val="18"/>
          <w:shd w:val="clear" w:color="auto" w:fill="FFFFFF"/>
        </w:rPr>
        <w:t>PO</w:t>
      </w:r>
      <w:r w:rsidR="00000000">
        <w:rPr>
          <w:rFonts w:eastAsia="Arial"/>
          <w:color w:val="1C212B"/>
          <w:szCs w:val="18"/>
          <w:shd w:val="clear" w:color="auto" w:fill="FFFFFF"/>
        </w:rPr>
        <w:t xml:space="preserve">: </w:t>
      </w:r>
    </w:p>
    <w:p w14:paraId="02221E0F" w14:textId="77777777" w:rsidR="00211257" w:rsidRDefault="00000000">
      <w:pPr>
        <w:pStyle w:val="Ttulo2"/>
        <w:jc w:val="left"/>
      </w:pPr>
      <w:r>
        <w:t>*** REFORMA TRIBUTÁRIA BRASILEIRA ***</w:t>
      </w:r>
    </w:p>
    <w:p w14:paraId="71E7E330" w14:textId="77777777" w:rsidR="00211257" w:rsidRDefault="00000000">
      <w:pPr>
        <w:rPr>
          <w:lang w:val="en"/>
        </w:rPr>
      </w:pPr>
      <w:r>
        <w:rPr>
          <w:lang w:val="en"/>
        </w:rPr>
        <w:t>A partir de 1º de janeiro de 2026, as notas fiscais emitidas pela Salesforce refletirão as mudanças determinadas pela Lei Complementar 214/2025, conforme detalhado abaixo:</w:t>
      </w:r>
    </w:p>
    <w:p w14:paraId="68039C0D" w14:textId="77777777" w:rsidR="00211257" w:rsidRDefault="00000000">
      <w:pPr>
        <w:rPr>
          <w:lang w:val="en"/>
        </w:rPr>
      </w:pPr>
      <w:r>
        <w:rPr>
          <w:lang w:val="en"/>
        </w:rPr>
        <w:t xml:space="preserve">(a) Durante o ano de 2026, a CBS e o IBS serão mencionados nas notas fiscais  apenas para fins informativos, porém não serão incluídos no valor bruto dos Serviços Profissionais. Neste período, o PIS, a COFINS e o ISS continuarão sendo incluídos no valor bruto dos Serviços Profissionais. </w:t>
      </w:r>
    </w:p>
    <w:p w14:paraId="5FCE044E" w14:textId="3ED7A9E7" w:rsidR="00211257" w:rsidRPr="00736AFD" w:rsidRDefault="00000000" w:rsidP="00736AFD">
      <w:pPr>
        <w:rPr>
          <w:lang w:val="en"/>
        </w:rPr>
      </w:pPr>
      <w:r>
        <w:rPr>
          <w:lang w:val="en"/>
        </w:rPr>
        <w:t xml:space="preserve">(b) A partir de 2027, o PIS e a COFINS serão extintos e a CBS e o IBS passarão a integrar o valor bruto dos Serviços Profissionais, conforme as alíquotas determinadas na legislação aplicável. O ISS continuará incluído no valor bruto dos Serviços Profissionais, conforme </w:t>
      </w:r>
      <w:proofErr w:type="gramStart"/>
      <w:r>
        <w:rPr>
          <w:lang w:val="en"/>
        </w:rPr>
        <w:t>a</w:t>
      </w:r>
      <w:proofErr w:type="gramEnd"/>
      <w:r>
        <w:rPr>
          <w:lang w:val="en"/>
        </w:rPr>
        <w:t xml:space="preserve"> alíquota </w:t>
      </w:r>
      <w:proofErr w:type="spellStart"/>
      <w:r>
        <w:rPr>
          <w:lang w:val="en"/>
        </w:rPr>
        <w:t>determinada</w:t>
      </w:r>
      <w:proofErr w:type="spellEnd"/>
      <w:r>
        <w:rPr>
          <w:lang w:val="en"/>
        </w:rPr>
        <w:t xml:space="preserve"> </w:t>
      </w:r>
      <w:proofErr w:type="spellStart"/>
      <w:r>
        <w:rPr>
          <w:lang w:val="en"/>
        </w:rPr>
        <w:t>na</w:t>
      </w:r>
      <w:proofErr w:type="spellEnd"/>
      <w:r>
        <w:rPr>
          <w:lang w:val="en"/>
        </w:rPr>
        <w:t xml:space="preserve"> </w:t>
      </w:r>
      <w:proofErr w:type="spellStart"/>
      <w:r>
        <w:rPr>
          <w:lang w:val="en"/>
        </w:rPr>
        <w:t>legislação</w:t>
      </w:r>
      <w:proofErr w:type="spellEnd"/>
      <w:r>
        <w:rPr>
          <w:lang w:val="en"/>
        </w:rPr>
        <w:t xml:space="preserve"> </w:t>
      </w:r>
      <w:proofErr w:type="spellStart"/>
      <w:r>
        <w:rPr>
          <w:lang w:val="en"/>
        </w:rPr>
        <w:t>aplicável</w:t>
      </w:r>
      <w:proofErr w:type="spellEnd"/>
      <w:r>
        <w:rPr>
          <w:lang w:val="en"/>
        </w:rPr>
        <w:t>.</w:t>
      </w:r>
    </w:p>
    <w:tbl>
      <w:tblPr>
        <w:tblW w:w="8421" w:type="dxa"/>
        <w:jc w:val="center"/>
        <w:tblLayout w:type="fixed"/>
        <w:tblCellMar>
          <w:top w:w="15" w:type="dxa"/>
          <w:left w:w="15" w:type="dxa"/>
          <w:bottom w:w="15" w:type="dxa"/>
          <w:right w:w="15" w:type="dxa"/>
        </w:tblCellMar>
        <w:tblLook w:val="04A0" w:firstRow="1" w:lastRow="0" w:firstColumn="1" w:lastColumn="0" w:noHBand="0" w:noVBand="1"/>
      </w:tblPr>
      <w:tblGrid>
        <w:gridCol w:w="1049"/>
        <w:gridCol w:w="949"/>
        <w:gridCol w:w="971"/>
        <w:gridCol w:w="992"/>
        <w:gridCol w:w="851"/>
        <w:gridCol w:w="850"/>
        <w:gridCol w:w="851"/>
        <w:gridCol w:w="819"/>
        <w:gridCol w:w="1089"/>
      </w:tblGrid>
      <w:tr w:rsidR="00211257" w14:paraId="3D01F501" w14:textId="77777777">
        <w:trPr>
          <w:trHeight w:val="808"/>
          <w:jc w:val="center"/>
        </w:trPr>
        <w:tc>
          <w:tcPr>
            <w:tcW w:w="10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D88012B" w14:textId="77777777" w:rsidR="00211257" w:rsidRDefault="00000000">
            <w:pPr>
              <w:spacing w:after="120"/>
              <w:ind w:left="0"/>
            </w:pPr>
            <w:r>
              <w:rPr>
                <w:rFonts w:ascii="Salesforce Sans" w:eastAsia="Salesforce Sans" w:hAnsi="Salesforce Sans" w:cs="Salesforce Sans"/>
                <w:b/>
                <w:sz w:val="20"/>
                <w:szCs w:val="20"/>
                <w:lang w:val="en"/>
              </w:rPr>
              <w:t>Tributos</w:t>
            </w:r>
          </w:p>
        </w:tc>
        <w:tc>
          <w:tcPr>
            <w:tcW w:w="9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65A1D0D8" w14:textId="77777777" w:rsidR="00211257" w:rsidRDefault="00000000">
            <w:pPr>
              <w:spacing w:after="120"/>
              <w:ind w:left="288"/>
            </w:pPr>
            <w:r>
              <w:rPr>
                <w:b/>
              </w:rPr>
              <w:t>2026</w:t>
            </w:r>
          </w:p>
        </w:tc>
        <w:tc>
          <w:tcPr>
            <w:tcW w:w="97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BD5E2D6" w14:textId="77777777" w:rsidR="00211257" w:rsidRDefault="00000000">
            <w:pPr>
              <w:spacing w:after="120"/>
              <w:ind w:left="288"/>
            </w:pPr>
            <w:r>
              <w:rPr>
                <w:b/>
              </w:rPr>
              <w:t>2027</w:t>
            </w:r>
          </w:p>
        </w:tc>
        <w:tc>
          <w:tcPr>
            <w:tcW w:w="992"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76BE297" w14:textId="77777777" w:rsidR="00211257" w:rsidRDefault="00000000">
            <w:pPr>
              <w:spacing w:after="120"/>
              <w:ind w:left="288"/>
            </w:pPr>
            <w:r>
              <w:rPr>
                <w:b/>
              </w:rPr>
              <w:t>2028</w:t>
            </w:r>
          </w:p>
        </w:tc>
        <w:tc>
          <w:tcPr>
            <w:tcW w:w="85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0E09331" w14:textId="77777777" w:rsidR="00211257" w:rsidRDefault="00000000">
            <w:pPr>
              <w:spacing w:after="120"/>
              <w:ind w:left="288"/>
            </w:pPr>
            <w:r>
              <w:rPr>
                <w:b/>
              </w:rPr>
              <w:t>2029</w:t>
            </w:r>
          </w:p>
        </w:tc>
        <w:tc>
          <w:tcPr>
            <w:tcW w:w="8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27BC4EB" w14:textId="77777777" w:rsidR="00211257" w:rsidRDefault="00000000">
            <w:pPr>
              <w:spacing w:after="120"/>
              <w:ind w:left="288"/>
            </w:pPr>
            <w:r>
              <w:rPr>
                <w:b/>
              </w:rPr>
              <w:t>2030</w:t>
            </w:r>
          </w:p>
        </w:tc>
        <w:tc>
          <w:tcPr>
            <w:tcW w:w="85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113E70D2" w14:textId="77777777" w:rsidR="00211257" w:rsidRDefault="00000000">
            <w:pPr>
              <w:spacing w:after="120"/>
              <w:ind w:left="288"/>
            </w:pPr>
            <w:r>
              <w:rPr>
                <w:b/>
              </w:rPr>
              <w:t>2031</w:t>
            </w:r>
          </w:p>
        </w:tc>
        <w:tc>
          <w:tcPr>
            <w:tcW w:w="81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37AEF19" w14:textId="77777777" w:rsidR="00211257" w:rsidRDefault="00000000">
            <w:pPr>
              <w:spacing w:after="120"/>
              <w:ind w:left="288"/>
            </w:pPr>
            <w:r>
              <w:rPr>
                <w:b/>
              </w:rPr>
              <w:t>2032</w:t>
            </w:r>
          </w:p>
        </w:tc>
        <w:tc>
          <w:tcPr>
            <w:tcW w:w="108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3E335E82" w14:textId="77777777" w:rsidR="00211257" w:rsidRDefault="00000000">
            <w:pPr>
              <w:spacing w:after="120"/>
              <w:ind w:left="288"/>
            </w:pPr>
            <w:r>
              <w:rPr>
                <w:b/>
              </w:rPr>
              <w:t>2033</w:t>
            </w:r>
          </w:p>
        </w:tc>
      </w:tr>
      <w:tr w:rsidR="00211257" w14:paraId="59DF516E" w14:textId="77777777">
        <w:trPr>
          <w:trHeight w:val="791"/>
          <w:jc w:val="center"/>
        </w:trPr>
        <w:tc>
          <w:tcPr>
            <w:tcW w:w="10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53BD858E" w14:textId="77777777" w:rsidR="00211257" w:rsidRDefault="00000000">
            <w:pPr>
              <w:spacing w:after="120"/>
              <w:ind w:left="288"/>
              <w:jc w:val="center"/>
            </w:pPr>
            <w:r>
              <w:rPr>
                <w:b/>
              </w:rPr>
              <w:t>CBS</w:t>
            </w:r>
          </w:p>
        </w:tc>
        <w:tc>
          <w:tcPr>
            <w:tcW w:w="9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8B97ABE" w14:textId="77777777" w:rsidR="00211257" w:rsidRDefault="00000000">
            <w:pPr>
              <w:spacing w:after="120"/>
              <w:ind w:left="288"/>
            </w:pPr>
            <w:r>
              <w:t>*0.90%</w:t>
            </w:r>
          </w:p>
        </w:tc>
        <w:tc>
          <w:tcPr>
            <w:tcW w:w="6423" w:type="dxa"/>
            <w:gridSpan w:val="7"/>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6EA6A2E9" w14:textId="77777777" w:rsidR="00211257" w:rsidRDefault="00000000">
            <w:pPr>
              <w:spacing w:after="120"/>
              <w:ind w:left="288"/>
              <w:jc w:val="center"/>
            </w:pPr>
            <w:r>
              <w:rPr>
                <w:rFonts w:ascii="Salesforce Sans" w:eastAsia="Salesforce Sans" w:hAnsi="Salesforce Sans" w:cs="Salesforce Sans"/>
                <w:sz w:val="20"/>
                <w:szCs w:val="20"/>
                <w:lang w:val="en"/>
              </w:rPr>
              <w:t>Conforme alíquotas determinadas na legislação aplicável</w:t>
            </w:r>
          </w:p>
        </w:tc>
      </w:tr>
      <w:tr w:rsidR="00211257" w14:paraId="05304EBF" w14:textId="77777777">
        <w:trPr>
          <w:trHeight w:val="791"/>
          <w:jc w:val="center"/>
        </w:trPr>
        <w:tc>
          <w:tcPr>
            <w:tcW w:w="10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9C4C753" w14:textId="77777777" w:rsidR="00211257" w:rsidRDefault="00000000">
            <w:pPr>
              <w:spacing w:after="120"/>
              <w:ind w:left="288"/>
              <w:jc w:val="center"/>
            </w:pPr>
            <w:r>
              <w:rPr>
                <w:b/>
              </w:rPr>
              <w:t>IBS</w:t>
            </w:r>
          </w:p>
        </w:tc>
        <w:tc>
          <w:tcPr>
            <w:tcW w:w="9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5D1F663C" w14:textId="77777777" w:rsidR="00211257" w:rsidRDefault="00000000">
            <w:pPr>
              <w:spacing w:after="120"/>
              <w:ind w:left="288"/>
            </w:pPr>
            <w:r>
              <w:t>*0.10%</w:t>
            </w:r>
          </w:p>
        </w:tc>
        <w:tc>
          <w:tcPr>
            <w:tcW w:w="971" w:type="dxa"/>
            <w:tcBorders>
              <w:top w:val="single" w:sz="6" w:space="0" w:color="000000"/>
              <w:left w:val="single" w:sz="6" w:space="0" w:color="000000"/>
              <w:bottom w:val="single" w:sz="6" w:space="0" w:color="000000"/>
              <w:right w:val="single" w:sz="6" w:space="0" w:color="000000"/>
            </w:tcBorders>
            <w:vAlign w:val="center"/>
            <w:hideMark/>
          </w:tcPr>
          <w:p w14:paraId="18A1F6A6" w14:textId="77777777" w:rsidR="00211257" w:rsidRDefault="00000000">
            <w:pPr>
              <w:spacing w:after="120"/>
              <w:ind w:left="288"/>
            </w:pPr>
            <w:r>
              <w:t>**0.10%</w:t>
            </w:r>
          </w:p>
        </w:tc>
        <w:tc>
          <w:tcPr>
            <w:tcW w:w="992" w:type="dxa"/>
            <w:tcBorders>
              <w:top w:val="single" w:sz="6" w:space="0" w:color="000000"/>
              <w:left w:val="single" w:sz="6" w:space="0" w:color="000000"/>
              <w:bottom w:val="single" w:sz="6" w:space="0" w:color="000000"/>
              <w:right w:val="single" w:sz="6" w:space="0" w:color="000000"/>
            </w:tcBorders>
            <w:vAlign w:val="center"/>
          </w:tcPr>
          <w:p w14:paraId="187FF288" w14:textId="77777777" w:rsidR="00211257" w:rsidRDefault="00000000">
            <w:pPr>
              <w:spacing w:after="120"/>
              <w:ind w:left="288"/>
            </w:pPr>
            <w:r>
              <w:t>**0.10%</w:t>
            </w:r>
          </w:p>
        </w:tc>
        <w:tc>
          <w:tcPr>
            <w:tcW w:w="4460" w:type="dxa"/>
            <w:gridSpan w:val="5"/>
            <w:tcBorders>
              <w:top w:val="single" w:sz="6" w:space="0" w:color="000000"/>
              <w:left w:val="single" w:sz="6" w:space="0" w:color="000000"/>
              <w:bottom w:val="single" w:sz="6" w:space="0" w:color="000000"/>
              <w:right w:val="single" w:sz="6" w:space="0" w:color="000000"/>
            </w:tcBorders>
            <w:vAlign w:val="center"/>
          </w:tcPr>
          <w:p w14:paraId="7F881608" w14:textId="77777777" w:rsidR="00211257" w:rsidRDefault="00000000">
            <w:pPr>
              <w:spacing w:after="120"/>
              <w:ind w:left="288"/>
              <w:jc w:val="center"/>
            </w:pPr>
            <w:r>
              <w:rPr>
                <w:rFonts w:ascii="Salesforce Sans" w:eastAsia="Salesforce Sans" w:hAnsi="Salesforce Sans" w:cs="Salesforce Sans"/>
                <w:sz w:val="20"/>
                <w:szCs w:val="20"/>
                <w:lang w:val="en"/>
              </w:rPr>
              <w:t>Conforme alíquotas determinadas na legislação aplicável</w:t>
            </w:r>
          </w:p>
        </w:tc>
      </w:tr>
      <w:tr w:rsidR="00211257" w14:paraId="6B5E7262" w14:textId="77777777">
        <w:trPr>
          <w:trHeight w:val="791"/>
          <w:jc w:val="center"/>
        </w:trPr>
        <w:tc>
          <w:tcPr>
            <w:tcW w:w="10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2C22DD0" w14:textId="77777777" w:rsidR="00211257" w:rsidRDefault="00000000">
            <w:pPr>
              <w:spacing w:after="120"/>
              <w:ind w:left="288"/>
              <w:jc w:val="center"/>
            </w:pPr>
            <w:r>
              <w:rPr>
                <w:b/>
              </w:rPr>
              <w:t>PIS</w:t>
            </w:r>
          </w:p>
        </w:tc>
        <w:tc>
          <w:tcPr>
            <w:tcW w:w="9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E64569D" w14:textId="77777777" w:rsidR="00211257" w:rsidRDefault="00000000">
            <w:pPr>
              <w:spacing w:after="120"/>
              <w:ind w:left="288"/>
              <w:jc w:val="center"/>
            </w:pPr>
            <w:r>
              <w:t>0.65%</w:t>
            </w:r>
          </w:p>
        </w:tc>
        <w:tc>
          <w:tcPr>
            <w:tcW w:w="6423" w:type="dxa"/>
            <w:gridSpan w:val="7"/>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3A5B748A" w14:textId="77777777" w:rsidR="00211257" w:rsidRDefault="00000000">
            <w:pPr>
              <w:spacing w:after="120"/>
              <w:ind w:left="288"/>
              <w:jc w:val="center"/>
            </w:pPr>
            <w:r>
              <w:rPr>
                <w:rFonts w:ascii="Salesforce Sans" w:eastAsia="Salesforce Sans" w:hAnsi="Salesforce Sans" w:cs="Salesforce Sans"/>
                <w:b/>
                <w:sz w:val="20"/>
                <w:szCs w:val="20"/>
                <w:lang w:val="en"/>
              </w:rPr>
              <w:t>Extinto</w:t>
            </w:r>
          </w:p>
        </w:tc>
      </w:tr>
      <w:tr w:rsidR="00211257" w14:paraId="1246795B" w14:textId="77777777">
        <w:trPr>
          <w:trHeight w:val="869"/>
          <w:jc w:val="center"/>
        </w:trPr>
        <w:tc>
          <w:tcPr>
            <w:tcW w:w="10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6192B21D" w14:textId="77777777" w:rsidR="00211257" w:rsidRDefault="00000000">
            <w:pPr>
              <w:spacing w:after="120"/>
              <w:ind w:left="288"/>
              <w:jc w:val="center"/>
            </w:pPr>
            <w:r>
              <w:rPr>
                <w:b/>
              </w:rPr>
              <w:t>COFINS</w:t>
            </w:r>
          </w:p>
        </w:tc>
        <w:tc>
          <w:tcPr>
            <w:tcW w:w="9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53C7F686" w14:textId="77777777" w:rsidR="00211257" w:rsidRDefault="00000000">
            <w:pPr>
              <w:spacing w:after="120"/>
              <w:ind w:left="288"/>
              <w:jc w:val="center"/>
            </w:pPr>
            <w:r>
              <w:t>3%</w:t>
            </w:r>
          </w:p>
        </w:tc>
        <w:tc>
          <w:tcPr>
            <w:tcW w:w="6423" w:type="dxa"/>
            <w:gridSpan w:val="7"/>
            <w:vMerge/>
            <w:tcBorders>
              <w:top w:val="single" w:sz="6" w:space="0" w:color="000000"/>
              <w:left w:val="single" w:sz="6" w:space="0" w:color="000000"/>
              <w:bottom w:val="single" w:sz="6" w:space="0" w:color="000000"/>
              <w:right w:val="single" w:sz="6" w:space="0" w:color="000000"/>
            </w:tcBorders>
            <w:vAlign w:val="center"/>
            <w:hideMark/>
          </w:tcPr>
          <w:p w14:paraId="3949536A" w14:textId="77777777" w:rsidR="00211257" w:rsidRDefault="00211257">
            <w:pPr>
              <w:spacing w:after="120"/>
              <w:ind w:left="288"/>
              <w:jc w:val="center"/>
            </w:pPr>
          </w:p>
        </w:tc>
      </w:tr>
      <w:tr w:rsidR="00211257" w14:paraId="13DBD4B6" w14:textId="77777777">
        <w:trPr>
          <w:trHeight w:val="916"/>
          <w:jc w:val="center"/>
        </w:trPr>
        <w:tc>
          <w:tcPr>
            <w:tcW w:w="1049" w:type="dxa"/>
            <w:tcBorders>
              <w:top w:val="single" w:sz="6"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14:paraId="4D11D017" w14:textId="77777777" w:rsidR="00211257" w:rsidRDefault="00000000">
            <w:pPr>
              <w:spacing w:after="120"/>
              <w:ind w:left="288"/>
              <w:jc w:val="center"/>
            </w:pPr>
            <w:r>
              <w:rPr>
                <w:b/>
              </w:rPr>
              <w:t>ISS</w:t>
            </w:r>
          </w:p>
        </w:tc>
        <w:tc>
          <w:tcPr>
            <w:tcW w:w="2912" w:type="dxa"/>
            <w:gridSpan w:val="3"/>
            <w:tcBorders>
              <w:top w:val="single" w:sz="6"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14:paraId="3F68E03E" w14:textId="77777777" w:rsidR="00211257" w:rsidRDefault="00000000">
            <w:pPr>
              <w:spacing w:after="120"/>
              <w:ind w:left="288"/>
              <w:jc w:val="center"/>
            </w:pPr>
            <w:r>
              <w:t>2.9%</w:t>
            </w:r>
          </w:p>
        </w:tc>
        <w:tc>
          <w:tcPr>
            <w:tcW w:w="3371" w:type="dxa"/>
            <w:gridSpan w:val="4"/>
            <w:tcBorders>
              <w:top w:val="single" w:sz="6"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56F74DA" w14:textId="77777777" w:rsidR="00211257" w:rsidRDefault="00211257">
            <w:pPr>
              <w:spacing w:after="120"/>
              <w:ind w:left="288"/>
              <w:jc w:val="center"/>
            </w:pPr>
          </w:p>
          <w:p w14:paraId="0FE2B03B" w14:textId="77777777" w:rsidR="00211257" w:rsidRDefault="00000000">
            <w:pPr>
              <w:spacing w:after="120"/>
              <w:ind w:left="288"/>
              <w:jc w:val="center"/>
            </w:pPr>
            <w:r>
              <w:t>Gradual rate reduction</w:t>
            </w:r>
          </w:p>
        </w:tc>
        <w:tc>
          <w:tcPr>
            <w:tcW w:w="1089" w:type="dxa"/>
            <w:tcBorders>
              <w:top w:val="single" w:sz="6"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68F8388" w14:textId="77777777" w:rsidR="00211257" w:rsidRDefault="00211257">
            <w:pPr>
              <w:spacing w:after="120"/>
              <w:ind w:left="288"/>
              <w:jc w:val="center"/>
            </w:pPr>
          </w:p>
          <w:p w14:paraId="4AB59F72" w14:textId="77777777" w:rsidR="00211257" w:rsidRDefault="00000000">
            <w:pPr>
              <w:spacing w:after="120"/>
              <w:ind w:left="0"/>
            </w:pPr>
            <w:r>
              <w:rPr>
                <w:b/>
              </w:rPr>
              <w:t>Extinct</w:t>
            </w:r>
          </w:p>
        </w:tc>
      </w:tr>
    </w:tbl>
    <w:p w14:paraId="34B2A43E" w14:textId="77777777" w:rsidR="00211257" w:rsidRDefault="00000000">
      <w:pPr>
        <w:pStyle w:val="NormalWeb"/>
        <w:spacing w:before="0" w:beforeAutospacing="0" w:after="0" w:afterAutospacing="0"/>
        <w:ind w:left="792"/>
        <w:jc w:val="both"/>
        <w:rPr>
          <w:rFonts w:ascii="Arial" w:eastAsiaTheme="minorHAnsi" w:hAnsi="Arial" w:cs="Arial"/>
          <w:sz w:val="18"/>
          <w:szCs w:val="22"/>
        </w:rPr>
      </w:pPr>
      <w:r>
        <w:rPr>
          <w:rFonts w:ascii="Arial" w:eastAsiaTheme="minorHAnsi" w:hAnsi="Arial" w:cs="Arial"/>
          <w:sz w:val="18"/>
          <w:szCs w:val="22"/>
        </w:rPr>
        <w:t>*Alíquota para fins informativos apenas, não integra valor bruto dos Serviços Profissionais</w:t>
      </w:r>
    </w:p>
    <w:p w14:paraId="4453B178" w14:textId="77777777" w:rsidR="00211257" w:rsidRDefault="00000000">
      <w:pPr>
        <w:pStyle w:val="NormalWeb"/>
        <w:spacing w:before="0" w:beforeAutospacing="0" w:after="0" w:afterAutospacing="0"/>
        <w:ind w:left="792"/>
        <w:jc w:val="both"/>
        <w:rPr>
          <w:rFonts w:ascii="Arial" w:eastAsiaTheme="minorHAnsi" w:hAnsi="Arial" w:cs="Arial"/>
          <w:sz w:val="18"/>
          <w:szCs w:val="22"/>
        </w:rPr>
      </w:pPr>
      <w:r>
        <w:rPr>
          <w:rFonts w:ascii="Arial" w:eastAsiaTheme="minorHAnsi" w:hAnsi="Arial" w:cs="Arial"/>
          <w:sz w:val="18"/>
          <w:szCs w:val="22"/>
        </w:rPr>
        <w:t>**Conforme determinado no Art. 344 da Lei Complementar 214/2025.</w:t>
      </w:r>
    </w:p>
    <w:p w14:paraId="59CC255B" w14:textId="77777777" w:rsidR="00211257" w:rsidRDefault="00000000">
      <w:pPr>
        <w:spacing w:after="0"/>
        <w:ind w:left="792"/>
      </w:pPr>
      <w:r>
        <w:lastRenderedPageBreak/>
        <w:t> </w:t>
      </w:r>
    </w:p>
    <w:p w14:paraId="07C1E8F5" w14:textId="77777777" w:rsidR="00211257" w:rsidRDefault="00000000">
      <w:r>
        <w:t>Os valores líquidos dos Serviços Profissionais não serão alterados em razão da implementação da Lei Complementar 214/2025, porém os valores brutos poderão sofrer alterações. Conforme determinado no PSA, todos os Tributos incidentes sobre os Serviços Profissionais serão suportados pelo Cliente. </w:t>
      </w:r>
    </w:p>
    <w:p w14:paraId="3512AAC3" w14:textId="77777777" w:rsidR="00211257" w:rsidRDefault="00000000">
      <w:pPr>
        <w:pStyle w:val="Ttulo1"/>
        <w:jc w:val="left"/>
        <w:rPr>
          <w:lang w:val="pt-BR"/>
        </w:rPr>
      </w:pPr>
      <w:r>
        <w:rPr>
          <w:lang w:val="pt-BR"/>
        </w:rPr>
        <w:t xml:space="preserve">Recursos da SFDC </w:t>
      </w:r>
    </w:p>
    <w:p w14:paraId="282DD7AE" w14:textId="77777777" w:rsidR="00211257" w:rsidRDefault="00000000">
      <w:pPr>
        <w:pStyle w:val="Ttulo2"/>
        <w:jc w:val="left"/>
        <w:rPr>
          <w:b w:val="0"/>
        </w:rPr>
      </w:pPr>
      <w:r>
        <w:t>Trabalhos Faturáveis</w:t>
      </w:r>
    </w:p>
    <w:p w14:paraId="01B7E3B7" w14:textId="77777777" w:rsidR="00211257" w:rsidRDefault="00000000">
      <w:pPr>
        <w:pStyle w:val="Ttulo3"/>
        <w:numPr>
          <w:ilvl w:val="0"/>
          <w:numId w:val="0"/>
        </w:numPr>
        <w:ind w:left="720"/>
        <w:rPr>
          <w:lang w:val="pt-BR"/>
        </w:rPr>
      </w:pPr>
      <w:r>
        <w:rPr>
          <w:lang w:val="pt-BR"/>
        </w:rPr>
        <w:t xml:space="preserve">Todos os trabalhos </w:t>
      </w:r>
      <w:r>
        <w:rPr>
          <w:color w:val="000000"/>
          <w:lang w:val="pt-BR"/>
        </w:rPr>
        <w:t xml:space="preserve">conduzidos por recursos sob esta SOW são considerados Serviços Profissionais faturáveis e não estão relacionados a serviços habilitados fornecidos por programas SFDC (por exemplo, Suporte ao Produto, Sucesso do Cliente etc.). O </w:t>
      </w:r>
      <w:r>
        <w:rPr>
          <w:lang w:val="pt-BR"/>
        </w:rPr>
        <w:t>C</w:t>
      </w:r>
      <w:r>
        <w:rPr>
          <w:color w:val="000000"/>
          <w:lang w:val="pt-BR"/>
        </w:rPr>
        <w:t xml:space="preserve">liente submeterá os casos de suporte técnico em geral à equipe de suporte da Salesforce associada ao uso dos serviços online do Cliente. </w:t>
      </w:r>
      <w:r>
        <w:rPr>
          <w:lang w:val="pt-BR"/>
        </w:rPr>
        <w:t>A</w:t>
      </w:r>
      <w:r>
        <w:rPr>
          <w:color w:val="000000"/>
          <w:lang w:val="pt-BR"/>
        </w:rPr>
        <w:t xml:space="preserve"> SFDC não executará tarefas gerais de suporte técnico sob esta SOW.</w:t>
      </w:r>
    </w:p>
    <w:p w14:paraId="06A78B1F" w14:textId="77777777" w:rsidR="00211257" w:rsidRDefault="00000000">
      <w:pPr>
        <w:pStyle w:val="Ttulo2"/>
        <w:jc w:val="left"/>
        <w:rPr>
          <w:b w:val="0"/>
        </w:rPr>
      </w:pPr>
      <w:r>
        <w:t>Proficiência</w:t>
      </w:r>
    </w:p>
    <w:p w14:paraId="6490DB1C" w14:textId="77777777" w:rsidR="00211257" w:rsidRDefault="00000000">
      <w:pPr>
        <w:pStyle w:val="Ttulo3"/>
        <w:numPr>
          <w:ilvl w:val="0"/>
          <w:numId w:val="0"/>
        </w:numPr>
        <w:ind w:left="720"/>
        <w:rPr>
          <w:lang w:val="pt-BR"/>
        </w:rPr>
      </w:pPr>
      <w:r>
        <w:rPr>
          <w:lang w:val="pt-BR"/>
        </w:rPr>
        <w:t xml:space="preserve">A SFDC proverá proficiência exclusivamente na Aplicação e não garante que os recursos sejam proficientes em outras linguagens de programação ou plataformas. </w:t>
      </w:r>
    </w:p>
    <w:p w14:paraId="2432B083" w14:textId="77777777" w:rsidR="00211257" w:rsidRDefault="00000000">
      <w:pPr>
        <w:pStyle w:val="Ttulo2"/>
        <w:jc w:val="left"/>
        <w:rPr>
          <w:b w:val="0"/>
        </w:rPr>
      </w:pPr>
      <w:r>
        <w:t>Horário Fora do Expediente</w:t>
      </w:r>
    </w:p>
    <w:p w14:paraId="47AA60A4" w14:textId="77777777" w:rsidR="00211257" w:rsidRDefault="00000000">
      <w:pPr>
        <w:pStyle w:val="Ttulo3"/>
        <w:numPr>
          <w:ilvl w:val="0"/>
          <w:numId w:val="0"/>
        </w:numPr>
        <w:ind w:left="720"/>
        <w:rPr>
          <w:lang w:val="pt-BR"/>
        </w:rPr>
      </w:pPr>
      <w:r>
        <w:rPr>
          <w:lang w:val="pt-BR"/>
        </w:rPr>
        <w:t xml:space="preserve">Os </w:t>
      </w:r>
      <w:r>
        <w:rPr>
          <w:color w:val="000000"/>
          <w:lang w:val="pt-BR"/>
        </w:rPr>
        <w:t>Serviços Profissionais serão realizados durante o horário comercial normal (de segunda a sexta-feira, das 8h30 às 17h30 no fuso horário do local onde está localizado o recurso de Serviços Profissionais, salvo acordo em contrário por escrito entre as partes (e-mail é suficiente), excluindo feriados. Programação de trabalho fora desse horário comercial normal (</w:t>
      </w:r>
      <w:r>
        <w:rPr>
          <w:b/>
          <w:color w:val="000000"/>
          <w:lang w:val="pt-BR"/>
        </w:rPr>
        <w:t>"Trabalho fora do horário comercial"</w:t>
      </w:r>
      <w:r>
        <w:rPr>
          <w:color w:val="000000"/>
          <w:lang w:val="pt-BR"/>
        </w:rPr>
        <w:t>) requer considerações sobre o pessoal e precisa ser planejada com pelo menos 20 (vinte) dias úteis de antecedência da necessidade</w:t>
      </w:r>
      <w:r>
        <w:rPr>
          <w:lang w:val="pt-BR"/>
        </w:rPr>
        <w:t xml:space="preserve"> </w:t>
      </w:r>
    </w:p>
    <w:p w14:paraId="31698BFD" w14:textId="41D79C3E" w:rsidR="00211257" w:rsidRDefault="00000000" w:rsidP="00736AFD">
      <w:pPr>
        <w:rPr>
          <w:lang w:val="pt-BR"/>
        </w:rPr>
      </w:pPr>
      <w:r>
        <w:rPr>
          <w:color w:val="000000"/>
          <w:lang w:val="pt-BR"/>
        </w:rPr>
        <w:t>Os recursos dos Serviços Profissionais serão alocados de acordo com um plano de alocação mutuamente acordado no início do engajamento. Desde que envie uma notificação prévia com 2 (duas) semanas de antecedência à SFDC, o Cliente poderá solicitar alterações ao plano de alocação dos recursos dos Serviços Profissionais, incluindo os exemplos listados abaixo. Caso o Cliente solicite alterações com notificação prévia inferior a 2 (duas) semanas, a continuidade dos recursos da SFDC não poderá ser garantida e a SFDC poderá faturar o Cliente pelas horas planejadas e quaisquer custos não reembolsáveis (ex. T&amp;E) relativos àquelas 2 (duas) semanas. Exemplos de alterações que o Cliente poderá solicitar incluem, sem limitação, o seguinte:</w:t>
      </w:r>
    </w:p>
    <w:p w14:paraId="392C27A0" w14:textId="77777777" w:rsidR="00211257" w:rsidRDefault="00000000">
      <w:pPr>
        <w:pStyle w:val="Bullet2"/>
        <w:numPr>
          <w:ilvl w:val="1"/>
          <w:numId w:val="14"/>
        </w:numPr>
        <w:jc w:val="left"/>
        <w:rPr>
          <w:lang w:val="pt-BR"/>
        </w:rPr>
      </w:pPr>
      <w:r>
        <w:rPr>
          <w:lang w:val="pt-BR"/>
        </w:rPr>
        <w:t xml:space="preserve">mudança da data de início do projeto; </w:t>
      </w:r>
    </w:p>
    <w:p w14:paraId="6DF9003C" w14:textId="77777777" w:rsidR="00211257" w:rsidRDefault="00000000">
      <w:pPr>
        <w:pStyle w:val="Bullet2"/>
        <w:numPr>
          <w:ilvl w:val="1"/>
          <w:numId w:val="14"/>
        </w:numPr>
        <w:jc w:val="left"/>
        <w:rPr>
          <w:lang w:val="pt-BR"/>
        </w:rPr>
      </w:pPr>
      <w:r>
        <w:rPr>
          <w:lang w:val="pt-BR"/>
        </w:rPr>
        <w:t>atrasos ou suspensão das Descrição do projeto;</w:t>
      </w:r>
    </w:p>
    <w:p w14:paraId="048AF935" w14:textId="77777777" w:rsidR="00211257" w:rsidRDefault="00000000">
      <w:pPr>
        <w:pStyle w:val="Bullet2"/>
        <w:numPr>
          <w:ilvl w:val="1"/>
          <w:numId w:val="14"/>
        </w:numPr>
        <w:jc w:val="left"/>
        <w:rPr>
          <w:lang w:val="pt-BR"/>
        </w:rPr>
      </w:pPr>
      <w:r>
        <w:rPr>
          <w:lang w:val="pt-BR"/>
        </w:rPr>
        <w:t>redução da alocação de recursos dos Serviços Profissionais; e</w:t>
      </w:r>
    </w:p>
    <w:p w14:paraId="78868E83" w14:textId="047B0153" w:rsidR="00211257" w:rsidRPr="00736AFD" w:rsidRDefault="00000000" w:rsidP="00736AFD">
      <w:pPr>
        <w:pStyle w:val="Bullet2"/>
        <w:numPr>
          <w:ilvl w:val="1"/>
          <w:numId w:val="14"/>
        </w:numPr>
        <w:jc w:val="left"/>
        <w:rPr>
          <w:lang w:val="pt-BR"/>
        </w:rPr>
      </w:pPr>
      <w:r>
        <w:rPr>
          <w:lang w:val="pt-BR"/>
        </w:rPr>
        <w:t>extensão desta SOW além da data final do engajamento.</w:t>
      </w:r>
    </w:p>
    <w:p w14:paraId="5D16255C" w14:textId="77777777" w:rsidR="00211257" w:rsidRDefault="00000000">
      <w:pPr>
        <w:pStyle w:val="Ttulo2"/>
        <w:ind w:left="792"/>
        <w:jc w:val="left"/>
        <w:rPr>
          <w:lang w:val="pt-BR"/>
        </w:rPr>
      </w:pPr>
      <w:r>
        <w:rPr>
          <w:lang w:val="pt-BR"/>
        </w:rPr>
        <w:t>Consentimento para o Uso de Subcontratados e Subprocessadores Aprovados</w:t>
      </w:r>
    </w:p>
    <w:p w14:paraId="35A4184F" w14:textId="77777777" w:rsidR="00211257" w:rsidRDefault="00000000">
      <w:pPr>
        <w:pStyle w:val="Ttulo3"/>
        <w:numPr>
          <w:ilvl w:val="0"/>
          <w:numId w:val="0"/>
        </w:numPr>
        <w:ind w:left="720"/>
        <w:rPr>
          <w:color w:val="000000"/>
          <w:lang w:val="pt-BR"/>
        </w:rPr>
      </w:pPr>
      <w:r>
        <w:rPr>
          <w:lang w:val="pt-BR"/>
        </w:rPr>
        <w:t xml:space="preserve">A </w:t>
      </w:r>
      <w:r>
        <w:rPr>
          <w:color w:val="000000"/>
          <w:lang w:val="pt-BR"/>
        </w:rPr>
        <w:t xml:space="preserve">SFDC será responsável pela execução dos Serviços Profissionais por seu pessoal, incluindo subcontratados (se houver), exceto conforme de outra forma aqui especificado. O Cliente concorda, ao assinar esta SOW, que a SFDC poderá utilizar subcontratados para a execução dos Serviços Profissionais. Caso o Cliente forneça à SFDC acesso a Dados Pessoais, o Cliente concorda que o pessoal da SFDC e suas Afiliadas (conforme aplicável), poderão processar tais Dados Pessoais mediante o uso de ferramentas de terceiros baseadas na nuvem listadas em </w:t>
      </w:r>
      <w:hyperlink r:id="rId8" w:history="1">
        <w:r>
          <w:rPr>
            <w:rStyle w:val="Hyperlink"/>
            <w:lang w:val="pt-BR"/>
          </w:rPr>
          <w:t>https://www.salesforce.com/content/dam/web/en_us/www/documents/legal/Agreements/professional-service-agreements-and-terms/psa-infrastructure-and-subprocessors.pdf</w:t>
        </w:r>
      </w:hyperlink>
      <w:r>
        <w:rPr>
          <w:color w:val="000000"/>
          <w:lang w:val="pt-BR"/>
        </w:rPr>
        <w:t xml:space="preserve"> a partir da Data Efetiva. Para os fins desta SOW,   Dados Pessoais significam informações eletrônicas relativas a uma pessoa física identificada ou identificável, sendo tais dados fornecidos à SFDC para a execução dos Serviços Profissionais.</w:t>
      </w:r>
    </w:p>
    <w:p w14:paraId="73455906" w14:textId="77777777" w:rsidR="00211257" w:rsidRDefault="00000000">
      <w:pPr>
        <w:pStyle w:val="Ttulo1"/>
        <w:keepNext/>
        <w:keepLines/>
        <w:spacing w:beforeLines="240" w:before="576" w:after="120" w:line="276" w:lineRule="auto"/>
        <w:ind w:left="432" w:hanging="432"/>
        <w:contextualSpacing w:val="0"/>
        <w:jc w:val="left"/>
      </w:pPr>
      <w:bookmarkStart w:id="5" w:name="_Hlk165904903"/>
      <w:r>
        <w:t>Responsabilidades do Cliente</w:t>
      </w:r>
    </w:p>
    <w:bookmarkEnd w:id="5"/>
    <w:p w14:paraId="46754293" w14:textId="77777777" w:rsidR="00211257" w:rsidRDefault="00000000">
      <w:pPr>
        <w:rPr>
          <w:lang w:val="pt-BR"/>
        </w:rPr>
      </w:pPr>
      <w:r>
        <w:rPr>
          <w:lang w:val="pt-BR"/>
        </w:rPr>
        <w:t xml:space="preserve">A SFDC espera executar as Descrição descritas nesta SOW como um fluxo ininterrupto de trabalho. O desempenho tempestivo dos Serviços Profissionais de acordo com esta SOW requer colaboração contínua entre a SFDC e o Cliente. O Cliente é responsável por determinadas tarefas importantes, contribuições e revisões em tempo hábil para permitir que a SFDC execute suas obrigações sob esta SOW. Atrasos na execução dos Serviços Profissionais causados pelo Cliente podem resultar em encargos adicionais aplicáveis pelo tempo do recurso. A SFDC não será responsável por atrasos ou outros danos causados pelo descumprimento do Cliente das suas obrigações.  </w:t>
      </w:r>
    </w:p>
    <w:p w14:paraId="1B87E3F0" w14:textId="77777777" w:rsidR="00211257" w:rsidRDefault="00000000">
      <w:pPr>
        <w:pStyle w:val="Ttulo2"/>
        <w:keepNext/>
        <w:keepLines/>
        <w:ind w:left="1026" w:hanging="576"/>
        <w:contextualSpacing w:val="0"/>
        <w:jc w:val="left"/>
      </w:pPr>
      <w:r>
        <w:t xml:space="preserve">Cooperação do Cliente </w:t>
      </w:r>
    </w:p>
    <w:p w14:paraId="47401C31" w14:textId="77777777" w:rsidR="00211257" w:rsidRDefault="00000000">
      <w:pPr>
        <w:rPr>
          <w:lang w:val="pt-BR"/>
        </w:rPr>
      </w:pPr>
      <w:bookmarkStart w:id="6" w:name="_Hlk165906068"/>
      <w:r>
        <w:rPr>
          <w:lang w:val="pt-BR"/>
        </w:rPr>
        <w:t>O Cliente cooperará com a SFDC em seu desempenho dos Serviços Profissionais mediante as seguintes Descrição, sem limitação:</w:t>
      </w:r>
      <w:bookmarkEnd w:id="6"/>
    </w:p>
    <w:p w14:paraId="018671E0" w14:textId="77777777" w:rsidR="00211257" w:rsidRDefault="00000000">
      <w:pPr>
        <w:numPr>
          <w:ilvl w:val="2"/>
          <w:numId w:val="3"/>
        </w:numPr>
        <w:contextualSpacing/>
        <w:rPr>
          <w:lang w:val="pt-BR"/>
        </w:rPr>
      </w:pPr>
      <w:r>
        <w:rPr>
          <w:lang w:val="pt-BR"/>
        </w:rPr>
        <w:lastRenderedPageBreak/>
        <w:t>Trabalhar com os stakeholders e a equipe de implementação do Cliente e a SFDC para determinar prazos e cronogramas de recursos mutuamente aceitáveis para o projeto;</w:t>
      </w:r>
    </w:p>
    <w:p w14:paraId="1DCB4B56" w14:textId="77777777" w:rsidR="00211257" w:rsidRDefault="00000000">
      <w:pPr>
        <w:numPr>
          <w:ilvl w:val="2"/>
          <w:numId w:val="3"/>
        </w:numPr>
        <w:contextualSpacing/>
        <w:rPr>
          <w:lang w:val="pt-BR"/>
        </w:rPr>
      </w:pPr>
      <w:r>
        <w:rPr>
          <w:lang w:val="pt-BR"/>
        </w:rPr>
        <w:t>Entregar em tempo hábil as garantias e outras obrigações do Cliente exigidas por esta SOW;</w:t>
      </w:r>
    </w:p>
    <w:p w14:paraId="1B15D51F" w14:textId="77777777" w:rsidR="00211257" w:rsidRDefault="00000000">
      <w:pPr>
        <w:numPr>
          <w:ilvl w:val="2"/>
          <w:numId w:val="3"/>
        </w:numPr>
        <w:contextualSpacing/>
        <w:rPr>
          <w:lang w:val="pt-BR"/>
        </w:rPr>
      </w:pPr>
      <w:r>
        <w:rPr>
          <w:lang w:val="pt-BR"/>
        </w:rPr>
        <w:t xml:space="preserve">Responder prontamente às consultas da SFDC relacionadas com os Serviços Profissionais; </w:t>
      </w:r>
    </w:p>
    <w:p w14:paraId="2F9DD20E" w14:textId="77777777" w:rsidR="00211257" w:rsidRDefault="00000000">
      <w:pPr>
        <w:numPr>
          <w:ilvl w:val="2"/>
          <w:numId w:val="3"/>
        </w:numPr>
        <w:contextualSpacing/>
        <w:rPr>
          <w:lang w:val="pt-BR"/>
        </w:rPr>
      </w:pPr>
      <w:r>
        <w:rPr>
          <w:lang w:val="pt-BR"/>
        </w:rPr>
        <w:t>Fornecer informações, dados e feedback completos, precisos e tempestivos, conforme razoavelmente necessário;</w:t>
      </w:r>
    </w:p>
    <w:p w14:paraId="54901F5D" w14:textId="77777777" w:rsidR="00211257" w:rsidRDefault="00000000">
      <w:pPr>
        <w:numPr>
          <w:ilvl w:val="2"/>
          <w:numId w:val="3"/>
        </w:numPr>
        <w:contextualSpacing/>
        <w:rPr>
          <w:lang w:val="pt-BR"/>
        </w:rPr>
      </w:pPr>
      <w:r>
        <w:rPr>
          <w:lang w:val="pt-BR"/>
        </w:rPr>
        <w:t xml:space="preserve">Trabalhar  </w:t>
      </w:r>
      <w:r>
        <w:rPr>
          <w:color w:val="000000"/>
          <w:szCs w:val="16"/>
          <w:lang w:val="pt-BR"/>
        </w:rPr>
        <w:t>em colaboração com a SFDC durante todo o projeto para mitigar riscos, escalar e resolver problemas rapidamente, e priorizar esforços a fim de alcançar os prazos acordados</w:t>
      </w:r>
      <w:r>
        <w:rPr>
          <w:lang w:val="pt-BR"/>
        </w:rPr>
        <w:t>;</w:t>
      </w:r>
    </w:p>
    <w:p w14:paraId="381024CA" w14:textId="77777777" w:rsidR="00211257" w:rsidRDefault="00000000">
      <w:pPr>
        <w:numPr>
          <w:ilvl w:val="2"/>
          <w:numId w:val="3"/>
        </w:numPr>
        <w:contextualSpacing/>
        <w:rPr>
          <w:lang w:val="pt-BR"/>
        </w:rPr>
      </w:pPr>
      <w:r>
        <w:rPr>
          <w:lang w:val="pt-BR"/>
        </w:rPr>
        <w:t>Colaborar com a SFDC para validar que as tarefas-chave e as dependências de cronograma estejam alinhadas com o gerenciamento global do projeto;</w:t>
      </w:r>
    </w:p>
    <w:p w14:paraId="5E602E20" w14:textId="77777777" w:rsidR="00211257" w:rsidRDefault="00000000">
      <w:pPr>
        <w:numPr>
          <w:ilvl w:val="2"/>
          <w:numId w:val="3"/>
        </w:numPr>
        <w:contextualSpacing/>
        <w:rPr>
          <w:lang w:val="pt-BR"/>
        </w:rPr>
      </w:pPr>
      <w:r>
        <w:rPr>
          <w:lang w:val="pt-BR"/>
        </w:rPr>
        <w:t>Participar de pontos de verificação formais durante todo o projeto, que serão definidos nos Documentos de Planejamento durante as etapas de Definição e Desenho (</w:t>
      </w:r>
      <w:r>
        <w:rPr>
          <w:i/>
          <w:lang w:val="pt-BR"/>
        </w:rPr>
        <w:t>Define &amp; Design)</w:t>
      </w:r>
      <w:r>
        <w:rPr>
          <w:lang w:val="pt-BR"/>
        </w:rPr>
        <w:t xml:space="preserve"> do projeto;</w:t>
      </w:r>
    </w:p>
    <w:p w14:paraId="7F00B90F" w14:textId="05AAEA7F" w:rsidR="00211257" w:rsidRPr="00736AFD" w:rsidRDefault="00000000" w:rsidP="00736AFD">
      <w:pPr>
        <w:numPr>
          <w:ilvl w:val="2"/>
          <w:numId w:val="3"/>
        </w:numPr>
        <w:contextualSpacing/>
        <w:rPr>
          <w:lang w:val="pt-BR"/>
        </w:rPr>
      </w:pPr>
      <w:r>
        <w:rPr>
          <w:lang w:val="pt-BR"/>
        </w:rPr>
        <w:t>Participar de reuniões semanais para rever o status do projeto, riscos, questões em aberto e abordagem de mitigação. As reuniões semanais de status incluirão, mas não estarão limitadas às seguintes partes: Gerente de Projeto do Cliente, Proprietário de Produto do Cliente e Gerente de Projeto ou Gerente de Engajamento SFD</w:t>
      </w:r>
      <w:r w:rsidR="00736AFD">
        <w:rPr>
          <w:lang w:val="pt-BR"/>
        </w:rPr>
        <w:t>C.</w:t>
      </w:r>
    </w:p>
    <w:p w14:paraId="59C875ED" w14:textId="77777777" w:rsidR="00211257" w:rsidRDefault="00000000">
      <w:pPr>
        <w:pStyle w:val="Ttulo2"/>
        <w:jc w:val="left"/>
      </w:pPr>
      <w:r>
        <w:t>Equipe do Cliente</w:t>
      </w:r>
    </w:p>
    <w:p w14:paraId="7A60DA23" w14:textId="77777777" w:rsidR="00211257" w:rsidRDefault="00000000">
      <w:pPr>
        <w:rPr>
          <w:lang w:val="pt-BR"/>
        </w:rPr>
      </w:pPr>
      <w:bookmarkStart w:id="7" w:name="_Hlk165906308"/>
      <w:r>
        <w:rPr>
          <w:lang w:val="pt-BR"/>
        </w:rPr>
        <w:t>O Cliente disponibilizará recursos adequados e conhecedores do Cliente, incluindo, mas não se limitando aos recursos conforme estabelecido na tabela abaixo, para proporcionar participação ativa e contínua, incluindo, mas não se limitando a revisão, feedback, aprovações e tomada de decisões em tempo hábil. Todos os recursos do Cliente envolvidos no projeto devem ter nível adequado de familiaridade com a Aplicação, suas funcionalidades padrão e terminologia associada.</w:t>
      </w:r>
    </w:p>
    <w:p w14:paraId="709D7722" w14:textId="77777777" w:rsidR="00211257" w:rsidRDefault="00000000">
      <w:pPr>
        <w:pStyle w:val="PargrafodaLista"/>
        <w:numPr>
          <w:ilvl w:val="2"/>
          <w:numId w:val="3"/>
        </w:numPr>
      </w:pPr>
      <w:r>
        <w:t>Executivo Responsável</w:t>
      </w:r>
    </w:p>
    <w:p w14:paraId="63F04E4F" w14:textId="77777777" w:rsidR="00211257" w:rsidRDefault="00000000">
      <w:pPr>
        <w:pStyle w:val="PargrafodaLista"/>
        <w:numPr>
          <w:ilvl w:val="3"/>
          <w:numId w:val="3"/>
        </w:numPr>
        <w:rPr>
          <w:color w:val="000000"/>
          <w:szCs w:val="18"/>
          <w:lang w:val="pt-BR"/>
        </w:rPr>
      </w:pPr>
      <w:r>
        <w:rPr>
          <w:color w:val="000000"/>
          <w:szCs w:val="18"/>
          <w:lang w:val="pt-BR"/>
        </w:rPr>
        <w:t xml:space="preserve">Fornecer liderança de ideias e orientação geral do projeto </w:t>
      </w:r>
    </w:p>
    <w:p w14:paraId="14F90963" w14:textId="77777777" w:rsidR="00211257" w:rsidRDefault="00000000">
      <w:pPr>
        <w:pStyle w:val="PargrafodaLista"/>
        <w:numPr>
          <w:ilvl w:val="3"/>
          <w:numId w:val="3"/>
        </w:numPr>
        <w:rPr>
          <w:color w:val="000000"/>
          <w:szCs w:val="18"/>
          <w:lang w:val="pt-BR"/>
        </w:rPr>
      </w:pPr>
      <w:r>
        <w:rPr>
          <w:color w:val="000000"/>
          <w:szCs w:val="18"/>
          <w:lang w:val="pt-BR"/>
        </w:rPr>
        <w:t xml:space="preserve">Participar ativamente das reuniões e Descrição do Comitê de Direção,  </w:t>
      </w:r>
    </w:p>
    <w:p w14:paraId="30E9E8E4" w14:textId="77777777" w:rsidR="00211257" w:rsidRDefault="00000000">
      <w:pPr>
        <w:pStyle w:val="PargrafodaLista"/>
        <w:numPr>
          <w:ilvl w:val="3"/>
          <w:numId w:val="3"/>
        </w:numPr>
        <w:rPr>
          <w:color w:val="000000"/>
          <w:szCs w:val="18"/>
          <w:lang w:val="pt-BR"/>
        </w:rPr>
      </w:pPr>
      <w:r>
        <w:rPr>
          <w:color w:val="000000"/>
          <w:szCs w:val="18"/>
          <w:lang w:val="pt-BR"/>
        </w:rPr>
        <w:t>Atuar como um ponto de contato para escalações; e</w:t>
      </w:r>
    </w:p>
    <w:p w14:paraId="18984913" w14:textId="77777777" w:rsidR="00211257" w:rsidRDefault="00000000">
      <w:pPr>
        <w:pStyle w:val="PargrafodaLista"/>
        <w:numPr>
          <w:ilvl w:val="3"/>
          <w:numId w:val="3"/>
        </w:numPr>
        <w:rPr>
          <w:sz w:val="20"/>
          <w:szCs w:val="24"/>
          <w:lang w:val="pt-BR"/>
        </w:rPr>
      </w:pPr>
      <w:r>
        <w:rPr>
          <w:color w:val="000000"/>
          <w:szCs w:val="18"/>
          <w:lang w:val="pt-BR"/>
        </w:rPr>
        <w:t xml:space="preserve">Ser responsável pela execução das responsabilidades gerais e internas de gerenciamento do programa do </w:t>
      </w:r>
      <w:r>
        <w:rPr>
          <w:szCs w:val="18"/>
          <w:lang w:val="pt-BR"/>
        </w:rPr>
        <w:t>C</w:t>
      </w:r>
      <w:r>
        <w:rPr>
          <w:color w:val="000000"/>
          <w:szCs w:val="18"/>
          <w:lang w:val="pt-BR"/>
        </w:rPr>
        <w:t xml:space="preserve">liente.  </w:t>
      </w:r>
    </w:p>
    <w:p w14:paraId="31AA5F3E" w14:textId="7626E4D3" w:rsidR="00211257" w:rsidRDefault="00000000">
      <w:pPr>
        <w:pStyle w:val="PargrafodaLista"/>
        <w:numPr>
          <w:ilvl w:val="2"/>
          <w:numId w:val="3"/>
        </w:numPr>
      </w:pPr>
      <w:proofErr w:type="spellStart"/>
      <w:r>
        <w:t>Proprietário</w:t>
      </w:r>
      <w:proofErr w:type="spellEnd"/>
      <w:r>
        <w:t xml:space="preserve"> do </w:t>
      </w:r>
      <w:proofErr w:type="spellStart"/>
      <w:r>
        <w:t>Produto</w:t>
      </w:r>
      <w:proofErr w:type="spellEnd"/>
      <w:r>
        <w:t xml:space="preserve"> </w:t>
      </w:r>
    </w:p>
    <w:p w14:paraId="7014ADE1" w14:textId="77777777" w:rsidR="00211257" w:rsidRDefault="00000000">
      <w:pPr>
        <w:pStyle w:val="PargrafodaLista"/>
        <w:ind w:left="1728"/>
        <w:rPr>
          <w:lang w:val="pt-BR"/>
        </w:rPr>
      </w:pPr>
      <w:r>
        <w:rPr>
          <w:lang w:val="pt-BR"/>
        </w:rPr>
        <w:t xml:space="preserve"> Ser responsável pela visão do produto e pela maximização do valor de negócios do esforço de implementação;</w:t>
      </w:r>
    </w:p>
    <w:p w14:paraId="645F8134" w14:textId="77777777" w:rsidR="00211257" w:rsidRDefault="00000000">
      <w:pPr>
        <w:pStyle w:val="PargrafodaLista"/>
        <w:numPr>
          <w:ilvl w:val="3"/>
          <w:numId w:val="3"/>
        </w:numPr>
        <w:rPr>
          <w:lang w:val="pt-BR"/>
        </w:rPr>
      </w:pPr>
      <w:r>
        <w:rPr>
          <w:lang w:val="pt-BR"/>
        </w:rPr>
        <w:t xml:space="preserve">Representar os stakeholders do Cliente durante todo o projeto; </w:t>
      </w:r>
    </w:p>
    <w:p w14:paraId="3EEC9A75" w14:textId="77777777" w:rsidR="00211257" w:rsidRDefault="00000000">
      <w:pPr>
        <w:pStyle w:val="PargrafodaLista"/>
        <w:numPr>
          <w:ilvl w:val="3"/>
          <w:numId w:val="3"/>
        </w:numPr>
        <w:rPr>
          <w:lang w:val="pt-BR"/>
        </w:rPr>
      </w:pPr>
      <w:r>
        <w:rPr>
          <w:lang w:val="pt-BR"/>
        </w:rPr>
        <w:t>Gerenciar o conteúdo do backlog do produto;</w:t>
      </w:r>
    </w:p>
    <w:p w14:paraId="15EE49EE" w14:textId="77777777" w:rsidR="00211257" w:rsidRDefault="00000000">
      <w:pPr>
        <w:pStyle w:val="PargrafodaLista"/>
        <w:numPr>
          <w:ilvl w:val="3"/>
          <w:numId w:val="3"/>
        </w:numPr>
        <w:rPr>
          <w:lang w:val="pt-BR"/>
        </w:rPr>
      </w:pPr>
      <w:r>
        <w:rPr>
          <w:lang w:val="pt-BR"/>
        </w:rPr>
        <w:t>Fornecer conteúdo para Histórias de Usuário e auxiliar na criação dos critérios de aceitação;</w:t>
      </w:r>
    </w:p>
    <w:p w14:paraId="7196F79D" w14:textId="77777777" w:rsidR="00211257" w:rsidRDefault="00000000">
      <w:pPr>
        <w:pStyle w:val="PargrafodaLista"/>
        <w:numPr>
          <w:ilvl w:val="3"/>
          <w:numId w:val="3"/>
        </w:numPr>
        <w:rPr>
          <w:lang w:val="pt-BR"/>
        </w:rPr>
      </w:pPr>
      <w:r>
        <w:rPr>
          <w:lang w:val="pt-BR"/>
        </w:rPr>
        <w:t>Priorizar histórias no backlog do produto;</w:t>
      </w:r>
    </w:p>
    <w:p w14:paraId="47A63F2A" w14:textId="77777777" w:rsidR="00211257" w:rsidRDefault="00000000">
      <w:pPr>
        <w:pStyle w:val="PargrafodaLista"/>
        <w:numPr>
          <w:ilvl w:val="3"/>
          <w:numId w:val="3"/>
        </w:numPr>
        <w:rPr>
          <w:lang w:val="pt-BR"/>
        </w:rPr>
      </w:pPr>
      <w:r>
        <w:rPr>
          <w:lang w:val="pt-BR"/>
        </w:rPr>
        <w:t>Trabalhar com a SFDC para determinar a ordem na qual as histórias serão implementadas; e</w:t>
      </w:r>
    </w:p>
    <w:p w14:paraId="4FD21522" w14:textId="77777777" w:rsidR="00211257" w:rsidRDefault="00000000">
      <w:pPr>
        <w:pStyle w:val="PargrafodaLista"/>
        <w:numPr>
          <w:ilvl w:val="3"/>
          <w:numId w:val="3"/>
        </w:numPr>
        <w:rPr>
          <w:lang w:val="pt-BR"/>
        </w:rPr>
      </w:pPr>
      <w:r>
        <w:rPr>
          <w:lang w:val="pt-BR"/>
        </w:rPr>
        <w:t>Aceitar cada História de Usuário após demonstração de que ela atende aos critérios de aceitação, de acordo com a Aceitação.</w:t>
      </w:r>
    </w:p>
    <w:p w14:paraId="4981A240" w14:textId="77777777" w:rsidR="00211257" w:rsidRDefault="00000000">
      <w:pPr>
        <w:pStyle w:val="PargrafodaLista"/>
        <w:numPr>
          <w:ilvl w:val="2"/>
          <w:numId w:val="3"/>
        </w:numPr>
      </w:pPr>
      <w:r>
        <w:t xml:space="preserve">Especialistas em Assuntos de Negócios </w:t>
      </w:r>
    </w:p>
    <w:p w14:paraId="0D3A567B" w14:textId="77777777" w:rsidR="00211257" w:rsidRDefault="00000000">
      <w:pPr>
        <w:pStyle w:val="PargrafodaLista"/>
        <w:numPr>
          <w:ilvl w:val="3"/>
          <w:numId w:val="3"/>
        </w:numPr>
        <w:rPr>
          <w:lang w:val="pt-BR"/>
        </w:rPr>
      </w:pPr>
      <w:r>
        <w:rPr>
          <w:lang w:val="pt-BR"/>
        </w:rPr>
        <w:t xml:space="preserve">Ajudar a definir os requisitos de negócio e os casos de teste; </w:t>
      </w:r>
    </w:p>
    <w:p w14:paraId="12146F5F" w14:textId="77777777" w:rsidR="00211257" w:rsidRDefault="00000000">
      <w:pPr>
        <w:pStyle w:val="PargrafodaLista"/>
        <w:numPr>
          <w:ilvl w:val="3"/>
          <w:numId w:val="3"/>
        </w:numPr>
        <w:rPr>
          <w:lang w:val="pt-BR"/>
        </w:rPr>
      </w:pPr>
      <w:r>
        <w:rPr>
          <w:lang w:val="pt-BR"/>
        </w:rPr>
        <w:t>Participar nas sessões de planejamento e requisitos; e</w:t>
      </w:r>
    </w:p>
    <w:p w14:paraId="35015C50" w14:textId="77777777" w:rsidR="00211257" w:rsidRDefault="00000000">
      <w:pPr>
        <w:pStyle w:val="PargrafodaLista"/>
        <w:numPr>
          <w:ilvl w:val="3"/>
          <w:numId w:val="3"/>
        </w:numPr>
        <w:rPr>
          <w:lang w:val="pt-BR"/>
        </w:rPr>
      </w:pPr>
      <w:r>
        <w:rPr>
          <w:lang w:val="pt-BR"/>
        </w:rPr>
        <w:t>Ser responsável pelos Testes de Aceitação do Usuário e de Usabilidade.</w:t>
      </w:r>
    </w:p>
    <w:p w14:paraId="103F49E0" w14:textId="77777777" w:rsidR="00211257" w:rsidRDefault="00000000">
      <w:pPr>
        <w:pStyle w:val="PargrafodaLista"/>
        <w:numPr>
          <w:ilvl w:val="2"/>
          <w:numId w:val="3"/>
        </w:numPr>
      </w:pPr>
      <w:r>
        <w:t>Líder de Tecnologia/TI;</w:t>
      </w:r>
    </w:p>
    <w:p w14:paraId="6701BD8F" w14:textId="77777777" w:rsidR="00211257" w:rsidRDefault="00000000">
      <w:pPr>
        <w:pStyle w:val="PargrafodaLista"/>
        <w:numPr>
          <w:ilvl w:val="3"/>
          <w:numId w:val="3"/>
        </w:numPr>
        <w:rPr>
          <w:lang w:val="pt-BR"/>
        </w:rPr>
      </w:pPr>
      <w:r>
        <w:rPr>
          <w:lang w:val="pt-BR"/>
        </w:rPr>
        <w:t xml:space="preserve">Fornecer suporte, se necessário, para completar a configuração da rede do Cliente; </w:t>
      </w:r>
    </w:p>
    <w:p w14:paraId="48D21714" w14:textId="77777777" w:rsidR="00211257" w:rsidRDefault="00000000">
      <w:pPr>
        <w:pStyle w:val="PargrafodaLista"/>
        <w:numPr>
          <w:ilvl w:val="3"/>
          <w:numId w:val="3"/>
        </w:numPr>
      </w:pPr>
      <w:r>
        <w:t>Fornecer requisitos de segurança;</w:t>
      </w:r>
    </w:p>
    <w:p w14:paraId="3ECC24F8" w14:textId="77777777" w:rsidR="00211257" w:rsidRDefault="00000000">
      <w:pPr>
        <w:pStyle w:val="PargrafodaLista"/>
        <w:numPr>
          <w:ilvl w:val="3"/>
          <w:numId w:val="3"/>
        </w:numPr>
        <w:rPr>
          <w:lang w:val="pt-BR"/>
        </w:rPr>
      </w:pPr>
      <w:r>
        <w:rPr>
          <w:lang w:val="pt-BR"/>
        </w:rPr>
        <w:t xml:space="preserve">Fornecer suporte de SSO </w:t>
      </w:r>
      <w:r>
        <w:rPr>
          <w:i/>
          <w:lang w:val="pt-BR"/>
        </w:rPr>
        <w:t>(Single-Sign On)</w:t>
      </w:r>
      <w:r>
        <w:rPr>
          <w:lang w:val="pt-BR"/>
        </w:rPr>
        <w:t xml:space="preserve"> conforme necessário; </w:t>
      </w:r>
    </w:p>
    <w:p w14:paraId="38B31B9B" w14:textId="77777777" w:rsidR="00211257" w:rsidRDefault="00000000">
      <w:pPr>
        <w:pStyle w:val="PargrafodaLista"/>
        <w:numPr>
          <w:ilvl w:val="3"/>
          <w:numId w:val="3"/>
        </w:numPr>
        <w:rPr>
          <w:lang w:val="pt-BR"/>
        </w:rPr>
      </w:pPr>
      <w:r>
        <w:rPr>
          <w:lang w:val="pt-BR"/>
        </w:rPr>
        <w:t xml:space="preserve">Participar de discussões/decisões de arquitetura; </w:t>
      </w:r>
    </w:p>
    <w:p w14:paraId="4A36D729" w14:textId="77777777" w:rsidR="00211257" w:rsidRDefault="00000000">
      <w:pPr>
        <w:pStyle w:val="PargrafodaLista"/>
        <w:numPr>
          <w:ilvl w:val="3"/>
          <w:numId w:val="3"/>
        </w:numPr>
        <w:rPr>
          <w:lang w:val="pt-BR"/>
        </w:rPr>
      </w:pPr>
      <w:r>
        <w:rPr>
          <w:lang w:val="pt-BR"/>
        </w:rPr>
        <w:t>Ajudar a criar casos de teste para apoiar os requerimentos técnicos;</w:t>
      </w:r>
    </w:p>
    <w:p w14:paraId="34E90F2B" w14:textId="77777777" w:rsidR="00211257" w:rsidRDefault="00000000">
      <w:pPr>
        <w:pStyle w:val="PargrafodaLista"/>
        <w:numPr>
          <w:ilvl w:val="3"/>
          <w:numId w:val="3"/>
        </w:numPr>
        <w:rPr>
          <w:lang w:val="pt-BR"/>
        </w:rPr>
      </w:pPr>
      <w:r>
        <w:rPr>
          <w:lang w:val="pt-BR"/>
        </w:rPr>
        <w:t>Ser responsável pela aceitação do usuário, desempenho e testes de volume;</w:t>
      </w:r>
    </w:p>
    <w:p w14:paraId="6BF7C534" w14:textId="77777777" w:rsidR="00211257" w:rsidRDefault="00000000">
      <w:pPr>
        <w:pStyle w:val="PargrafodaLista"/>
        <w:numPr>
          <w:ilvl w:val="3"/>
          <w:numId w:val="3"/>
        </w:numPr>
        <w:rPr>
          <w:lang w:val="pt-BR"/>
        </w:rPr>
      </w:pPr>
      <w:r>
        <w:rPr>
          <w:lang w:val="pt-BR"/>
        </w:rPr>
        <w:t>Supervisionar e participar da transferência de conhecimentos;</w:t>
      </w:r>
    </w:p>
    <w:p w14:paraId="1B553AE7" w14:textId="77777777" w:rsidR="00211257" w:rsidRDefault="00000000">
      <w:pPr>
        <w:pStyle w:val="PargrafodaLista"/>
        <w:numPr>
          <w:ilvl w:val="3"/>
          <w:numId w:val="3"/>
        </w:numPr>
        <w:rPr>
          <w:lang w:val="pt-BR"/>
        </w:rPr>
      </w:pPr>
      <w:r>
        <w:rPr>
          <w:lang w:val="pt-BR"/>
        </w:rPr>
        <w:t>Fornecer suporte geral para acesso à rede e ao sistema, conforme necessário; e</w:t>
      </w:r>
    </w:p>
    <w:p w14:paraId="2FC16FAF" w14:textId="77777777" w:rsidR="00211257" w:rsidRDefault="00000000">
      <w:pPr>
        <w:pStyle w:val="PargrafodaLista"/>
        <w:numPr>
          <w:ilvl w:val="3"/>
          <w:numId w:val="3"/>
        </w:numPr>
        <w:rPr>
          <w:lang w:val="pt-BR"/>
        </w:rPr>
      </w:pPr>
      <w:r>
        <w:rPr>
          <w:lang w:val="pt-BR"/>
        </w:rPr>
        <w:t>Fornecer suporte contínuo às operações após o go-live.</w:t>
      </w:r>
    </w:p>
    <w:p w14:paraId="2AE65628" w14:textId="77777777" w:rsidR="00211257" w:rsidRDefault="00000000">
      <w:pPr>
        <w:pStyle w:val="PargrafodaLista"/>
        <w:numPr>
          <w:ilvl w:val="2"/>
          <w:numId w:val="3"/>
        </w:numPr>
      </w:pPr>
      <w:r>
        <w:t xml:space="preserve">Líder de Gestão de Alteração Organizacional </w:t>
      </w:r>
    </w:p>
    <w:p w14:paraId="6183FE3E" w14:textId="77777777" w:rsidR="00211257" w:rsidRDefault="00000000">
      <w:pPr>
        <w:pStyle w:val="PargrafodaLista"/>
        <w:numPr>
          <w:ilvl w:val="3"/>
          <w:numId w:val="3"/>
        </w:numPr>
        <w:rPr>
          <w:lang w:val="pt-BR"/>
        </w:rPr>
      </w:pPr>
      <w:r>
        <w:rPr>
          <w:lang w:val="pt-BR"/>
        </w:rPr>
        <w:t>Responsável pelas Descrição de gestão de alterações do Cliente, incluindo, mas não se limitando a:</w:t>
      </w:r>
    </w:p>
    <w:p w14:paraId="1FBD75D4" w14:textId="77777777" w:rsidR="00211257" w:rsidRDefault="00000000">
      <w:pPr>
        <w:pStyle w:val="PargrafodaLista"/>
        <w:numPr>
          <w:ilvl w:val="3"/>
          <w:numId w:val="3"/>
        </w:numPr>
      </w:pPr>
      <w:r>
        <w:t xml:space="preserve">Realizar análise dos stakeholders; </w:t>
      </w:r>
    </w:p>
    <w:p w14:paraId="425E0FAC" w14:textId="77777777" w:rsidR="00211257" w:rsidRDefault="00000000">
      <w:pPr>
        <w:pStyle w:val="PargrafodaLista"/>
        <w:numPr>
          <w:ilvl w:val="3"/>
          <w:numId w:val="3"/>
        </w:numPr>
        <w:rPr>
          <w:lang w:val="pt-BR"/>
        </w:rPr>
      </w:pPr>
      <w:r>
        <w:rPr>
          <w:lang w:val="pt-BR"/>
        </w:rPr>
        <w:t>Supervisionar o plano de comunicação em torno de lançamentos, mudanças organizacionais e anúncios;</w:t>
      </w:r>
    </w:p>
    <w:p w14:paraId="2D8C022B" w14:textId="77777777" w:rsidR="00211257" w:rsidRDefault="00000000">
      <w:pPr>
        <w:pStyle w:val="PargrafodaLista"/>
        <w:numPr>
          <w:ilvl w:val="3"/>
          <w:numId w:val="3"/>
        </w:numPr>
        <w:rPr>
          <w:lang w:val="pt-BR"/>
        </w:rPr>
      </w:pPr>
      <w:r>
        <w:rPr>
          <w:lang w:val="pt-BR"/>
        </w:rPr>
        <w:t xml:space="preserve">Comunicar a mudança aos usuários finais; </w:t>
      </w:r>
    </w:p>
    <w:p w14:paraId="6F3BE670" w14:textId="77777777" w:rsidR="00211257" w:rsidRDefault="00000000">
      <w:pPr>
        <w:pStyle w:val="PargrafodaLista"/>
        <w:numPr>
          <w:ilvl w:val="3"/>
          <w:numId w:val="3"/>
        </w:numPr>
        <w:rPr>
          <w:lang w:val="pt-BR"/>
        </w:rPr>
      </w:pPr>
      <w:r>
        <w:rPr>
          <w:lang w:val="pt-BR"/>
        </w:rPr>
        <w:t>Monitorar e garantir a adoção pelos usuários finais; e</w:t>
      </w:r>
    </w:p>
    <w:p w14:paraId="68044714" w14:textId="77777777" w:rsidR="00211257" w:rsidRDefault="00000000">
      <w:pPr>
        <w:pStyle w:val="PargrafodaLista"/>
        <w:numPr>
          <w:ilvl w:val="3"/>
          <w:numId w:val="3"/>
        </w:numPr>
        <w:rPr>
          <w:lang w:val="pt-BR"/>
        </w:rPr>
      </w:pPr>
      <w:r>
        <w:rPr>
          <w:lang w:val="pt-BR"/>
        </w:rPr>
        <w:t>Capturar e medir o valor real do negócio resultante dos Serviços Profissionais</w:t>
      </w:r>
    </w:p>
    <w:p w14:paraId="0727B5CB" w14:textId="77777777" w:rsidR="00211257" w:rsidRDefault="00000000">
      <w:pPr>
        <w:pStyle w:val="PargrafodaLista"/>
        <w:numPr>
          <w:ilvl w:val="2"/>
          <w:numId w:val="3"/>
        </w:numPr>
      </w:pPr>
      <w:r>
        <w:t xml:space="preserve">Líder de Treinamento </w:t>
      </w:r>
    </w:p>
    <w:p w14:paraId="1975D2F6" w14:textId="77777777" w:rsidR="00211257" w:rsidRDefault="00000000">
      <w:pPr>
        <w:pStyle w:val="PargrafodaLista"/>
        <w:numPr>
          <w:ilvl w:val="3"/>
          <w:numId w:val="3"/>
        </w:numPr>
        <w:rPr>
          <w:lang w:val="pt-BR"/>
        </w:rPr>
      </w:pPr>
      <w:r>
        <w:rPr>
          <w:lang w:val="pt-BR"/>
        </w:rPr>
        <w:t xml:space="preserve">Responsável pelo treinamento dos usuários finais do Cliente, incluindo, mas não se limitando a: </w:t>
      </w:r>
    </w:p>
    <w:p w14:paraId="582AF345" w14:textId="77777777" w:rsidR="00211257" w:rsidRDefault="00000000">
      <w:pPr>
        <w:pStyle w:val="PargrafodaLista"/>
        <w:numPr>
          <w:ilvl w:val="3"/>
          <w:numId w:val="3"/>
        </w:numPr>
        <w:rPr>
          <w:lang w:val="pt-BR"/>
        </w:rPr>
      </w:pPr>
      <w:r>
        <w:rPr>
          <w:lang w:val="pt-BR"/>
        </w:rPr>
        <w:lastRenderedPageBreak/>
        <w:t xml:space="preserve">Desenvolver a estratégia de treinamento, material e currículo; </w:t>
      </w:r>
    </w:p>
    <w:p w14:paraId="02C377FC" w14:textId="77777777" w:rsidR="00211257" w:rsidRDefault="00000000">
      <w:pPr>
        <w:pStyle w:val="PargrafodaLista"/>
        <w:numPr>
          <w:ilvl w:val="3"/>
          <w:numId w:val="3"/>
        </w:numPr>
      </w:pPr>
      <w:r>
        <w:rPr>
          <w:lang w:val="pt-BR"/>
        </w:rPr>
        <w:t xml:space="preserve">Administrar o treinamento de usuários finais, inclusive salas de aula ou logística virtual. </w:t>
      </w:r>
    </w:p>
    <w:bookmarkEnd w:id="7"/>
    <w:p w14:paraId="1FDEB0D3" w14:textId="77777777" w:rsidR="00211257" w:rsidRDefault="00000000">
      <w:pPr>
        <w:pStyle w:val="Ttulo2"/>
        <w:jc w:val="left"/>
      </w:pPr>
      <w:r>
        <w:t>Obrigações Adicionais</w:t>
      </w:r>
    </w:p>
    <w:p w14:paraId="3D3263EC" w14:textId="77777777" w:rsidR="00211257" w:rsidRDefault="00000000">
      <w:pPr>
        <w:pStyle w:val="PargrafodaLista"/>
        <w:numPr>
          <w:ilvl w:val="2"/>
          <w:numId w:val="3"/>
        </w:numPr>
        <w:rPr>
          <w:lang w:val="pt-BR"/>
        </w:rPr>
      </w:pPr>
      <w:r>
        <w:rPr>
          <w:lang w:val="pt-BR"/>
        </w:rPr>
        <w:t>Acesso à Tecnologia e à Aplicação</w:t>
      </w:r>
    </w:p>
    <w:p w14:paraId="51303A56" w14:textId="77777777" w:rsidR="00211257" w:rsidRDefault="00000000">
      <w:pPr>
        <w:pStyle w:val="PargrafodaLista"/>
        <w:numPr>
          <w:ilvl w:val="3"/>
          <w:numId w:val="3"/>
        </w:numPr>
        <w:rPr>
          <w:lang w:val="pt-BR"/>
        </w:rPr>
      </w:pPr>
      <w:r>
        <w:rPr>
          <w:lang w:val="pt-BR"/>
        </w:rPr>
        <w:t>O Cliente irá adquirir, instalar, hospedar, testar, implantar, monitorar e manter equipamentos, infraestrutura, hardware, software, infraestrutura técnica, Internet estável com largura de banda suficiente, acesso a segurança e outras tecnologias, incluindo patches e atualizações de cada uma das anteriores, se necessárias para viabilizar a prestação dos Serviços Profissionais.</w:t>
      </w:r>
    </w:p>
    <w:p w14:paraId="423ADAC5" w14:textId="77777777" w:rsidR="00211257" w:rsidRDefault="00000000">
      <w:pPr>
        <w:pStyle w:val="PargrafodaLista"/>
        <w:numPr>
          <w:ilvl w:val="3"/>
          <w:numId w:val="3"/>
        </w:numPr>
        <w:rPr>
          <w:lang w:val="pt-BR"/>
        </w:rPr>
      </w:pPr>
      <w:r>
        <w:rPr>
          <w:lang w:val="pt-BR"/>
        </w:rPr>
        <w:t xml:space="preserve">O Cliente identificará e habilitará permissões para o pessoal da SFDC como administradores de sistema ou usuários das Instâncias de Aplicação do Cliente, conforme razoavelmente necessário para a prestação dos Serviços Profissionais. A SFDC pode baixar dados dos arquivos de registro e carregar arquivos de dados para desempenhar suas funções. </w:t>
      </w:r>
    </w:p>
    <w:p w14:paraId="66E79620" w14:textId="77777777" w:rsidR="00211257" w:rsidRDefault="00000000">
      <w:pPr>
        <w:pStyle w:val="PargrafodaLista"/>
        <w:numPr>
          <w:ilvl w:val="3"/>
          <w:numId w:val="3"/>
        </w:numPr>
        <w:rPr>
          <w:lang w:val="pt-BR"/>
        </w:rPr>
      </w:pPr>
      <w:sdt>
        <w:sdtPr>
          <w:tag w:val="goog_rdk_17"/>
          <w:id w:val="-641813196"/>
        </w:sdtPr>
        <w:sdtContent/>
      </w:sdt>
      <w:r>
        <w:rPr>
          <w:lang w:val="pt-BR"/>
        </w:rPr>
        <w:t>A SFDC terá acesso apenas à Aplicação do Cliente e não aos sistemas não-SFDC do Cliente, incluindo, mas não se limitando a: plataforma empresarial interna, plataformas de compra, servidores de anúncios, aplicações de terceiros, sistemas de registro de tempo, sistemas de gerenciamento de projetos e ferramentas de gerenciamento de defeitos. Caso as partes acordem mutuamente que tal acesso é necessário, o Cliente proverá acesso suficiente aos sistemas internos do Cliente (logs de defeitos, JIRA, etc.) conforme requerido para que a SFDC execute suas obrigações ora estabelecidas.</w:t>
      </w:r>
    </w:p>
    <w:p w14:paraId="5D772C4E" w14:textId="77777777" w:rsidR="00211257" w:rsidRDefault="00000000">
      <w:pPr>
        <w:pStyle w:val="PargrafodaLista"/>
        <w:numPr>
          <w:ilvl w:val="3"/>
          <w:numId w:val="3"/>
        </w:numPr>
        <w:rPr>
          <w:lang w:val="pt-BR"/>
        </w:rPr>
      </w:pPr>
      <w:r>
        <w:rPr>
          <w:lang w:val="pt-BR"/>
        </w:rPr>
        <w:t>O Cliente revogará o acesso do pessoal da SFDC aos sistemas internos e à Aplicação do Cliente (se houver) quando da conclusão do Prazo da SOW. Não obstante o anterior, a SFDC reserva o direito de revogar o acesso do pessoal da SFDC à Aplicação do Cliente, a menos que tal pessoal esteja alocado em um compromisso existente de Serviços Profissionais com o Cliente.</w:t>
      </w:r>
    </w:p>
    <w:p w14:paraId="3FEB8EA4" w14:textId="77777777" w:rsidR="00211257" w:rsidRDefault="00000000">
      <w:pPr>
        <w:pStyle w:val="PargrafodaLista"/>
        <w:numPr>
          <w:ilvl w:val="3"/>
          <w:numId w:val="3"/>
        </w:numPr>
        <w:rPr>
          <w:lang w:val="pt-BR"/>
        </w:rPr>
      </w:pPr>
      <w:r>
        <w:rPr>
          <w:lang w:val="pt-BR"/>
        </w:rPr>
        <w:t>A SFDC poderá prover acesso ao Cliente a ferramentas específicas de projeto durante a Prazo da SOW. O Cliente é responsável por realizar a transição das ferramentas aplicáveis (ex. exportar quaisquer dados disponibilizados na ferramenta) antes do término da Prazo da SOW.</w:t>
      </w:r>
    </w:p>
    <w:p w14:paraId="4ACC0F68" w14:textId="77777777" w:rsidR="00211257" w:rsidRDefault="00000000">
      <w:pPr>
        <w:pStyle w:val="PargrafodaLista"/>
        <w:numPr>
          <w:ilvl w:val="2"/>
          <w:numId w:val="3"/>
        </w:numPr>
        <w:rPr>
          <w:lang w:val="pt-BR"/>
        </w:rPr>
      </w:pPr>
      <w:r>
        <w:rPr>
          <w:lang w:val="pt-BR"/>
        </w:rPr>
        <w:t>Coordenação e Localização dos Serviços</w:t>
      </w:r>
    </w:p>
    <w:p w14:paraId="1177DCDB" w14:textId="77777777" w:rsidR="00211257" w:rsidRDefault="00000000">
      <w:pPr>
        <w:pStyle w:val="PargrafodaLista"/>
        <w:numPr>
          <w:ilvl w:val="3"/>
          <w:numId w:val="3"/>
        </w:numPr>
        <w:rPr>
          <w:lang w:val="pt-BR"/>
        </w:rPr>
      </w:pPr>
      <w:r>
        <w:rPr>
          <w:lang w:val="pt-BR"/>
        </w:rPr>
        <w:t>Os Serviços Profissionais descritos nesta SOW serão entregues virtualmente, a menos que as partes acordem por escrito de outra forma (e-mail é suficiente). Se o trabalho for realizado nas instalações do Cliente ou de qualquer uma de suas Afiliadas, então o Cliente fornecerá, sem custos para a SFDC, espaço de trabalho de escritório, equipamento de computador adequadamente configurado, Internet estável com largura de banda suficiente e acesso aos funcionários e agentes do Cliente apropriados e conhecedores.  O trabalho realizado presencialmente está sujeito a T&amp;Es, de acordo com a Seção 3.</w:t>
      </w:r>
    </w:p>
    <w:p w14:paraId="3E606964" w14:textId="77777777" w:rsidR="00211257" w:rsidRDefault="00000000">
      <w:pPr>
        <w:pStyle w:val="PargrafodaLista"/>
        <w:numPr>
          <w:ilvl w:val="2"/>
          <w:numId w:val="3"/>
        </w:numPr>
        <w:rPr>
          <w:lang w:val="pt-BR"/>
        </w:rPr>
      </w:pPr>
      <w:r>
        <w:rPr>
          <w:lang w:val="pt-BR"/>
        </w:rPr>
        <w:t>Disponibilidade e Qualidade de Dados</w:t>
      </w:r>
    </w:p>
    <w:p w14:paraId="13B80523" w14:textId="77777777" w:rsidR="00211257" w:rsidRDefault="00000000">
      <w:pPr>
        <w:pStyle w:val="PargrafodaLista"/>
        <w:numPr>
          <w:ilvl w:val="3"/>
          <w:numId w:val="3"/>
        </w:numPr>
        <w:rPr>
          <w:lang w:val="pt-BR"/>
        </w:rPr>
      </w:pPr>
      <w:r>
        <w:rPr>
          <w:lang w:val="pt-BR"/>
        </w:rPr>
        <w:t xml:space="preserve"> O Cliente terá uma ou mais de suas fontes de dados prontas para importação antes do início dos Serviços Profissionais. </w:t>
      </w:r>
    </w:p>
    <w:p w14:paraId="15A9C118" w14:textId="77777777" w:rsidR="00211257" w:rsidRDefault="00000000">
      <w:pPr>
        <w:pStyle w:val="PargrafodaLista"/>
        <w:numPr>
          <w:ilvl w:val="3"/>
          <w:numId w:val="3"/>
        </w:numPr>
        <w:rPr>
          <w:lang w:val="pt-BR"/>
        </w:rPr>
      </w:pPr>
      <w:r>
        <w:rPr>
          <w:lang w:val="pt-BR"/>
        </w:rPr>
        <w:t xml:space="preserve">Os dados externos importados como parte da automação devem estar no formato definido pela SFDC. </w:t>
      </w:r>
    </w:p>
    <w:p w14:paraId="2C618418" w14:textId="77777777" w:rsidR="00211257" w:rsidRDefault="00000000">
      <w:pPr>
        <w:pStyle w:val="PargrafodaLista"/>
        <w:numPr>
          <w:ilvl w:val="3"/>
          <w:numId w:val="3"/>
        </w:numPr>
        <w:rPr>
          <w:lang w:val="pt-BR"/>
        </w:rPr>
      </w:pPr>
      <w:r>
        <w:rPr>
          <w:lang w:val="pt-BR"/>
        </w:rPr>
        <w:t>O Cliente fornecerá à SFDC acesso às fontes de dados a serem integradas e os pontos finais necessários.</w:t>
      </w:r>
    </w:p>
    <w:p w14:paraId="34156669" w14:textId="77777777" w:rsidR="00211257" w:rsidRDefault="00000000">
      <w:pPr>
        <w:pStyle w:val="PargrafodaLista"/>
        <w:numPr>
          <w:ilvl w:val="3"/>
          <w:numId w:val="3"/>
        </w:numPr>
        <w:rPr>
          <w:lang w:val="pt-BR"/>
        </w:rPr>
      </w:pPr>
      <w:r>
        <w:rPr>
          <w:lang w:val="pt-BR"/>
        </w:rPr>
        <w:t>Fontes de dados não-API serão fornecidas no formato definido pela SFDC.</w:t>
      </w:r>
    </w:p>
    <w:p w14:paraId="34068DE1" w14:textId="77777777" w:rsidR="00211257" w:rsidRDefault="00000000">
      <w:pPr>
        <w:pStyle w:val="PargrafodaLista"/>
        <w:numPr>
          <w:ilvl w:val="3"/>
          <w:numId w:val="3"/>
        </w:numPr>
        <w:rPr>
          <w:lang w:val="pt-BR"/>
        </w:rPr>
      </w:pPr>
      <w:r>
        <w:rPr>
          <w:lang w:val="pt-BR"/>
        </w:rPr>
        <w:t xml:space="preserve">O Cliente é responsável pela qualidade dos dados, incluindo, mas não se limitando a: </w:t>
      </w:r>
    </w:p>
    <w:p w14:paraId="7A7DD25E" w14:textId="77777777" w:rsidR="00211257" w:rsidRDefault="00000000">
      <w:pPr>
        <w:pStyle w:val="PargrafodaLista"/>
        <w:numPr>
          <w:ilvl w:val="3"/>
          <w:numId w:val="3"/>
        </w:numPr>
        <w:rPr>
          <w:lang w:val="pt-BR"/>
        </w:rPr>
      </w:pPr>
      <w:r>
        <w:rPr>
          <w:lang w:val="pt-BR"/>
        </w:rPr>
        <w:t xml:space="preserve">Transformação de dados, limpeza, agregação, fusão e desduplicação da importação ou exportação do Cliente; </w:t>
      </w:r>
    </w:p>
    <w:p w14:paraId="47FC53FD" w14:textId="77777777" w:rsidR="00211257" w:rsidRDefault="00000000">
      <w:pPr>
        <w:pStyle w:val="PargrafodaLista"/>
        <w:numPr>
          <w:ilvl w:val="3"/>
          <w:numId w:val="3"/>
        </w:numPr>
        <w:rPr>
          <w:lang w:val="pt-BR"/>
        </w:rPr>
      </w:pPr>
      <w:r>
        <w:rPr>
          <w:lang w:val="pt-BR"/>
        </w:rPr>
        <w:t>Configuração de dados, processamento de extratos e testes de garantia de qualidade dos dados antes de serem submetidos à SFDC;</w:t>
      </w:r>
    </w:p>
    <w:p w14:paraId="362EE3B5" w14:textId="77777777" w:rsidR="00211257" w:rsidRDefault="00000000">
      <w:pPr>
        <w:pStyle w:val="PargrafodaLista"/>
        <w:numPr>
          <w:ilvl w:val="3"/>
          <w:numId w:val="3"/>
        </w:numPr>
        <w:rPr>
          <w:lang w:val="pt-BR"/>
        </w:rPr>
      </w:pPr>
      <w:r>
        <w:rPr>
          <w:lang w:val="pt-BR"/>
        </w:rPr>
        <w:t>Eliminação ou sobregravação de registros de dados; e</w:t>
      </w:r>
    </w:p>
    <w:p w14:paraId="3FE26594" w14:textId="77777777" w:rsidR="00211257" w:rsidRDefault="00000000">
      <w:pPr>
        <w:pStyle w:val="PargrafodaLista"/>
        <w:numPr>
          <w:ilvl w:val="3"/>
          <w:numId w:val="3"/>
        </w:numPr>
        <w:rPr>
          <w:lang w:val="pt-BR"/>
        </w:rPr>
      </w:pPr>
      <w:r>
        <w:rPr>
          <w:lang w:val="pt-BR"/>
        </w:rPr>
        <w:t xml:space="preserve">Tarefas de integração de dados após os arquivos atingirem seus pontos finais definidos. </w:t>
      </w:r>
    </w:p>
    <w:p w14:paraId="6B5FBBE6" w14:textId="77777777" w:rsidR="00211257" w:rsidRDefault="00000000">
      <w:pPr>
        <w:pStyle w:val="PargrafodaLista"/>
        <w:numPr>
          <w:ilvl w:val="2"/>
          <w:numId w:val="3"/>
        </w:numPr>
      </w:pPr>
      <w:r>
        <w:t>Ativos Criativos</w:t>
      </w:r>
    </w:p>
    <w:p w14:paraId="52B85E4A" w14:textId="77777777" w:rsidR="00211257" w:rsidRDefault="00000000">
      <w:pPr>
        <w:pStyle w:val="PargrafodaLista"/>
        <w:numPr>
          <w:ilvl w:val="3"/>
          <w:numId w:val="3"/>
        </w:numPr>
        <w:rPr>
          <w:lang w:val="pt-BR"/>
        </w:rPr>
      </w:pPr>
      <w:r>
        <w:rPr>
          <w:lang w:val="pt-BR"/>
        </w:rPr>
        <w:t xml:space="preserve">O Cliente identificará, adquirirá e fornecerá à SFDC conteúdo criativo, incluindo, mas não se limitando a: </w:t>
      </w:r>
    </w:p>
    <w:p w14:paraId="060620C4" w14:textId="77777777" w:rsidR="00211257" w:rsidRDefault="00000000">
      <w:pPr>
        <w:pStyle w:val="PargrafodaLista"/>
        <w:numPr>
          <w:ilvl w:val="3"/>
          <w:numId w:val="3"/>
        </w:numPr>
        <w:rPr>
          <w:lang w:val="pt-BR"/>
        </w:rPr>
      </w:pPr>
      <w:r>
        <w:rPr>
          <w:lang w:val="pt-BR"/>
        </w:rPr>
        <w:t>Copywriting e traduções de idiomas;</w:t>
      </w:r>
    </w:p>
    <w:p w14:paraId="3423B78D" w14:textId="77777777" w:rsidR="00211257" w:rsidRDefault="00000000">
      <w:pPr>
        <w:pStyle w:val="PargrafodaLista"/>
        <w:numPr>
          <w:ilvl w:val="3"/>
          <w:numId w:val="3"/>
        </w:numPr>
        <w:rPr>
          <w:lang w:val="pt-BR"/>
        </w:rPr>
      </w:pPr>
      <w:r>
        <w:rPr>
          <w:lang w:val="pt-BR"/>
        </w:rPr>
        <w:t xml:space="preserve">Diretrizes de desenho, desenvolvimento, conteúdo e marca; e </w:t>
      </w:r>
    </w:p>
    <w:p w14:paraId="5945667A" w14:textId="77777777" w:rsidR="00211257" w:rsidRDefault="00000000">
      <w:pPr>
        <w:pStyle w:val="PargrafodaLista"/>
        <w:numPr>
          <w:ilvl w:val="3"/>
          <w:numId w:val="3"/>
        </w:numPr>
        <w:rPr>
          <w:lang w:val="pt-BR"/>
        </w:rPr>
      </w:pPr>
      <w:r>
        <w:rPr>
          <w:lang w:val="pt-BR"/>
        </w:rPr>
        <w:t>Ativos gráficos incluindo, mas não se limitando a: fontes, logotipos, links, fotografia de estoque, gráficos, código HTML e arquivos .PSD.</w:t>
      </w:r>
    </w:p>
    <w:p w14:paraId="56793062" w14:textId="77777777" w:rsidR="00211257" w:rsidRDefault="00000000">
      <w:pPr>
        <w:pStyle w:val="PargrafodaLista"/>
        <w:numPr>
          <w:ilvl w:val="2"/>
          <w:numId w:val="3"/>
        </w:numPr>
      </w:pPr>
      <w:r>
        <w:t>Uso dos Serviços</w:t>
      </w:r>
    </w:p>
    <w:p w14:paraId="0242062F" w14:textId="77777777" w:rsidR="00211257" w:rsidRDefault="00000000">
      <w:pPr>
        <w:pStyle w:val="PargrafodaLista"/>
        <w:numPr>
          <w:ilvl w:val="3"/>
          <w:numId w:val="3"/>
        </w:numPr>
        <w:rPr>
          <w:lang w:val="pt-BR"/>
        </w:rPr>
      </w:pPr>
      <w:r>
        <w:rPr>
          <w:lang w:val="pt-BR"/>
        </w:rPr>
        <w:t>O Cliente é responsável por seu uso e distribuição dos Entregáveis resultantes dos Serviços Profissionais.</w:t>
      </w:r>
    </w:p>
    <w:p w14:paraId="39F3DFBD" w14:textId="77777777" w:rsidR="00211257" w:rsidRDefault="00000000">
      <w:pPr>
        <w:pStyle w:val="Ttulo2"/>
        <w:jc w:val="left"/>
        <w:rPr>
          <w:lang w:val="pt-BR"/>
        </w:rPr>
      </w:pPr>
      <w:r>
        <w:rPr>
          <w:lang w:val="pt-BR"/>
        </w:rPr>
        <w:t>Produtos e Serviços de Terceiros</w:t>
      </w:r>
    </w:p>
    <w:p w14:paraId="5BDB2503" w14:textId="77777777" w:rsidR="00211257" w:rsidRDefault="00000000">
      <w:pPr>
        <w:rPr>
          <w:lang w:val="pt-BR"/>
        </w:rPr>
      </w:pPr>
      <w:r>
        <w:rPr>
          <w:lang w:val="pt-BR"/>
        </w:rPr>
        <w:t xml:space="preserve">“Produtos de Terceiros” significa produtos ou serviços fornecidos ou adquiridos pelo Cliente em conexão com os Serviços Profissionais, incluindo, sem limitação, aplicações disponíveis num Marketplace Salesforce (ex. AppExchange). A SFDC não é responsável, nem garante Produtos de Terceiros. O Cliente é responsável (i) pela aquisição  licenciamento (incluindo custos associados) e pelo uso de quaisquer Produtos de Terceiros, (ii) a menos que definido de outra forma como escopo na Seção 2, pela integração, instalação, implementação e configuração de tais Produtos de Terceiros, incluindo qualquer manutenção </w:t>
      </w:r>
      <w:r>
        <w:rPr>
          <w:lang w:val="pt-BR"/>
        </w:rPr>
        <w:lastRenderedPageBreak/>
        <w:t>necessária para suportá-los, (iii)  pela coordenação e gestão de provedores ou fornecedores de Produtos de Terceiros que possam estar envolvidos no projeto e (iv) por assegurar que quaisquer Produtos de Terceiros e a infraestrutura relacionada estejam prontos dentro de período de tempo razoável para a execução dos Serviços Profissionais. A SFDC não terá uma linha direta com os provedores de APIs ou com qualquer fornecedor terceirizado do Cliente.</w:t>
      </w:r>
    </w:p>
    <w:p w14:paraId="0127BC49" w14:textId="77777777" w:rsidR="00211257" w:rsidRDefault="00000000">
      <w:pPr>
        <w:rPr>
          <w:lang w:val="pt-BR"/>
        </w:rPr>
      </w:pPr>
      <w:r>
        <w:rPr>
          <w:lang w:val="pt-BR"/>
        </w:rPr>
        <w:t>O Cliente fornecerá acesso suficiente aos contatos dos Produtos de Terceiros à SFDC, conforme necessário para que a SFDC cumpra suas obrigações aqui descritas.  A SFDC receberá orientação somente do Cliente e não dos fornecedores de Produtos de Terceiros.</w:t>
      </w:r>
    </w:p>
    <w:p w14:paraId="6C6EE7FA" w14:textId="77777777" w:rsidR="00211257" w:rsidRDefault="00000000">
      <w:pPr>
        <w:pStyle w:val="Ttulo1"/>
        <w:keepNext/>
        <w:keepLines/>
        <w:spacing w:beforeLines="240" w:before="576" w:after="120" w:line="276" w:lineRule="auto"/>
        <w:ind w:left="432" w:hanging="432"/>
        <w:contextualSpacing w:val="0"/>
        <w:jc w:val="left"/>
      </w:pPr>
      <w:r>
        <w:t xml:space="preserve">Termos Gerais </w:t>
      </w:r>
    </w:p>
    <w:p w14:paraId="75C64925" w14:textId="77777777" w:rsidR="00211257" w:rsidRDefault="00000000">
      <w:pPr>
        <w:pStyle w:val="Ttulo2"/>
        <w:keepNext/>
        <w:keepLines/>
        <w:ind w:left="1026" w:hanging="576"/>
        <w:contextualSpacing w:val="0"/>
        <w:jc w:val="left"/>
      </w:pPr>
      <w:bookmarkStart w:id="8" w:name="_Hlk165906933"/>
      <w:r>
        <w:t>Controle de Mudança</w:t>
      </w:r>
    </w:p>
    <w:p w14:paraId="52F10840" w14:textId="77777777" w:rsidR="00211257" w:rsidRDefault="00000000">
      <w:pPr>
        <w:rPr>
          <w:lang w:val="pt-BR"/>
        </w:rPr>
      </w:pPr>
      <w:bookmarkStart w:id="9" w:name="_Hlk165906960"/>
      <w:bookmarkEnd w:id="8"/>
      <w:r>
        <w:rPr>
          <w:lang w:val="pt-BR"/>
        </w:rPr>
        <w:t xml:space="preserve">No caso de mudanças no escopo do trabalho ou em outros termos desta SOW, as partes trabalharão juntas de boa fé para acordar um Pedido de Mudança apropriado a esta SOW, seguindo o Processo de Controle de Mudança definido abaixo.  A SFDC não terá obrigação de executar serviços profissionais adicionais ou modificados na ausência de acordo sobre um Pedido de Mudança. </w:t>
      </w:r>
    </w:p>
    <w:p w14:paraId="03D66A2D" w14:textId="77777777" w:rsidR="00211257" w:rsidRDefault="00000000">
      <w:pPr>
        <w:rPr>
          <w:lang w:val="pt-BR"/>
        </w:rPr>
      </w:pPr>
      <w:r>
        <w:rPr>
          <w:lang w:val="pt-BR"/>
        </w:rPr>
        <w:t xml:space="preserve">As taxas de Serviços Profissionais ou Termo SOW podem estar sujeitas a um Pedido de Alteração no caso de uma mudança material ou deficiência nas informações fornecidas pelo Cliente à SFDC, um evento imprevisto que mude materialmente as necessidades ou exigências de serviço do Cliente, uma mudança na lei, regulamentação ou aplicação que afete os Serviços Profissionais, ou um evento de força maior. </w:t>
      </w:r>
    </w:p>
    <w:p w14:paraId="53B3FB8A" w14:textId="77777777" w:rsidR="00211257" w:rsidRDefault="00000000">
      <w:pPr>
        <w:pStyle w:val="Ttulo3"/>
      </w:pPr>
      <w:bookmarkStart w:id="10" w:name="_Hlk165906989"/>
      <w:bookmarkEnd w:id="9"/>
      <w:r>
        <w:t>Definições de Controle de Mudança</w:t>
      </w:r>
    </w:p>
    <w:p w14:paraId="3AC5CA01" w14:textId="77777777" w:rsidR="00211257" w:rsidRDefault="00000000">
      <w:pPr>
        <w:pStyle w:val="Ttulo3"/>
        <w:numPr>
          <w:ilvl w:val="3"/>
          <w:numId w:val="1"/>
        </w:numPr>
        <w:rPr>
          <w:lang w:val="pt-BR"/>
        </w:rPr>
      </w:pPr>
      <w:bookmarkStart w:id="11" w:name="_Hlk165907040"/>
      <w:bookmarkEnd w:id="10"/>
      <w:r>
        <w:rPr>
          <w:lang w:val="pt-BR"/>
        </w:rPr>
        <w:t>"</w:t>
      </w:r>
      <w:r>
        <w:rPr>
          <w:b/>
          <w:lang w:val="pt-BR"/>
        </w:rPr>
        <w:t>Controle de Mudanças</w:t>
      </w:r>
      <w:r>
        <w:rPr>
          <w:lang w:val="pt-BR"/>
        </w:rPr>
        <w:t>" descreve o processo para gerenciar mudanças potenciais do projeto.</w:t>
      </w:r>
    </w:p>
    <w:p w14:paraId="50E35F48" w14:textId="77777777" w:rsidR="00211257" w:rsidRDefault="00000000">
      <w:pPr>
        <w:pStyle w:val="Ttulo3"/>
        <w:numPr>
          <w:ilvl w:val="3"/>
          <w:numId w:val="1"/>
        </w:numPr>
        <w:rPr>
          <w:lang w:val="pt-BR"/>
        </w:rPr>
      </w:pPr>
      <w:r>
        <w:rPr>
          <w:b/>
          <w:lang w:val="pt-BR"/>
        </w:rPr>
        <w:t>“Solicitação de Mudança"</w:t>
      </w:r>
      <w:r>
        <w:rPr>
          <w:lang w:val="pt-BR"/>
        </w:rPr>
        <w:t xml:space="preserve"> é uma solicitação informal do Cliente ou SFDC para modificar os Serviços Profissionais a serem fornecidos de acordo com esta SOW.</w:t>
      </w:r>
    </w:p>
    <w:p w14:paraId="3DCB1B9B" w14:textId="77777777" w:rsidR="00211257" w:rsidRDefault="00000000">
      <w:pPr>
        <w:pStyle w:val="Ttulo3"/>
        <w:numPr>
          <w:ilvl w:val="3"/>
          <w:numId w:val="1"/>
        </w:numPr>
        <w:rPr>
          <w:lang w:val="pt-BR"/>
        </w:rPr>
      </w:pPr>
      <w:r>
        <w:rPr>
          <w:lang w:val="pt-BR"/>
        </w:rPr>
        <w:t>“</w:t>
      </w:r>
      <w:r>
        <w:rPr>
          <w:b/>
          <w:lang w:val="pt-BR"/>
        </w:rPr>
        <w:t>Pedido de Mudança</w:t>
      </w:r>
      <w:r>
        <w:rPr>
          <w:lang w:val="pt-BR"/>
        </w:rPr>
        <w:t>" é uma emenda formal a esta SOW, conforme definido na Seção 1.4.</w:t>
      </w:r>
    </w:p>
    <w:bookmarkEnd w:id="11"/>
    <w:p w14:paraId="33EEE9F8" w14:textId="77777777" w:rsidR="00211257" w:rsidRDefault="00211257">
      <w:pPr>
        <w:pStyle w:val="B1"/>
        <w:numPr>
          <w:ilvl w:val="0"/>
          <w:numId w:val="0"/>
        </w:numPr>
        <w:ind w:left="1225" w:hanging="374"/>
        <w:rPr>
          <w:lang w:val="pt-BR"/>
        </w:rPr>
      </w:pPr>
    </w:p>
    <w:p w14:paraId="6F928EB5" w14:textId="77777777" w:rsidR="00211257" w:rsidRDefault="00000000">
      <w:pPr>
        <w:pStyle w:val="Ttulo3"/>
      </w:pPr>
      <w:bookmarkStart w:id="12" w:name="_Hlk165907113"/>
      <w:r>
        <w:t>Processo de Controle de Mudança</w:t>
      </w:r>
    </w:p>
    <w:bookmarkEnd w:id="12"/>
    <w:p w14:paraId="647997C2" w14:textId="77777777" w:rsidR="00211257" w:rsidRDefault="00000000">
      <w:pPr>
        <w:pStyle w:val="PargrafodaLista"/>
        <w:ind w:left="1080"/>
        <w:rPr>
          <w:lang w:val="pt-BR"/>
        </w:rPr>
      </w:pPr>
      <w:r>
        <w:rPr>
          <w:lang w:val="pt-BR"/>
        </w:rPr>
        <w:t xml:space="preserve">A SFDC continuará executando os Serviços Profissionais de acordo com esta SOW até que as partes concordem por escrito sobre a alteração no escopo do trabalho, recursos, cronograma, honorários e outros termos aplicáveis. Os itens abaixo representam um resumo do processo a ser seguido caso se deseje uma alteração a esta SOW: </w:t>
      </w:r>
    </w:p>
    <w:p w14:paraId="27BFDDCC" w14:textId="77777777" w:rsidR="00211257" w:rsidRDefault="00211257">
      <w:pPr>
        <w:pStyle w:val="PargrafodaLista"/>
        <w:ind w:left="1440"/>
        <w:rPr>
          <w:lang w:val="pt-BR"/>
        </w:rPr>
      </w:pPr>
    </w:p>
    <w:p w14:paraId="06AC994E" w14:textId="77777777" w:rsidR="00211257" w:rsidRDefault="00000000">
      <w:pPr>
        <w:pStyle w:val="PargrafodaLista"/>
        <w:numPr>
          <w:ilvl w:val="4"/>
          <w:numId w:val="15"/>
        </w:numPr>
        <w:rPr>
          <w:lang w:val="pt-BR"/>
        </w:rPr>
      </w:pPr>
      <w:r>
        <w:rPr>
          <w:lang w:val="pt-BR"/>
        </w:rPr>
        <w:t>O Cliente ou a SFDC apresenta uma Solicitação de Alteração por escrito (e-mail aceitável), incluindo o seguinte: (i) descrição da alteração, detalhando o que é solicitado a ser alterado nesta SOW; (ii) justificativa para a alteração; e (iii) o impacto que a Alteração pode ter sobre os Serviços Profissionais.</w:t>
      </w:r>
    </w:p>
    <w:p w14:paraId="2681EFAC" w14:textId="77777777" w:rsidR="00211257" w:rsidRDefault="00000000">
      <w:pPr>
        <w:pStyle w:val="PargrafodaLista"/>
        <w:numPr>
          <w:ilvl w:val="4"/>
          <w:numId w:val="15"/>
        </w:numPr>
        <w:rPr>
          <w:lang w:val="pt-BR"/>
        </w:rPr>
      </w:pPr>
      <w:r>
        <w:rPr>
          <w:lang w:val="pt-BR"/>
        </w:rPr>
        <w:t xml:space="preserve">Tanto o Cliente quanto a SFDC revisam a Solicitação de Alteração para determinar o mérito da solicitação e o impacto no escopo, recursos, cronograma, honorários e em outros termos e condições desta SOW que podem resultar da implementação da Solicitação de Alteração.  </w:t>
      </w:r>
    </w:p>
    <w:p w14:paraId="61D46503" w14:textId="77777777" w:rsidR="00211257" w:rsidRDefault="00000000">
      <w:pPr>
        <w:pStyle w:val="PargrafodaLista"/>
        <w:numPr>
          <w:ilvl w:val="4"/>
          <w:numId w:val="15"/>
        </w:numPr>
        <w:rPr>
          <w:lang w:val="pt-BR"/>
        </w:rPr>
      </w:pPr>
      <w:r>
        <w:rPr>
          <w:lang w:val="pt-BR"/>
        </w:rPr>
        <w:t>As partes decidem aceitar ou rejeitar a alteração solicitada.</w:t>
      </w:r>
    </w:p>
    <w:p w14:paraId="2C340187" w14:textId="77777777" w:rsidR="00211257" w:rsidRDefault="00000000">
      <w:pPr>
        <w:pStyle w:val="PargrafodaLista"/>
        <w:numPr>
          <w:ilvl w:val="4"/>
          <w:numId w:val="15"/>
        </w:numPr>
        <w:rPr>
          <w:lang w:val="pt-BR"/>
        </w:rPr>
      </w:pPr>
      <w:r>
        <w:rPr>
          <w:lang w:val="pt-BR"/>
        </w:rPr>
        <w:t xml:space="preserve">Se aceita, a SFDC prepara uma Pedido de Alteração, que inclui uma descrição das alterações aplicáveis ao escopo, recursos planejados, linha do tempo, honorários e outros termos e condições. </w:t>
      </w:r>
    </w:p>
    <w:p w14:paraId="622B5EEC" w14:textId="77777777" w:rsidR="00211257" w:rsidRDefault="00000000">
      <w:pPr>
        <w:pStyle w:val="PargrafodaLista"/>
        <w:numPr>
          <w:ilvl w:val="4"/>
          <w:numId w:val="15"/>
        </w:numPr>
        <w:rPr>
          <w:lang w:val="pt-BR"/>
        </w:rPr>
      </w:pPr>
      <w:r>
        <w:rPr>
          <w:lang w:val="pt-BR"/>
        </w:rPr>
        <w:t>A SFDC assina o Pedido de Alteração e o envia ao Cliente.</w:t>
      </w:r>
    </w:p>
    <w:p w14:paraId="34E57D7E" w14:textId="77777777" w:rsidR="00211257" w:rsidRDefault="00000000">
      <w:pPr>
        <w:pStyle w:val="PargrafodaLista"/>
        <w:numPr>
          <w:ilvl w:val="4"/>
          <w:numId w:val="15"/>
        </w:numPr>
        <w:rPr>
          <w:lang w:val="pt-BR"/>
        </w:rPr>
      </w:pPr>
      <w:r>
        <w:rPr>
          <w:lang w:val="pt-BR"/>
        </w:rPr>
        <w:t xml:space="preserve">O Cliente assina o Pedido de Alteração e, se aplicável, gera um pedido de compra associado a esse Pedido de Alteração. </w:t>
      </w:r>
    </w:p>
    <w:p w14:paraId="630C2AFB" w14:textId="77777777" w:rsidR="00211257" w:rsidRDefault="00000000">
      <w:pPr>
        <w:pStyle w:val="PargrafodaLista"/>
        <w:numPr>
          <w:ilvl w:val="4"/>
          <w:numId w:val="15"/>
        </w:numPr>
        <w:rPr>
          <w:lang w:val="pt-BR"/>
        </w:rPr>
      </w:pPr>
      <w:r>
        <w:rPr>
          <w:lang w:val="pt-BR"/>
        </w:rPr>
        <w:t xml:space="preserve">Os Serviços Profissionais descritos no Pedido de Alteração totalmente assinado serão executados pela SFDC e incluídos como parte desta SOW. </w:t>
      </w:r>
    </w:p>
    <w:p w14:paraId="64D9C1B6" w14:textId="77777777" w:rsidR="00211257" w:rsidRDefault="00000000">
      <w:pPr>
        <w:pStyle w:val="Ttulo2"/>
        <w:jc w:val="left"/>
      </w:pPr>
      <w:r>
        <w:t xml:space="preserve">Segmentação  </w:t>
      </w:r>
    </w:p>
    <w:p w14:paraId="10E95DDA" w14:textId="77777777" w:rsidR="00211257" w:rsidRDefault="00000000">
      <w:pPr>
        <w:rPr>
          <w:lang w:val="pt-BR"/>
        </w:rPr>
      </w:pPr>
      <w:r>
        <w:rPr>
          <w:lang w:val="pt-BR"/>
        </w:rPr>
        <w:t>O Cliente reconhece que esta SOW é limitada aos Serviços Profissionais e não transmite qualquer direito de uso da Aplicação.  Qualquer uso da Aplicação pelo Cliente será regido por um acordo separado. O Cliente concorda que sua aquisição dos Serviços Profissionais não está condicionada à entrega de nenhuma funcionalidade ou características futuras da Aplicação (exceto Entregáveis sob esta SOW, de acordo e sujeito aos termos desta SOW), ou a quaisquer comentários públicos orais ou escritos da SFDC a respeito de funcionalidades ou características futuras da Aplicação.</w:t>
      </w:r>
    </w:p>
    <w:p w14:paraId="63C23BE6" w14:textId="77777777" w:rsidR="00211257" w:rsidRDefault="00211257">
      <w:pPr>
        <w:pStyle w:val="Ttulo2"/>
        <w:numPr>
          <w:ilvl w:val="0"/>
          <w:numId w:val="0"/>
        </w:numPr>
        <w:ind w:left="792" w:hanging="432"/>
        <w:jc w:val="left"/>
        <w:rPr>
          <w:lang w:val="pt-BR"/>
        </w:rPr>
      </w:pPr>
    </w:p>
    <w:p w14:paraId="2D80E03D" w14:textId="77777777" w:rsidR="00211257" w:rsidRDefault="00000000">
      <w:pPr>
        <w:pStyle w:val="Ttulo2"/>
        <w:jc w:val="left"/>
      </w:pPr>
      <w:r>
        <w:t>Rescisão</w:t>
      </w:r>
    </w:p>
    <w:p w14:paraId="44275D66" w14:textId="77777777" w:rsidR="00211257" w:rsidRDefault="00000000">
      <w:pPr>
        <w:rPr>
          <w:lang w:val="pt-BR"/>
        </w:rPr>
      </w:pPr>
      <w:r>
        <w:rPr>
          <w:rFonts w:eastAsia="Arial"/>
          <w:szCs w:val="18"/>
          <w:lang w:val="pt-BR"/>
        </w:rPr>
        <w:lastRenderedPageBreak/>
        <w:t>Esta SOW não poderá ser rescindida por conveniência</w:t>
      </w:r>
      <w:r>
        <w:rPr>
          <w:lang w:val="pt-BR"/>
        </w:rPr>
        <w:t xml:space="preserve">.  </w:t>
      </w:r>
      <w:r>
        <w:rPr>
          <w:color w:val="000000"/>
          <w:lang w:val="pt-BR"/>
        </w:rPr>
        <w:t>Qualquer uma das partes pode rescindir esta SOW por justa causa: (i) mediante notificação escrita à outra parte, com trinta (30) dias de antecedência, de uma violação material, se tal violação permanecer não resolvida ao término de tal período, ou (ii) se a outra parte se tornar objeto de um pedido de falência ou de qualquer outro processo relativo a insolvência, recuperação judicial, liquidação ou cessão em benefício de credores</w:t>
      </w:r>
      <w:r>
        <w:rPr>
          <w:lang w:val="pt-BR"/>
        </w:rPr>
        <w:t>.</w:t>
      </w:r>
    </w:p>
    <w:p w14:paraId="3536F8B5" w14:textId="77777777" w:rsidR="00211257" w:rsidRDefault="00000000">
      <w:pPr>
        <w:pStyle w:val="Ttulo2"/>
        <w:jc w:val="left"/>
      </w:pPr>
      <w:r>
        <w:t>Geral</w:t>
      </w:r>
    </w:p>
    <w:p w14:paraId="18F00BC0" w14:textId="4C05FA16" w:rsidR="00211257" w:rsidRDefault="00000000">
      <w:pPr>
        <w:rPr>
          <w:lang w:val="pt-BR"/>
        </w:rPr>
      </w:pPr>
      <w:r>
        <w:rPr>
          <w:lang w:val="pt-BR"/>
        </w:rPr>
        <w:t>Esta SOW ser assinada em vias</w:t>
      </w:r>
      <w:r w:rsidR="00543B62">
        <w:rPr>
          <w:lang w:val="pt-BR"/>
        </w:rPr>
        <w:t xml:space="preserve"> digitalmente</w:t>
      </w:r>
      <w:r>
        <w:rPr>
          <w:lang w:val="pt-BR"/>
        </w:rPr>
        <w:t xml:space="preserve">, cada uma das quais será considerada um original. Esta SOW está sujeita aos termos e condições do Contrato, exceto se de outra forma expressamente previsto nesta SOW. No caso de conflito entre qualquer termos desta SOW e o Contrato, os termos desta SOW prevalecerão..  </w:t>
      </w:r>
    </w:p>
    <w:p w14:paraId="4BFF8FFA" w14:textId="77777777" w:rsidR="00211257" w:rsidRDefault="00000000">
      <w:pPr>
        <w:rPr>
          <w:lang w:val="pt-BR"/>
        </w:rPr>
      </w:pPr>
      <w:r>
        <w:rPr>
          <w:color w:val="000000"/>
          <w:lang w:val="pt-BR"/>
        </w:rPr>
        <w:t>EM TESTEMUNHO DO QUE, as partes assinam esta SOW por seus respectivos representantes devidamente autorizados, conforme identificados abaixo</w:t>
      </w:r>
      <w:r>
        <w:rPr>
          <w:lang w:val="pt-BR"/>
        </w:rPr>
        <w:t>.</w:t>
      </w:r>
    </w:p>
    <w:tbl>
      <w:tblPr>
        <w:tblW w:w="10443" w:type="dxa"/>
        <w:tblInd w:w="-9" w:type="dxa"/>
        <w:tblLayout w:type="fixed"/>
        <w:tblLook w:val="0600" w:firstRow="0" w:lastRow="0" w:firstColumn="0" w:lastColumn="0" w:noHBand="1" w:noVBand="1"/>
      </w:tblPr>
      <w:tblGrid>
        <w:gridCol w:w="1246"/>
        <w:gridCol w:w="3736"/>
        <w:gridCol w:w="485"/>
        <w:gridCol w:w="1239"/>
        <w:gridCol w:w="3737"/>
      </w:tblGrid>
      <w:tr w:rsidR="00211257" w14:paraId="6A129DA2" w14:textId="77777777" w:rsidTr="00FF7FAD">
        <w:trPr>
          <w:trHeight w:val="359"/>
        </w:trPr>
        <w:tc>
          <w:tcPr>
            <w:tcW w:w="4982" w:type="dxa"/>
            <w:gridSpan w:val="2"/>
            <w:tcBorders>
              <w:top w:val="single" w:sz="4" w:space="0" w:color="BFBFBF"/>
              <w:left w:val="single" w:sz="4" w:space="0" w:color="BFBFBF"/>
              <w:bottom w:val="single" w:sz="4" w:space="0" w:color="auto"/>
              <w:right w:val="single" w:sz="4" w:space="0" w:color="BFBFBF"/>
            </w:tcBorders>
            <w:shd w:val="clear" w:color="auto" w:fill="1F4C78"/>
            <w:vAlign w:val="center"/>
          </w:tcPr>
          <w:p w14:paraId="264351BF" w14:textId="77777777" w:rsidR="00211257" w:rsidRDefault="00000000">
            <w:pPr>
              <w:pBdr>
                <w:top w:val="nil"/>
                <w:left w:val="nil"/>
                <w:bottom w:val="nil"/>
                <w:right w:val="nil"/>
                <w:between w:val="nil"/>
              </w:pBdr>
              <w:spacing w:after="0" w:line="240" w:lineRule="auto"/>
              <w:ind w:left="-14"/>
              <w:rPr>
                <w:b/>
                <w:color w:val="F2F2F2"/>
                <w:szCs w:val="18"/>
              </w:rPr>
            </w:pPr>
            <w:r>
              <w:rPr>
                <w:rFonts w:eastAsia="Arial"/>
                <w:b/>
                <w:color w:val="FFFFFF" w:themeColor="background1"/>
                <w:szCs w:val="18"/>
              </w:rPr>
              <w:t>Cliente</w:t>
            </w:r>
          </w:p>
        </w:tc>
        <w:tc>
          <w:tcPr>
            <w:tcW w:w="485" w:type="dxa"/>
            <w:tcBorders>
              <w:left w:val="single" w:sz="4" w:space="0" w:color="BFBFBF"/>
              <w:right w:val="single" w:sz="4" w:space="0" w:color="BFBFBF"/>
            </w:tcBorders>
            <w:shd w:val="clear" w:color="auto" w:fill="FFFFFF"/>
            <w:vAlign w:val="center"/>
          </w:tcPr>
          <w:p w14:paraId="7FA3E3C0" w14:textId="77777777" w:rsidR="00211257" w:rsidRDefault="00211257">
            <w:pPr>
              <w:pBdr>
                <w:top w:val="nil"/>
                <w:left w:val="nil"/>
                <w:bottom w:val="nil"/>
                <w:right w:val="nil"/>
                <w:between w:val="nil"/>
              </w:pBdr>
              <w:spacing w:after="0" w:line="240" w:lineRule="auto"/>
              <w:rPr>
                <w:b/>
                <w:color w:val="000000" w:themeColor="text1"/>
                <w:szCs w:val="18"/>
              </w:rPr>
            </w:pPr>
          </w:p>
        </w:tc>
        <w:tc>
          <w:tcPr>
            <w:tcW w:w="4976" w:type="dxa"/>
            <w:gridSpan w:val="2"/>
            <w:tcBorders>
              <w:top w:val="single" w:sz="4" w:space="0" w:color="BFBFBF"/>
              <w:left w:val="single" w:sz="4" w:space="0" w:color="BFBFBF"/>
              <w:bottom w:val="single" w:sz="4" w:space="0" w:color="auto"/>
              <w:right w:val="single" w:sz="4" w:space="0" w:color="BFBFBF"/>
            </w:tcBorders>
            <w:shd w:val="clear" w:color="auto" w:fill="1F4C78"/>
            <w:vAlign w:val="center"/>
          </w:tcPr>
          <w:p w14:paraId="4D653502" w14:textId="77777777" w:rsidR="00211257" w:rsidRDefault="00000000">
            <w:pPr>
              <w:pBdr>
                <w:top w:val="nil"/>
                <w:left w:val="nil"/>
                <w:bottom w:val="nil"/>
                <w:right w:val="nil"/>
                <w:between w:val="nil"/>
              </w:pBdr>
              <w:spacing w:after="0" w:line="240" w:lineRule="auto"/>
              <w:ind w:left="12"/>
              <w:rPr>
                <w:b/>
                <w:color w:val="F2F2F2"/>
                <w:szCs w:val="18"/>
              </w:rPr>
            </w:pPr>
            <w:r>
              <w:rPr>
                <w:rFonts w:eastAsia="Arial"/>
                <w:b/>
                <w:color w:val="FFFFFF" w:themeColor="background1"/>
                <w:szCs w:val="18"/>
              </w:rPr>
              <w:t>SFDC</w:t>
            </w:r>
          </w:p>
        </w:tc>
      </w:tr>
      <w:tr w:rsidR="00211257" w14:paraId="2F65C8C3" w14:textId="77777777" w:rsidTr="00FF7FAD">
        <w:trPr>
          <w:trHeight w:val="650"/>
        </w:trPr>
        <w:tc>
          <w:tcPr>
            <w:tcW w:w="1246" w:type="dxa"/>
            <w:tcBorders>
              <w:top w:val="single" w:sz="4" w:space="0" w:color="auto"/>
              <w:left w:val="single" w:sz="4" w:space="0" w:color="auto"/>
              <w:bottom w:val="single" w:sz="4" w:space="0" w:color="auto"/>
              <w:right w:val="single" w:sz="4" w:space="0" w:color="auto"/>
            </w:tcBorders>
            <w:vAlign w:val="center"/>
          </w:tcPr>
          <w:p w14:paraId="3EAF7C19" w14:textId="77777777" w:rsidR="00211257" w:rsidRDefault="00000000">
            <w:pPr>
              <w:spacing w:after="60" w:line="240" w:lineRule="auto"/>
              <w:ind w:left="0"/>
              <w:rPr>
                <w:rFonts w:eastAsia="Arial"/>
                <w:color w:val="000000"/>
                <w:sz w:val="16"/>
                <w:szCs w:val="16"/>
              </w:rPr>
            </w:pPr>
            <w:proofErr w:type="spellStart"/>
            <w:r>
              <w:rPr>
                <w:rFonts w:eastAsia="Arial"/>
                <w:color w:val="000000"/>
                <w:sz w:val="16"/>
                <w:szCs w:val="16"/>
              </w:rPr>
              <w:t>Assinatura</w:t>
            </w:r>
            <w:proofErr w:type="spellEnd"/>
          </w:p>
        </w:tc>
        <w:tc>
          <w:tcPr>
            <w:tcW w:w="3736" w:type="dxa"/>
            <w:tcBorders>
              <w:top w:val="single" w:sz="4" w:space="0" w:color="auto"/>
              <w:left w:val="single" w:sz="4" w:space="0" w:color="auto"/>
              <w:bottom w:val="single" w:sz="4" w:space="0" w:color="auto"/>
              <w:right w:val="single" w:sz="4" w:space="0" w:color="auto"/>
            </w:tcBorders>
          </w:tcPr>
          <w:p w14:paraId="6D3893E9" w14:textId="77777777" w:rsidR="00211257" w:rsidRDefault="00000000">
            <w:pPr>
              <w:ind w:left="0"/>
              <w:rPr>
                <w:rFonts w:ascii="Times New Roman" w:hAnsi="Times New Roman" w:cs="Times New Roman"/>
                <w:color w:val="FFFFFF" w:themeColor="background1"/>
                <w:sz w:val="24"/>
              </w:rPr>
            </w:pPr>
            <w:r>
              <w:rPr>
                <w:color w:val="FFFFFF" w:themeColor="background1"/>
              </w:rPr>
              <w:t>\s</w:t>
            </w:r>
            <w:r>
              <w:rPr>
                <w:color w:val="FFFFFF"/>
              </w:rPr>
              <w:t>[</w:t>
            </w:r>
            <w:proofErr w:type="spellStart"/>
            <w:r>
              <w:rPr>
                <w:color w:val="FFFFFF"/>
              </w:rPr>
              <w:t>counterpartySignerSignature_</w:t>
            </w:r>
            <w:proofErr w:type="gramStart"/>
            <w:r>
              <w:rPr>
                <w:color w:val="FFFFFF"/>
              </w:rPr>
              <w:t>JXPLbDY</w:t>
            </w:r>
            <w:proofErr w:type="spellEnd"/>
            <w:r>
              <w:rPr>
                <w:color w:val="FFFFFF"/>
              </w:rPr>
              <w:t>]</w:t>
            </w:r>
            <w:r>
              <w:rPr>
                <w:color w:val="FFFFFF" w:themeColor="background1"/>
              </w:rPr>
              <w:t>\</w:t>
            </w:r>
            <w:proofErr w:type="gramEnd"/>
          </w:p>
        </w:tc>
        <w:tc>
          <w:tcPr>
            <w:tcW w:w="485" w:type="dxa"/>
            <w:tcBorders>
              <w:left w:val="single" w:sz="4" w:space="0" w:color="auto"/>
              <w:right w:val="single" w:sz="4" w:space="0" w:color="auto"/>
            </w:tcBorders>
            <w:vAlign w:val="center"/>
          </w:tcPr>
          <w:p w14:paraId="2E8F40C4" w14:textId="77777777" w:rsidR="00211257" w:rsidRDefault="00211257">
            <w:pPr>
              <w:spacing w:after="60" w:line="240" w:lineRule="auto"/>
              <w:rPr>
                <w:rFonts w:eastAsia="Arial"/>
                <w:color w:val="000000"/>
                <w:sz w:val="16"/>
                <w:szCs w:val="16"/>
              </w:rPr>
            </w:pPr>
          </w:p>
        </w:tc>
        <w:tc>
          <w:tcPr>
            <w:tcW w:w="1239" w:type="dxa"/>
            <w:tcBorders>
              <w:top w:val="single" w:sz="4" w:space="0" w:color="auto"/>
              <w:left w:val="single" w:sz="4" w:space="0" w:color="auto"/>
              <w:bottom w:val="single" w:sz="4" w:space="0" w:color="auto"/>
              <w:right w:val="single" w:sz="4" w:space="0" w:color="auto"/>
            </w:tcBorders>
            <w:vAlign w:val="center"/>
          </w:tcPr>
          <w:p w14:paraId="48B46111" w14:textId="77777777" w:rsidR="00211257" w:rsidRDefault="00000000">
            <w:pPr>
              <w:spacing w:after="60" w:line="240" w:lineRule="auto"/>
              <w:ind w:left="0"/>
              <w:rPr>
                <w:rFonts w:eastAsia="Arial"/>
                <w:color w:val="000000"/>
                <w:sz w:val="16"/>
                <w:szCs w:val="16"/>
              </w:rPr>
            </w:pPr>
            <w:r>
              <w:rPr>
                <w:rFonts w:eastAsia="Arial"/>
                <w:color w:val="000000"/>
                <w:sz w:val="16"/>
                <w:szCs w:val="16"/>
              </w:rPr>
              <w:t>Assinatura</w:t>
            </w:r>
          </w:p>
        </w:tc>
        <w:tc>
          <w:tcPr>
            <w:tcW w:w="3737" w:type="dxa"/>
            <w:tcBorders>
              <w:top w:val="single" w:sz="4" w:space="0" w:color="auto"/>
              <w:left w:val="single" w:sz="4" w:space="0" w:color="auto"/>
              <w:bottom w:val="single" w:sz="4" w:space="0" w:color="auto"/>
              <w:right w:val="single" w:sz="4" w:space="0" w:color="auto"/>
            </w:tcBorders>
            <w:vAlign w:val="center"/>
          </w:tcPr>
          <w:p w14:paraId="4AFC960D" w14:textId="77777777" w:rsidR="00211257" w:rsidRDefault="00000000">
            <w:pPr>
              <w:spacing w:after="60" w:line="240" w:lineRule="auto"/>
              <w:ind w:left="0"/>
              <w:rPr>
                <w:rFonts w:eastAsia="Arial"/>
                <w:color w:val="FFFFFF" w:themeColor="background1"/>
                <w:sz w:val="16"/>
                <w:szCs w:val="16"/>
              </w:rPr>
            </w:pPr>
            <w:r>
              <w:rPr>
                <w:rFonts w:eastAsia="Arial"/>
                <w:color w:val="FFFFFF"/>
                <w:sz w:val="16"/>
                <w:szCs w:val="16"/>
              </w:rPr>
              <w:t>[salesforceNonProductionOrg62UatSignerSignature_Az10xBN]</w:t>
            </w:r>
          </w:p>
        </w:tc>
      </w:tr>
      <w:tr w:rsidR="00211257" w14:paraId="31A5338D" w14:textId="77777777" w:rsidTr="00FF7FAD">
        <w:trPr>
          <w:trHeight w:val="286"/>
        </w:trPr>
        <w:tc>
          <w:tcPr>
            <w:tcW w:w="1246" w:type="dxa"/>
            <w:tcBorders>
              <w:top w:val="single" w:sz="4" w:space="0" w:color="auto"/>
              <w:left w:val="single" w:sz="4" w:space="0" w:color="auto"/>
              <w:bottom w:val="single" w:sz="4" w:space="0" w:color="auto"/>
              <w:right w:val="single" w:sz="4" w:space="0" w:color="auto"/>
            </w:tcBorders>
            <w:vAlign w:val="center"/>
          </w:tcPr>
          <w:p w14:paraId="5715587F"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Nome</w:t>
            </w:r>
          </w:p>
        </w:tc>
        <w:tc>
          <w:tcPr>
            <w:tcW w:w="3736" w:type="dxa"/>
            <w:tcBorders>
              <w:top w:val="single" w:sz="4" w:space="0" w:color="auto"/>
              <w:left w:val="single" w:sz="4" w:space="0" w:color="auto"/>
              <w:bottom w:val="single" w:sz="4" w:space="0" w:color="auto"/>
              <w:right w:val="single" w:sz="4" w:space="0" w:color="auto"/>
            </w:tcBorders>
          </w:tcPr>
          <w:p w14:paraId="68F0EFED"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color w:val="FFFFFF" w:themeColor="background1"/>
              </w:rPr>
              <w:t>\n</w:t>
            </w:r>
            <w:r>
              <w:rPr>
                <w:color w:val="FFFFFF"/>
              </w:rPr>
              <w:t>[counterpartySignerName_</w:t>
            </w:r>
            <w:proofErr w:type="gramStart"/>
            <w:r>
              <w:rPr>
                <w:color w:val="FFFFFF"/>
              </w:rPr>
              <w:t>IFBlMZR]</w:t>
            </w:r>
            <w:r>
              <w:rPr>
                <w:color w:val="FFFFFF" w:themeColor="background1"/>
              </w:rPr>
              <w:t>\</w:t>
            </w:r>
            <w:proofErr w:type="gramEnd"/>
          </w:p>
        </w:tc>
        <w:tc>
          <w:tcPr>
            <w:tcW w:w="485" w:type="dxa"/>
            <w:tcBorders>
              <w:left w:val="single" w:sz="4" w:space="0" w:color="auto"/>
              <w:right w:val="single" w:sz="4" w:space="0" w:color="auto"/>
            </w:tcBorders>
            <w:shd w:val="clear" w:color="auto" w:fill="FFFFFF"/>
            <w:vAlign w:val="center"/>
          </w:tcPr>
          <w:p w14:paraId="7E315799" w14:textId="77777777" w:rsidR="00211257" w:rsidRDefault="00211257">
            <w:pPr>
              <w:pBdr>
                <w:top w:val="nil"/>
                <w:left w:val="nil"/>
                <w:bottom w:val="nil"/>
                <w:right w:val="nil"/>
                <w:between w:val="nil"/>
              </w:pBdr>
              <w:spacing w:after="60" w:line="240" w:lineRule="auto"/>
              <w:rPr>
                <w:color w:val="000000" w:themeColor="text1"/>
                <w:sz w:val="16"/>
                <w:szCs w:val="16"/>
              </w:rPr>
            </w:pPr>
          </w:p>
        </w:tc>
        <w:tc>
          <w:tcPr>
            <w:tcW w:w="1239" w:type="dxa"/>
            <w:tcBorders>
              <w:top w:val="single" w:sz="4" w:space="0" w:color="auto"/>
              <w:left w:val="single" w:sz="4" w:space="0" w:color="auto"/>
              <w:bottom w:val="single" w:sz="4" w:space="0" w:color="auto"/>
              <w:right w:val="single" w:sz="4" w:space="0" w:color="auto"/>
            </w:tcBorders>
            <w:vAlign w:val="center"/>
          </w:tcPr>
          <w:p w14:paraId="45FA7621"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Nome</w:t>
            </w:r>
          </w:p>
        </w:tc>
        <w:tc>
          <w:tcPr>
            <w:tcW w:w="3737" w:type="dxa"/>
            <w:tcBorders>
              <w:top w:val="single" w:sz="4" w:space="0" w:color="auto"/>
              <w:left w:val="single" w:sz="4" w:space="0" w:color="auto"/>
              <w:bottom w:val="single" w:sz="4" w:space="0" w:color="auto"/>
              <w:right w:val="single" w:sz="4" w:space="0" w:color="auto"/>
            </w:tcBorders>
            <w:vAlign w:val="center"/>
          </w:tcPr>
          <w:p w14:paraId="349298E5" w14:textId="77777777" w:rsidR="00211257" w:rsidRDefault="00000000">
            <w:pPr>
              <w:pBdr>
                <w:top w:val="nil"/>
                <w:left w:val="nil"/>
                <w:bottom w:val="nil"/>
                <w:right w:val="nil"/>
                <w:between w:val="nil"/>
              </w:pBdr>
              <w:spacing w:after="60" w:line="240" w:lineRule="auto"/>
              <w:ind w:left="0"/>
              <w:rPr>
                <w:color w:val="FFFFFF" w:themeColor="background1"/>
                <w:sz w:val="16"/>
                <w:szCs w:val="16"/>
              </w:rPr>
            </w:pPr>
            <w:r>
              <w:rPr>
                <w:rFonts w:eastAsia="Arial"/>
                <w:color w:val="FFFFFF"/>
                <w:sz w:val="16"/>
                <w:szCs w:val="16"/>
              </w:rPr>
              <w:t>[salesforceNonProductionOrg62UatSignerName_4cRjfkW]</w:t>
            </w:r>
          </w:p>
        </w:tc>
      </w:tr>
      <w:tr w:rsidR="00211257" w14:paraId="2E62ADAE" w14:textId="77777777" w:rsidTr="00FF7FAD">
        <w:trPr>
          <w:trHeight w:val="77"/>
        </w:trPr>
        <w:tc>
          <w:tcPr>
            <w:tcW w:w="1246" w:type="dxa"/>
            <w:tcBorders>
              <w:top w:val="single" w:sz="4" w:space="0" w:color="auto"/>
              <w:left w:val="single" w:sz="4" w:space="0" w:color="auto"/>
              <w:bottom w:val="single" w:sz="4" w:space="0" w:color="auto"/>
              <w:right w:val="single" w:sz="4" w:space="0" w:color="auto"/>
            </w:tcBorders>
            <w:vAlign w:val="center"/>
          </w:tcPr>
          <w:p w14:paraId="770058E9"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Cargo</w:t>
            </w:r>
          </w:p>
        </w:tc>
        <w:tc>
          <w:tcPr>
            <w:tcW w:w="3736" w:type="dxa"/>
            <w:tcBorders>
              <w:top w:val="single" w:sz="4" w:space="0" w:color="auto"/>
              <w:left w:val="single" w:sz="4" w:space="0" w:color="auto"/>
              <w:bottom w:val="single" w:sz="4" w:space="0" w:color="auto"/>
              <w:right w:val="single" w:sz="4" w:space="0" w:color="auto"/>
            </w:tcBorders>
          </w:tcPr>
          <w:p w14:paraId="635FED09"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color w:val="FFFFFF" w:themeColor="background1"/>
              </w:rPr>
              <w:t>\t</w:t>
            </w:r>
            <w:r>
              <w:rPr>
                <w:color w:val="FFFFFF"/>
              </w:rPr>
              <w:t>[counterpartySignerTitle_mh04</w:t>
            </w:r>
            <w:proofErr w:type="gramStart"/>
            <w:r>
              <w:rPr>
                <w:color w:val="FFFFFF"/>
              </w:rPr>
              <w:t>eBb]</w:t>
            </w:r>
            <w:r>
              <w:rPr>
                <w:color w:val="FFFFFF" w:themeColor="background1"/>
              </w:rPr>
              <w:t>\</w:t>
            </w:r>
            <w:proofErr w:type="gramEnd"/>
          </w:p>
        </w:tc>
        <w:tc>
          <w:tcPr>
            <w:tcW w:w="485" w:type="dxa"/>
            <w:tcBorders>
              <w:left w:val="single" w:sz="4" w:space="0" w:color="auto"/>
              <w:right w:val="single" w:sz="4" w:space="0" w:color="auto"/>
            </w:tcBorders>
            <w:shd w:val="clear" w:color="auto" w:fill="FFFFFF"/>
            <w:vAlign w:val="center"/>
          </w:tcPr>
          <w:p w14:paraId="72155EFD" w14:textId="77777777" w:rsidR="00211257" w:rsidRDefault="00211257">
            <w:pPr>
              <w:pBdr>
                <w:top w:val="nil"/>
                <w:left w:val="nil"/>
                <w:bottom w:val="nil"/>
                <w:right w:val="nil"/>
                <w:between w:val="nil"/>
              </w:pBdr>
              <w:spacing w:after="60" w:line="240" w:lineRule="auto"/>
              <w:rPr>
                <w:color w:val="000000" w:themeColor="text1"/>
                <w:sz w:val="16"/>
                <w:szCs w:val="16"/>
              </w:rPr>
            </w:pPr>
          </w:p>
        </w:tc>
        <w:tc>
          <w:tcPr>
            <w:tcW w:w="1239" w:type="dxa"/>
            <w:tcBorders>
              <w:top w:val="single" w:sz="4" w:space="0" w:color="auto"/>
              <w:left w:val="single" w:sz="4" w:space="0" w:color="auto"/>
              <w:bottom w:val="single" w:sz="4" w:space="0" w:color="auto"/>
              <w:right w:val="single" w:sz="4" w:space="0" w:color="auto"/>
            </w:tcBorders>
            <w:vAlign w:val="center"/>
          </w:tcPr>
          <w:p w14:paraId="38E9FF41"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Cargo</w:t>
            </w:r>
          </w:p>
        </w:tc>
        <w:tc>
          <w:tcPr>
            <w:tcW w:w="3737" w:type="dxa"/>
            <w:tcBorders>
              <w:top w:val="single" w:sz="4" w:space="0" w:color="auto"/>
              <w:left w:val="single" w:sz="4" w:space="0" w:color="auto"/>
              <w:bottom w:val="single" w:sz="4" w:space="0" w:color="auto"/>
              <w:right w:val="single" w:sz="4" w:space="0" w:color="auto"/>
            </w:tcBorders>
            <w:vAlign w:val="center"/>
          </w:tcPr>
          <w:p w14:paraId="03F2374F" w14:textId="77777777" w:rsidR="00211257" w:rsidRDefault="00000000">
            <w:pPr>
              <w:pBdr>
                <w:top w:val="nil"/>
                <w:left w:val="nil"/>
                <w:bottom w:val="nil"/>
                <w:right w:val="nil"/>
                <w:between w:val="nil"/>
              </w:pBdr>
              <w:spacing w:after="60" w:line="240" w:lineRule="auto"/>
              <w:ind w:left="0"/>
              <w:rPr>
                <w:color w:val="FFFFFF" w:themeColor="background1"/>
                <w:sz w:val="16"/>
                <w:szCs w:val="16"/>
              </w:rPr>
            </w:pPr>
            <w:r>
              <w:rPr>
                <w:rFonts w:eastAsia="Arial"/>
                <w:color w:val="FFFFFF"/>
                <w:sz w:val="16"/>
                <w:szCs w:val="16"/>
              </w:rPr>
              <w:t>[salesforceNonProductionOrg62UatSignerTitle_503rsJB]</w:t>
            </w:r>
          </w:p>
        </w:tc>
      </w:tr>
      <w:tr w:rsidR="00736AFD" w14:paraId="5C86736A" w14:textId="77777777" w:rsidTr="00FF7FAD">
        <w:trPr>
          <w:trHeight w:val="77"/>
        </w:trPr>
        <w:tc>
          <w:tcPr>
            <w:tcW w:w="1246" w:type="dxa"/>
            <w:tcBorders>
              <w:top w:val="single" w:sz="4" w:space="0" w:color="auto"/>
              <w:left w:val="single" w:sz="4" w:space="0" w:color="auto"/>
              <w:bottom w:val="single" w:sz="4" w:space="0" w:color="auto"/>
              <w:right w:val="single" w:sz="4" w:space="0" w:color="auto"/>
            </w:tcBorders>
            <w:vAlign w:val="center"/>
          </w:tcPr>
          <w:p w14:paraId="7E408B3E" w14:textId="7173E026" w:rsidR="00736AFD" w:rsidRDefault="00736AFD" w:rsidP="00736AFD">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Data</w:t>
            </w:r>
          </w:p>
        </w:tc>
        <w:tc>
          <w:tcPr>
            <w:tcW w:w="3736" w:type="dxa"/>
            <w:tcBorders>
              <w:top w:val="single" w:sz="4" w:space="0" w:color="auto"/>
              <w:left w:val="single" w:sz="4" w:space="0" w:color="auto"/>
              <w:bottom w:val="single" w:sz="4" w:space="0" w:color="auto"/>
              <w:right w:val="single" w:sz="4" w:space="0" w:color="auto"/>
            </w:tcBorders>
            <w:vAlign w:val="center"/>
          </w:tcPr>
          <w:p w14:paraId="0D2AB68C" w14:textId="7850E074" w:rsidR="00736AFD" w:rsidRDefault="00736AFD" w:rsidP="00736AFD">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\d</w:t>
            </w:r>
            <w:r>
              <w:rPr>
                <w:rFonts w:eastAsia="Arial"/>
                <w:color w:val="FFFFFF"/>
                <w:sz w:val="16"/>
                <w:szCs w:val="16"/>
              </w:rPr>
              <w:t>[counterpartySigner2DateField_</w:t>
            </w:r>
            <w:proofErr w:type="gramStart"/>
            <w:r>
              <w:rPr>
                <w:rFonts w:eastAsia="Arial"/>
                <w:color w:val="FFFFFF"/>
                <w:sz w:val="16"/>
                <w:szCs w:val="16"/>
              </w:rPr>
              <w:t>JHAPJTo]</w:t>
            </w:r>
            <w:r>
              <w:rPr>
                <w:rFonts w:eastAsia="Arial"/>
                <w:color w:val="FFFFFF" w:themeColor="background1"/>
                <w:sz w:val="16"/>
                <w:szCs w:val="16"/>
              </w:rPr>
              <w:t>\</w:t>
            </w:r>
            <w:proofErr w:type="gramEnd"/>
          </w:p>
        </w:tc>
        <w:tc>
          <w:tcPr>
            <w:tcW w:w="485" w:type="dxa"/>
            <w:tcBorders>
              <w:left w:val="single" w:sz="4" w:space="0" w:color="auto"/>
              <w:right w:val="single" w:sz="4" w:space="0" w:color="auto"/>
            </w:tcBorders>
            <w:shd w:val="clear" w:color="auto" w:fill="FFFFFF"/>
            <w:vAlign w:val="center"/>
          </w:tcPr>
          <w:p w14:paraId="3AA9D76D" w14:textId="77777777" w:rsidR="00736AFD" w:rsidRDefault="00736AFD" w:rsidP="00736AFD">
            <w:pPr>
              <w:pBdr>
                <w:top w:val="nil"/>
                <w:left w:val="nil"/>
                <w:bottom w:val="nil"/>
                <w:right w:val="nil"/>
                <w:between w:val="nil"/>
              </w:pBdr>
              <w:spacing w:after="60" w:line="240" w:lineRule="auto"/>
              <w:rPr>
                <w:color w:val="000000" w:themeColor="text1"/>
                <w:sz w:val="16"/>
                <w:szCs w:val="16"/>
              </w:rPr>
            </w:pPr>
          </w:p>
        </w:tc>
        <w:tc>
          <w:tcPr>
            <w:tcW w:w="1239" w:type="dxa"/>
            <w:tcBorders>
              <w:top w:val="single" w:sz="4" w:space="0" w:color="auto"/>
              <w:left w:val="single" w:sz="4" w:space="0" w:color="auto"/>
              <w:bottom w:val="single" w:sz="4" w:space="0" w:color="auto"/>
              <w:right w:val="single" w:sz="4" w:space="0" w:color="auto"/>
            </w:tcBorders>
            <w:vAlign w:val="center"/>
          </w:tcPr>
          <w:p w14:paraId="20BA3DC7" w14:textId="77777777" w:rsidR="00736AFD" w:rsidRDefault="00736AFD" w:rsidP="00736AFD">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Data</w:t>
            </w:r>
          </w:p>
        </w:tc>
        <w:tc>
          <w:tcPr>
            <w:tcW w:w="3737" w:type="dxa"/>
            <w:tcBorders>
              <w:top w:val="single" w:sz="4" w:space="0" w:color="auto"/>
              <w:left w:val="single" w:sz="4" w:space="0" w:color="auto"/>
              <w:bottom w:val="single" w:sz="4" w:space="0" w:color="auto"/>
              <w:right w:val="single" w:sz="4" w:space="0" w:color="auto"/>
            </w:tcBorders>
            <w:vAlign w:val="center"/>
          </w:tcPr>
          <w:p w14:paraId="23E0B238" w14:textId="77777777" w:rsidR="00736AFD" w:rsidRDefault="00736AFD" w:rsidP="00736AFD">
            <w:pPr>
              <w:pBdr>
                <w:top w:val="nil"/>
                <w:left w:val="nil"/>
                <w:bottom w:val="nil"/>
                <w:right w:val="nil"/>
                <w:between w:val="nil"/>
              </w:pBdr>
              <w:spacing w:after="60" w:line="240" w:lineRule="auto"/>
              <w:ind w:left="0"/>
              <w:rPr>
                <w:color w:val="FFFFFF" w:themeColor="background1"/>
                <w:sz w:val="16"/>
                <w:szCs w:val="16"/>
              </w:rPr>
            </w:pPr>
            <w:r>
              <w:rPr>
                <w:rFonts w:eastAsia="Arial"/>
                <w:color w:val="FFFFFF"/>
                <w:sz w:val="16"/>
                <w:szCs w:val="16"/>
              </w:rPr>
              <w:t>[salesforceNonProductionOrg62UatSignerDateField_ZsnGVpm]</w:t>
            </w:r>
          </w:p>
        </w:tc>
      </w:tr>
      <w:tr w:rsidR="00736AFD" w14:paraId="5F1866DE" w14:textId="77777777" w:rsidTr="00736AFD">
        <w:trPr>
          <w:trHeight w:val="77"/>
        </w:trPr>
        <w:tc>
          <w:tcPr>
            <w:tcW w:w="1246" w:type="dxa"/>
            <w:tcBorders>
              <w:top w:val="single" w:sz="4" w:space="0" w:color="auto"/>
            </w:tcBorders>
            <w:vAlign w:val="center"/>
          </w:tcPr>
          <w:p w14:paraId="269DD3C4" w14:textId="77777777" w:rsidR="00736AFD" w:rsidRDefault="00736AFD">
            <w:pPr>
              <w:pBdr>
                <w:top w:val="nil"/>
                <w:left w:val="nil"/>
                <w:bottom w:val="nil"/>
                <w:right w:val="nil"/>
                <w:between w:val="nil"/>
              </w:pBdr>
              <w:spacing w:after="60" w:line="240" w:lineRule="auto"/>
              <w:ind w:left="0"/>
              <w:rPr>
                <w:rFonts w:eastAsia="Arial"/>
                <w:color w:val="000000"/>
                <w:sz w:val="16"/>
                <w:szCs w:val="16"/>
              </w:rPr>
            </w:pPr>
          </w:p>
        </w:tc>
        <w:tc>
          <w:tcPr>
            <w:tcW w:w="3736" w:type="dxa"/>
            <w:tcBorders>
              <w:top w:val="single" w:sz="4" w:space="0" w:color="auto"/>
            </w:tcBorders>
          </w:tcPr>
          <w:p w14:paraId="0FD1CFA3" w14:textId="77777777" w:rsidR="00736AFD" w:rsidRDefault="00736AFD">
            <w:pPr>
              <w:pBdr>
                <w:top w:val="nil"/>
                <w:left w:val="nil"/>
                <w:bottom w:val="nil"/>
                <w:right w:val="nil"/>
                <w:between w:val="nil"/>
              </w:pBdr>
              <w:spacing w:after="60" w:line="240" w:lineRule="auto"/>
              <w:ind w:left="-5"/>
              <w:rPr>
                <w:color w:val="FFFFFF" w:themeColor="background1"/>
              </w:rPr>
            </w:pPr>
          </w:p>
        </w:tc>
        <w:tc>
          <w:tcPr>
            <w:tcW w:w="485" w:type="dxa"/>
            <w:shd w:val="clear" w:color="auto" w:fill="FFFFFF"/>
            <w:vAlign w:val="center"/>
          </w:tcPr>
          <w:p w14:paraId="7F1753FD" w14:textId="77777777" w:rsidR="00736AFD" w:rsidRDefault="00736AFD">
            <w:pPr>
              <w:pBdr>
                <w:top w:val="nil"/>
                <w:left w:val="nil"/>
                <w:bottom w:val="nil"/>
                <w:right w:val="nil"/>
                <w:between w:val="nil"/>
              </w:pBdr>
              <w:spacing w:after="60" w:line="240" w:lineRule="auto"/>
              <w:rPr>
                <w:color w:val="000000" w:themeColor="text1"/>
                <w:sz w:val="16"/>
                <w:szCs w:val="16"/>
              </w:rPr>
            </w:pPr>
          </w:p>
        </w:tc>
        <w:tc>
          <w:tcPr>
            <w:tcW w:w="1239" w:type="dxa"/>
            <w:tcBorders>
              <w:top w:val="single" w:sz="4" w:space="0" w:color="auto"/>
            </w:tcBorders>
            <w:vAlign w:val="center"/>
          </w:tcPr>
          <w:p w14:paraId="3CFDFE75" w14:textId="77777777" w:rsidR="00736AFD" w:rsidRDefault="00736AFD">
            <w:pPr>
              <w:pBdr>
                <w:top w:val="nil"/>
                <w:left w:val="nil"/>
                <w:bottom w:val="nil"/>
                <w:right w:val="nil"/>
                <w:between w:val="nil"/>
              </w:pBdr>
              <w:spacing w:after="60" w:line="240" w:lineRule="auto"/>
              <w:ind w:left="0"/>
              <w:rPr>
                <w:rFonts w:eastAsia="Arial"/>
                <w:color w:val="000000"/>
                <w:sz w:val="16"/>
                <w:szCs w:val="16"/>
              </w:rPr>
            </w:pPr>
          </w:p>
        </w:tc>
        <w:tc>
          <w:tcPr>
            <w:tcW w:w="3737" w:type="dxa"/>
            <w:tcBorders>
              <w:top w:val="single" w:sz="4" w:space="0" w:color="auto"/>
            </w:tcBorders>
            <w:vAlign w:val="center"/>
          </w:tcPr>
          <w:p w14:paraId="77179768" w14:textId="77777777" w:rsidR="00736AFD" w:rsidRDefault="00736AFD">
            <w:pPr>
              <w:pBdr>
                <w:top w:val="nil"/>
                <w:left w:val="nil"/>
                <w:bottom w:val="nil"/>
                <w:right w:val="nil"/>
                <w:between w:val="nil"/>
              </w:pBdr>
              <w:spacing w:after="60" w:line="240" w:lineRule="auto"/>
              <w:ind w:left="0"/>
              <w:rPr>
                <w:rFonts w:eastAsia="Arial"/>
                <w:color w:val="FFFFFF"/>
                <w:sz w:val="16"/>
                <w:szCs w:val="16"/>
              </w:rPr>
            </w:pPr>
          </w:p>
        </w:tc>
      </w:tr>
      <w:tr w:rsidR="00211257" w14:paraId="015DAFF0" w14:textId="77777777" w:rsidTr="00FF7FAD">
        <w:trPr>
          <w:gridAfter w:val="2"/>
          <w:wAfter w:w="4976" w:type="dxa"/>
          <w:trHeight w:val="359"/>
        </w:trPr>
        <w:tc>
          <w:tcPr>
            <w:tcW w:w="4982" w:type="dxa"/>
            <w:gridSpan w:val="2"/>
            <w:tcBorders>
              <w:top w:val="single" w:sz="4" w:space="0" w:color="BFBFBF"/>
              <w:left w:val="single" w:sz="4" w:space="0" w:color="BFBFBF"/>
              <w:bottom w:val="single" w:sz="4" w:space="0" w:color="auto"/>
              <w:right w:val="single" w:sz="4" w:space="0" w:color="AEAAAA" w:themeColor="background2" w:themeShade="BF"/>
            </w:tcBorders>
            <w:shd w:val="clear" w:color="auto" w:fill="1F4C78"/>
            <w:vAlign w:val="center"/>
          </w:tcPr>
          <w:p w14:paraId="7E21C749" w14:textId="77777777" w:rsidR="00211257" w:rsidRDefault="00000000">
            <w:pPr>
              <w:pBdr>
                <w:top w:val="nil"/>
                <w:left w:val="nil"/>
                <w:bottom w:val="nil"/>
                <w:right w:val="nil"/>
                <w:between w:val="nil"/>
              </w:pBdr>
              <w:spacing w:after="0" w:line="240" w:lineRule="auto"/>
              <w:ind w:left="-14"/>
              <w:rPr>
                <w:b/>
                <w:color w:val="000000" w:themeColor="text1"/>
                <w:szCs w:val="18"/>
              </w:rPr>
            </w:pPr>
            <w:proofErr w:type="spellStart"/>
            <w:r>
              <w:rPr>
                <w:rFonts w:eastAsia="Arial"/>
                <w:b/>
                <w:color w:val="FFFFFF" w:themeColor="background1"/>
                <w:szCs w:val="18"/>
              </w:rPr>
              <w:t>Cliente</w:t>
            </w:r>
            <w:proofErr w:type="spellEnd"/>
          </w:p>
        </w:tc>
        <w:tc>
          <w:tcPr>
            <w:tcW w:w="485" w:type="dxa"/>
            <w:tcBorders>
              <w:left w:val="single" w:sz="4" w:space="0" w:color="AEAAAA" w:themeColor="background2" w:themeShade="BF"/>
            </w:tcBorders>
            <w:shd w:val="clear" w:color="auto" w:fill="FFFFFF"/>
            <w:vAlign w:val="center"/>
          </w:tcPr>
          <w:p w14:paraId="70E73D84" w14:textId="77777777" w:rsidR="00211257" w:rsidRDefault="00211257">
            <w:pPr>
              <w:pBdr>
                <w:top w:val="nil"/>
                <w:left w:val="nil"/>
                <w:bottom w:val="nil"/>
                <w:right w:val="nil"/>
                <w:between w:val="nil"/>
              </w:pBdr>
              <w:spacing w:after="60" w:line="240" w:lineRule="auto"/>
              <w:rPr>
                <w:rFonts w:eastAsia="Arial"/>
                <w:color w:val="000000" w:themeColor="text1"/>
                <w:sz w:val="16"/>
                <w:szCs w:val="16"/>
              </w:rPr>
            </w:pPr>
          </w:p>
        </w:tc>
      </w:tr>
      <w:tr w:rsidR="00211257" w14:paraId="0764CA55" w14:textId="77777777" w:rsidTr="00FF7FAD">
        <w:trPr>
          <w:gridAfter w:val="2"/>
          <w:wAfter w:w="4976" w:type="dxa"/>
          <w:trHeight w:val="286"/>
        </w:trPr>
        <w:tc>
          <w:tcPr>
            <w:tcW w:w="1246" w:type="dxa"/>
            <w:tcBorders>
              <w:top w:val="single" w:sz="4" w:space="0" w:color="auto"/>
              <w:left w:val="single" w:sz="4" w:space="0" w:color="auto"/>
              <w:bottom w:val="single" w:sz="4" w:space="0" w:color="auto"/>
              <w:right w:val="single" w:sz="4" w:space="0" w:color="auto"/>
            </w:tcBorders>
            <w:vAlign w:val="center"/>
          </w:tcPr>
          <w:p w14:paraId="722FF6D9" w14:textId="77777777" w:rsidR="00211257" w:rsidRDefault="00000000">
            <w:pPr>
              <w:spacing w:after="60" w:line="240" w:lineRule="auto"/>
              <w:ind w:left="0"/>
              <w:rPr>
                <w:rFonts w:eastAsia="Arial"/>
                <w:color w:val="000000" w:themeColor="text1"/>
                <w:sz w:val="16"/>
                <w:szCs w:val="16"/>
              </w:rPr>
            </w:pPr>
            <w:r>
              <w:rPr>
                <w:rFonts w:eastAsia="Arial"/>
                <w:color w:val="000000"/>
                <w:sz w:val="16"/>
                <w:szCs w:val="16"/>
              </w:rPr>
              <w:t>Assinatura</w:t>
            </w:r>
          </w:p>
        </w:tc>
        <w:tc>
          <w:tcPr>
            <w:tcW w:w="3736" w:type="dxa"/>
            <w:tcBorders>
              <w:top w:val="single" w:sz="4" w:space="0" w:color="auto"/>
              <w:left w:val="single" w:sz="4" w:space="0" w:color="auto"/>
              <w:bottom w:val="single" w:sz="4" w:space="0" w:color="auto"/>
              <w:right w:val="single" w:sz="4" w:space="0" w:color="auto"/>
            </w:tcBorders>
            <w:vAlign w:val="center"/>
          </w:tcPr>
          <w:p w14:paraId="351DD373" w14:textId="77777777" w:rsidR="00211257" w:rsidRDefault="00000000">
            <w:pPr>
              <w:ind w:left="0"/>
              <w:rPr>
                <w:rFonts w:ascii="Times New Roman" w:hAnsi="Times New Roman" w:cs="Times New Roman"/>
                <w:color w:val="FFFFFF" w:themeColor="background1"/>
                <w:sz w:val="24"/>
              </w:rPr>
            </w:pPr>
            <w:r>
              <w:rPr>
                <w:color w:val="FFFFFF" w:themeColor="background1"/>
              </w:rPr>
              <w:t>\s</w:t>
            </w:r>
            <w:r>
              <w:rPr>
                <w:color w:val="FFFFFF"/>
              </w:rPr>
              <w:t>[counterpartySigner2Signature_m0</w:t>
            </w:r>
            <w:proofErr w:type="gramStart"/>
            <w:r>
              <w:rPr>
                <w:color w:val="FFFFFF"/>
              </w:rPr>
              <w:t>YbdQA]</w:t>
            </w:r>
            <w:r>
              <w:rPr>
                <w:color w:val="FFFFFF" w:themeColor="background1"/>
              </w:rPr>
              <w:t>\</w:t>
            </w:r>
            <w:proofErr w:type="gramEnd"/>
          </w:p>
        </w:tc>
        <w:tc>
          <w:tcPr>
            <w:tcW w:w="485" w:type="dxa"/>
            <w:tcBorders>
              <w:left w:val="single" w:sz="4" w:space="0" w:color="auto"/>
            </w:tcBorders>
            <w:vAlign w:val="center"/>
          </w:tcPr>
          <w:p w14:paraId="5445BCEA" w14:textId="77777777" w:rsidR="00211257" w:rsidRDefault="00211257">
            <w:pPr>
              <w:spacing w:after="60" w:line="240" w:lineRule="auto"/>
              <w:rPr>
                <w:rFonts w:eastAsia="Arial"/>
                <w:color w:val="000000" w:themeColor="text1"/>
                <w:sz w:val="16"/>
                <w:szCs w:val="16"/>
              </w:rPr>
            </w:pPr>
          </w:p>
        </w:tc>
      </w:tr>
      <w:tr w:rsidR="00211257" w14:paraId="63C64E2D" w14:textId="77777777" w:rsidTr="00FF7FAD">
        <w:trPr>
          <w:gridAfter w:val="2"/>
          <w:wAfter w:w="4976" w:type="dxa"/>
          <w:trHeight w:val="466"/>
        </w:trPr>
        <w:tc>
          <w:tcPr>
            <w:tcW w:w="1246" w:type="dxa"/>
            <w:tcBorders>
              <w:top w:val="single" w:sz="4" w:space="0" w:color="auto"/>
              <w:left w:val="single" w:sz="4" w:space="0" w:color="auto"/>
              <w:bottom w:val="single" w:sz="4" w:space="0" w:color="auto"/>
              <w:right w:val="single" w:sz="4" w:space="0" w:color="auto"/>
            </w:tcBorders>
            <w:vAlign w:val="center"/>
          </w:tcPr>
          <w:p w14:paraId="126D4A8E" w14:textId="77777777" w:rsidR="00211257" w:rsidRDefault="00000000">
            <w:pPr>
              <w:pBdr>
                <w:top w:val="nil"/>
                <w:left w:val="nil"/>
                <w:bottom w:val="nil"/>
                <w:right w:val="nil"/>
                <w:between w:val="nil"/>
              </w:pBdr>
              <w:spacing w:after="60" w:line="240" w:lineRule="auto"/>
              <w:ind w:left="0"/>
              <w:rPr>
                <w:color w:val="000000" w:themeColor="text1"/>
                <w:sz w:val="16"/>
                <w:szCs w:val="16"/>
              </w:rPr>
            </w:pPr>
            <w:r>
              <w:rPr>
                <w:rFonts w:eastAsia="Arial"/>
                <w:color w:val="000000"/>
                <w:sz w:val="16"/>
                <w:szCs w:val="16"/>
              </w:rPr>
              <w:t>Nome</w:t>
            </w:r>
          </w:p>
        </w:tc>
        <w:tc>
          <w:tcPr>
            <w:tcW w:w="3736" w:type="dxa"/>
            <w:tcBorders>
              <w:top w:val="single" w:sz="4" w:space="0" w:color="auto"/>
              <w:left w:val="single" w:sz="4" w:space="0" w:color="auto"/>
              <w:bottom w:val="single" w:sz="4" w:space="0" w:color="auto"/>
              <w:right w:val="single" w:sz="4" w:space="0" w:color="auto"/>
            </w:tcBorders>
            <w:vAlign w:val="center"/>
          </w:tcPr>
          <w:p w14:paraId="05D1F27F"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\n</w:t>
            </w:r>
            <w:r>
              <w:rPr>
                <w:rFonts w:eastAsia="Arial"/>
                <w:color w:val="FFFFFF"/>
                <w:sz w:val="16"/>
                <w:szCs w:val="16"/>
              </w:rPr>
              <w:t>[counterpartySigner2Name_nZVfwGv]</w:t>
            </w:r>
            <w:r>
              <w:rPr>
                <w:rFonts w:eastAsia="Arial"/>
                <w:color w:val="FFFFFF" w:themeColor="background1"/>
                <w:sz w:val="16"/>
                <w:szCs w:val="16"/>
              </w:rPr>
              <w:t>\</w:t>
            </w:r>
          </w:p>
        </w:tc>
        <w:tc>
          <w:tcPr>
            <w:tcW w:w="485" w:type="dxa"/>
            <w:tcBorders>
              <w:left w:val="single" w:sz="4" w:space="0" w:color="auto"/>
            </w:tcBorders>
            <w:shd w:val="clear" w:color="auto" w:fill="FFFFFF"/>
            <w:vAlign w:val="center"/>
          </w:tcPr>
          <w:p w14:paraId="62509B7F" w14:textId="77777777" w:rsidR="00211257" w:rsidRDefault="00211257">
            <w:pPr>
              <w:pBdr>
                <w:top w:val="nil"/>
                <w:left w:val="nil"/>
                <w:bottom w:val="nil"/>
                <w:right w:val="nil"/>
                <w:between w:val="nil"/>
              </w:pBdr>
              <w:spacing w:after="60" w:line="240" w:lineRule="auto"/>
              <w:rPr>
                <w:color w:val="000000" w:themeColor="text1"/>
                <w:sz w:val="16"/>
                <w:szCs w:val="16"/>
              </w:rPr>
            </w:pPr>
          </w:p>
        </w:tc>
      </w:tr>
      <w:tr w:rsidR="00211257" w14:paraId="7F7DD341" w14:textId="77777777" w:rsidTr="00FF7FAD">
        <w:trPr>
          <w:gridAfter w:val="2"/>
          <w:wAfter w:w="4976" w:type="dxa"/>
          <w:trHeight w:val="430"/>
        </w:trPr>
        <w:tc>
          <w:tcPr>
            <w:tcW w:w="1246" w:type="dxa"/>
            <w:tcBorders>
              <w:top w:val="single" w:sz="4" w:space="0" w:color="auto"/>
              <w:left w:val="single" w:sz="4" w:space="0" w:color="auto"/>
              <w:bottom w:val="single" w:sz="4" w:space="0" w:color="auto"/>
              <w:right w:val="single" w:sz="4" w:space="0" w:color="auto"/>
            </w:tcBorders>
            <w:vAlign w:val="center"/>
          </w:tcPr>
          <w:p w14:paraId="496A3B2A" w14:textId="77777777" w:rsidR="00211257" w:rsidRDefault="00000000">
            <w:pPr>
              <w:pBdr>
                <w:top w:val="nil"/>
                <w:left w:val="nil"/>
                <w:bottom w:val="nil"/>
                <w:right w:val="nil"/>
                <w:between w:val="nil"/>
              </w:pBdr>
              <w:spacing w:after="60" w:line="240" w:lineRule="auto"/>
              <w:ind w:left="0"/>
              <w:rPr>
                <w:color w:val="000000" w:themeColor="text1"/>
                <w:sz w:val="16"/>
                <w:szCs w:val="16"/>
              </w:rPr>
            </w:pPr>
            <w:r>
              <w:rPr>
                <w:rFonts w:eastAsia="Arial"/>
                <w:color w:val="000000"/>
                <w:sz w:val="16"/>
                <w:szCs w:val="16"/>
              </w:rPr>
              <w:t>Cargo</w:t>
            </w:r>
          </w:p>
        </w:tc>
        <w:tc>
          <w:tcPr>
            <w:tcW w:w="3736" w:type="dxa"/>
            <w:tcBorders>
              <w:top w:val="single" w:sz="4" w:space="0" w:color="auto"/>
              <w:left w:val="single" w:sz="4" w:space="0" w:color="auto"/>
              <w:bottom w:val="single" w:sz="4" w:space="0" w:color="auto"/>
              <w:right w:val="single" w:sz="4" w:space="0" w:color="auto"/>
            </w:tcBorders>
            <w:vAlign w:val="center"/>
          </w:tcPr>
          <w:p w14:paraId="0B6CA6E8"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\t</w:t>
            </w:r>
            <w:r>
              <w:rPr>
                <w:rFonts w:eastAsia="Arial"/>
                <w:color w:val="FFFFFF"/>
                <w:sz w:val="16"/>
                <w:szCs w:val="16"/>
              </w:rPr>
              <w:t>[counterpartySigner2Title_Qf7</w:t>
            </w:r>
            <w:proofErr w:type="gramStart"/>
            <w:r>
              <w:rPr>
                <w:rFonts w:eastAsia="Arial"/>
                <w:color w:val="FFFFFF"/>
                <w:sz w:val="16"/>
                <w:szCs w:val="16"/>
              </w:rPr>
              <w:t>FJzL]</w:t>
            </w:r>
            <w:r>
              <w:rPr>
                <w:rFonts w:eastAsia="Arial"/>
                <w:color w:val="FFFFFF" w:themeColor="background1"/>
                <w:sz w:val="16"/>
                <w:szCs w:val="16"/>
              </w:rPr>
              <w:t>\</w:t>
            </w:r>
            <w:proofErr w:type="gramEnd"/>
          </w:p>
        </w:tc>
        <w:tc>
          <w:tcPr>
            <w:tcW w:w="485" w:type="dxa"/>
            <w:tcBorders>
              <w:left w:val="single" w:sz="4" w:space="0" w:color="auto"/>
            </w:tcBorders>
            <w:shd w:val="clear" w:color="auto" w:fill="FFFFFF"/>
            <w:vAlign w:val="center"/>
          </w:tcPr>
          <w:p w14:paraId="624BD44B" w14:textId="77777777" w:rsidR="00211257" w:rsidRDefault="00211257">
            <w:pPr>
              <w:pBdr>
                <w:top w:val="nil"/>
                <w:left w:val="nil"/>
                <w:bottom w:val="nil"/>
                <w:right w:val="nil"/>
                <w:between w:val="nil"/>
              </w:pBdr>
              <w:spacing w:after="60" w:line="240" w:lineRule="auto"/>
              <w:rPr>
                <w:color w:val="000000" w:themeColor="text1"/>
                <w:sz w:val="16"/>
                <w:szCs w:val="16"/>
              </w:rPr>
            </w:pPr>
          </w:p>
        </w:tc>
      </w:tr>
      <w:tr w:rsidR="00211257" w14:paraId="723EBBA9" w14:textId="77777777" w:rsidTr="00FF7FAD">
        <w:trPr>
          <w:gridAfter w:val="2"/>
          <w:wAfter w:w="4976" w:type="dxa"/>
          <w:trHeight w:val="408"/>
        </w:trPr>
        <w:tc>
          <w:tcPr>
            <w:tcW w:w="1246" w:type="dxa"/>
            <w:tcBorders>
              <w:top w:val="single" w:sz="4" w:space="0" w:color="auto"/>
              <w:left w:val="single" w:sz="4" w:space="0" w:color="auto"/>
              <w:bottom w:val="single" w:sz="4" w:space="0" w:color="auto"/>
              <w:right w:val="single" w:sz="4" w:space="0" w:color="auto"/>
            </w:tcBorders>
            <w:vAlign w:val="center"/>
          </w:tcPr>
          <w:p w14:paraId="121C1C10" w14:textId="77777777" w:rsidR="00211257" w:rsidRDefault="00000000">
            <w:pPr>
              <w:pBdr>
                <w:top w:val="nil"/>
                <w:left w:val="nil"/>
                <w:bottom w:val="nil"/>
                <w:right w:val="nil"/>
                <w:between w:val="nil"/>
              </w:pBdr>
              <w:spacing w:after="60" w:line="240" w:lineRule="auto"/>
              <w:ind w:left="0"/>
              <w:rPr>
                <w:color w:val="000000" w:themeColor="text1"/>
                <w:sz w:val="16"/>
                <w:szCs w:val="16"/>
              </w:rPr>
            </w:pPr>
            <w:r>
              <w:rPr>
                <w:rFonts w:eastAsia="Arial"/>
                <w:color w:val="000000"/>
                <w:sz w:val="16"/>
                <w:szCs w:val="16"/>
              </w:rPr>
              <w:t>Data</w:t>
            </w:r>
          </w:p>
        </w:tc>
        <w:tc>
          <w:tcPr>
            <w:tcW w:w="3736" w:type="dxa"/>
            <w:tcBorders>
              <w:top w:val="single" w:sz="4" w:space="0" w:color="auto"/>
              <w:left w:val="single" w:sz="4" w:space="0" w:color="auto"/>
              <w:bottom w:val="single" w:sz="4" w:space="0" w:color="auto"/>
              <w:right w:val="single" w:sz="4" w:space="0" w:color="auto"/>
            </w:tcBorders>
            <w:vAlign w:val="center"/>
          </w:tcPr>
          <w:p w14:paraId="5B6D4AFB"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\d</w:t>
            </w:r>
            <w:r>
              <w:rPr>
                <w:rFonts w:eastAsia="Arial"/>
                <w:color w:val="FFFFFF"/>
                <w:sz w:val="16"/>
                <w:szCs w:val="16"/>
              </w:rPr>
              <w:t>[counterpartySigner2DateField_JHAPJTo]</w:t>
            </w:r>
            <w:r>
              <w:rPr>
                <w:rFonts w:eastAsia="Arial"/>
                <w:color w:val="FFFFFF" w:themeColor="background1"/>
                <w:sz w:val="16"/>
                <w:szCs w:val="16"/>
              </w:rPr>
              <w:t>\</w:t>
            </w:r>
          </w:p>
        </w:tc>
        <w:tc>
          <w:tcPr>
            <w:tcW w:w="485" w:type="dxa"/>
            <w:tcBorders>
              <w:left w:val="single" w:sz="4" w:space="0" w:color="auto"/>
            </w:tcBorders>
            <w:shd w:val="clear" w:color="auto" w:fill="FFFFFF"/>
            <w:vAlign w:val="center"/>
          </w:tcPr>
          <w:p w14:paraId="0AE26FBB" w14:textId="77777777" w:rsidR="00211257" w:rsidRDefault="00211257">
            <w:pPr>
              <w:pBdr>
                <w:top w:val="nil"/>
                <w:left w:val="nil"/>
                <w:bottom w:val="nil"/>
                <w:right w:val="nil"/>
                <w:between w:val="nil"/>
              </w:pBdr>
              <w:spacing w:after="60" w:line="240" w:lineRule="auto"/>
              <w:rPr>
                <w:color w:val="000000" w:themeColor="text1"/>
                <w:sz w:val="16"/>
                <w:szCs w:val="16"/>
              </w:rPr>
            </w:pPr>
          </w:p>
        </w:tc>
      </w:tr>
      <w:tr w:rsidR="00736AFD" w14:paraId="5FD41C12" w14:textId="77777777" w:rsidTr="00543B62">
        <w:trPr>
          <w:gridAfter w:val="2"/>
          <w:wAfter w:w="4976" w:type="dxa"/>
          <w:trHeight w:val="77"/>
        </w:trPr>
        <w:tc>
          <w:tcPr>
            <w:tcW w:w="1246" w:type="dxa"/>
            <w:tcBorders>
              <w:top w:val="single" w:sz="4" w:space="0" w:color="auto"/>
            </w:tcBorders>
            <w:vAlign w:val="center"/>
          </w:tcPr>
          <w:p w14:paraId="5176246C" w14:textId="77777777" w:rsidR="00736AFD" w:rsidRDefault="00736AFD">
            <w:pPr>
              <w:pBdr>
                <w:top w:val="nil"/>
                <w:left w:val="nil"/>
                <w:bottom w:val="nil"/>
                <w:right w:val="nil"/>
                <w:between w:val="nil"/>
              </w:pBdr>
              <w:spacing w:after="60" w:line="240" w:lineRule="auto"/>
              <w:ind w:left="0"/>
              <w:rPr>
                <w:rFonts w:eastAsia="Arial"/>
                <w:color w:val="000000"/>
                <w:sz w:val="16"/>
                <w:szCs w:val="16"/>
              </w:rPr>
            </w:pPr>
          </w:p>
        </w:tc>
        <w:tc>
          <w:tcPr>
            <w:tcW w:w="3736" w:type="dxa"/>
            <w:tcBorders>
              <w:top w:val="single" w:sz="4" w:space="0" w:color="auto"/>
            </w:tcBorders>
            <w:vAlign w:val="center"/>
          </w:tcPr>
          <w:p w14:paraId="3C6036ED" w14:textId="77777777" w:rsidR="00736AFD" w:rsidRDefault="00736AFD">
            <w:pPr>
              <w:pBdr>
                <w:top w:val="nil"/>
                <w:left w:val="nil"/>
                <w:bottom w:val="nil"/>
                <w:right w:val="nil"/>
                <w:between w:val="nil"/>
              </w:pBdr>
              <w:spacing w:after="60" w:line="240" w:lineRule="auto"/>
              <w:ind w:left="-5"/>
              <w:rPr>
                <w:rFonts w:eastAsia="Arial"/>
                <w:color w:val="FFFFFF" w:themeColor="background1"/>
                <w:sz w:val="16"/>
                <w:szCs w:val="16"/>
              </w:rPr>
            </w:pPr>
          </w:p>
        </w:tc>
        <w:tc>
          <w:tcPr>
            <w:tcW w:w="485" w:type="dxa"/>
            <w:tcBorders>
              <w:left w:val="nil"/>
            </w:tcBorders>
            <w:shd w:val="clear" w:color="auto" w:fill="FFFFFF"/>
            <w:vAlign w:val="center"/>
          </w:tcPr>
          <w:p w14:paraId="5227E6F5" w14:textId="77777777" w:rsidR="00736AFD" w:rsidRDefault="00736AFD">
            <w:pPr>
              <w:pBdr>
                <w:top w:val="nil"/>
                <w:left w:val="nil"/>
                <w:bottom w:val="nil"/>
                <w:right w:val="nil"/>
                <w:between w:val="nil"/>
              </w:pBdr>
              <w:spacing w:after="60" w:line="240" w:lineRule="auto"/>
              <w:rPr>
                <w:color w:val="000000" w:themeColor="text1"/>
                <w:sz w:val="16"/>
                <w:szCs w:val="16"/>
              </w:rPr>
            </w:pPr>
          </w:p>
        </w:tc>
      </w:tr>
      <w:tr w:rsidR="00211257" w14:paraId="07334F9D" w14:textId="77777777" w:rsidTr="00FF7FAD">
        <w:trPr>
          <w:gridAfter w:val="2"/>
          <w:wAfter w:w="4976" w:type="dxa"/>
          <w:trHeight w:val="359"/>
        </w:trPr>
        <w:tc>
          <w:tcPr>
            <w:tcW w:w="4982" w:type="dxa"/>
            <w:gridSpan w:val="2"/>
            <w:tcBorders>
              <w:left w:val="single" w:sz="4" w:space="0" w:color="BFBFBF"/>
              <w:bottom w:val="single" w:sz="4" w:space="0" w:color="auto"/>
              <w:right w:val="single" w:sz="4" w:space="0" w:color="AEAAAA" w:themeColor="background2" w:themeShade="BF"/>
            </w:tcBorders>
            <w:shd w:val="clear" w:color="auto" w:fill="1F4C78"/>
            <w:vAlign w:val="center"/>
          </w:tcPr>
          <w:p w14:paraId="2BE505AB" w14:textId="77777777" w:rsidR="00211257" w:rsidRDefault="00000000">
            <w:pPr>
              <w:pBdr>
                <w:top w:val="nil"/>
                <w:left w:val="nil"/>
                <w:bottom w:val="nil"/>
                <w:right w:val="nil"/>
                <w:between w:val="nil"/>
              </w:pBdr>
              <w:spacing w:after="0" w:line="240" w:lineRule="auto"/>
              <w:ind w:left="-14"/>
              <w:rPr>
                <w:b/>
                <w:color w:val="F2F2F2"/>
                <w:szCs w:val="18"/>
              </w:rPr>
            </w:pPr>
            <w:proofErr w:type="spellStart"/>
            <w:r>
              <w:rPr>
                <w:rFonts w:eastAsia="Arial"/>
                <w:b/>
                <w:color w:val="FFFFFF" w:themeColor="background1"/>
                <w:szCs w:val="18"/>
              </w:rPr>
              <w:t>Cliente</w:t>
            </w:r>
            <w:proofErr w:type="spellEnd"/>
          </w:p>
        </w:tc>
        <w:tc>
          <w:tcPr>
            <w:tcW w:w="485" w:type="dxa"/>
            <w:tcBorders>
              <w:left w:val="single" w:sz="4" w:space="0" w:color="AEAAAA" w:themeColor="background2" w:themeShade="BF"/>
            </w:tcBorders>
            <w:shd w:val="clear" w:color="auto" w:fill="FFFFFF"/>
            <w:vAlign w:val="center"/>
          </w:tcPr>
          <w:p w14:paraId="0C173576" w14:textId="77777777" w:rsidR="00211257" w:rsidRDefault="00211257">
            <w:pPr>
              <w:pBdr>
                <w:top w:val="nil"/>
                <w:left w:val="nil"/>
                <w:bottom w:val="nil"/>
                <w:right w:val="nil"/>
                <w:between w:val="nil"/>
              </w:pBdr>
              <w:spacing w:after="60" w:line="240" w:lineRule="auto"/>
              <w:rPr>
                <w:rFonts w:eastAsia="Arial"/>
                <w:color w:val="000000"/>
                <w:sz w:val="16"/>
                <w:szCs w:val="16"/>
              </w:rPr>
            </w:pPr>
          </w:p>
        </w:tc>
      </w:tr>
      <w:tr w:rsidR="00211257" w14:paraId="5C898D18" w14:textId="77777777" w:rsidTr="00FF7FAD">
        <w:trPr>
          <w:gridAfter w:val="2"/>
          <w:wAfter w:w="4976" w:type="dxa"/>
          <w:trHeight w:val="710"/>
        </w:trPr>
        <w:tc>
          <w:tcPr>
            <w:tcW w:w="1246" w:type="dxa"/>
            <w:tcBorders>
              <w:top w:val="single" w:sz="4" w:space="0" w:color="auto"/>
              <w:left w:val="single" w:sz="4" w:space="0" w:color="auto"/>
              <w:bottom w:val="single" w:sz="4" w:space="0" w:color="auto"/>
              <w:right w:val="single" w:sz="4" w:space="0" w:color="auto"/>
            </w:tcBorders>
            <w:vAlign w:val="center"/>
          </w:tcPr>
          <w:p w14:paraId="716A9627" w14:textId="77777777" w:rsidR="00211257" w:rsidRDefault="00000000">
            <w:pPr>
              <w:spacing w:after="60" w:line="240" w:lineRule="auto"/>
              <w:ind w:left="0"/>
              <w:rPr>
                <w:rFonts w:eastAsia="Arial"/>
                <w:color w:val="000000"/>
                <w:sz w:val="16"/>
                <w:szCs w:val="16"/>
              </w:rPr>
            </w:pPr>
            <w:proofErr w:type="spellStart"/>
            <w:r>
              <w:rPr>
                <w:rFonts w:eastAsia="Arial"/>
                <w:color w:val="000000"/>
                <w:sz w:val="16"/>
                <w:szCs w:val="16"/>
              </w:rPr>
              <w:t>Assinatura</w:t>
            </w:r>
            <w:proofErr w:type="spellEnd"/>
          </w:p>
        </w:tc>
        <w:tc>
          <w:tcPr>
            <w:tcW w:w="3736" w:type="dxa"/>
            <w:tcBorders>
              <w:top w:val="single" w:sz="4" w:space="0" w:color="auto"/>
              <w:left w:val="single" w:sz="4" w:space="0" w:color="auto"/>
              <w:bottom w:val="single" w:sz="4" w:space="0" w:color="auto"/>
              <w:right w:val="single" w:sz="4" w:space="0" w:color="auto"/>
            </w:tcBorders>
            <w:vAlign w:val="center"/>
          </w:tcPr>
          <w:p w14:paraId="210F4F67" w14:textId="77777777" w:rsidR="00211257" w:rsidRDefault="00000000">
            <w:pPr>
              <w:ind w:left="0"/>
              <w:rPr>
                <w:rFonts w:ascii="Times New Roman" w:hAnsi="Times New Roman" w:cs="Times New Roman"/>
                <w:color w:val="FFFFFF" w:themeColor="background1"/>
                <w:sz w:val="24"/>
              </w:rPr>
            </w:pPr>
            <w:r>
              <w:rPr>
                <w:color w:val="FFFFFF" w:themeColor="background1"/>
              </w:rPr>
              <w:t>\s</w:t>
            </w:r>
            <w:r>
              <w:rPr>
                <w:color w:val="FFFFFF"/>
              </w:rPr>
              <w:t>[counterpartySigner3Signature_426dx9x]</w:t>
            </w:r>
            <w:r>
              <w:rPr>
                <w:color w:val="FFFFFF" w:themeColor="background1"/>
              </w:rPr>
              <w:t>\</w:t>
            </w:r>
          </w:p>
        </w:tc>
        <w:tc>
          <w:tcPr>
            <w:tcW w:w="485" w:type="dxa"/>
            <w:tcBorders>
              <w:left w:val="single" w:sz="4" w:space="0" w:color="auto"/>
            </w:tcBorders>
            <w:vAlign w:val="center"/>
          </w:tcPr>
          <w:p w14:paraId="6365F836" w14:textId="77777777" w:rsidR="00211257" w:rsidRDefault="00211257">
            <w:pPr>
              <w:spacing w:after="60" w:line="240" w:lineRule="auto"/>
              <w:rPr>
                <w:rFonts w:eastAsia="Arial"/>
                <w:color w:val="000000"/>
                <w:sz w:val="16"/>
                <w:szCs w:val="16"/>
              </w:rPr>
            </w:pPr>
          </w:p>
        </w:tc>
      </w:tr>
      <w:tr w:rsidR="00211257" w14:paraId="45ADC3B3" w14:textId="77777777" w:rsidTr="00FF7FAD">
        <w:trPr>
          <w:gridAfter w:val="2"/>
          <w:wAfter w:w="4976" w:type="dxa"/>
          <w:trHeight w:val="476"/>
        </w:trPr>
        <w:tc>
          <w:tcPr>
            <w:tcW w:w="1246" w:type="dxa"/>
            <w:tcBorders>
              <w:top w:val="single" w:sz="4" w:space="0" w:color="auto"/>
              <w:left w:val="single" w:sz="4" w:space="0" w:color="auto"/>
              <w:bottom w:val="single" w:sz="4" w:space="0" w:color="auto"/>
              <w:right w:val="single" w:sz="4" w:space="0" w:color="auto"/>
            </w:tcBorders>
            <w:vAlign w:val="center"/>
          </w:tcPr>
          <w:p w14:paraId="59F008A1"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Nome</w:t>
            </w:r>
          </w:p>
        </w:tc>
        <w:tc>
          <w:tcPr>
            <w:tcW w:w="3736" w:type="dxa"/>
            <w:tcBorders>
              <w:top w:val="single" w:sz="4" w:space="0" w:color="auto"/>
              <w:left w:val="single" w:sz="4" w:space="0" w:color="auto"/>
              <w:bottom w:val="single" w:sz="4" w:space="0" w:color="auto"/>
              <w:right w:val="single" w:sz="4" w:space="0" w:color="auto"/>
            </w:tcBorders>
            <w:vAlign w:val="center"/>
          </w:tcPr>
          <w:p w14:paraId="68880099"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\n</w:t>
            </w:r>
            <w:r>
              <w:rPr>
                <w:rFonts w:eastAsia="Arial"/>
                <w:color w:val="FFFFFF"/>
                <w:sz w:val="16"/>
                <w:szCs w:val="16"/>
              </w:rPr>
              <w:t>[counterpartySigner3Name_5piH5pC]</w:t>
            </w:r>
            <w:r>
              <w:rPr>
                <w:rFonts w:eastAsia="Arial"/>
                <w:color w:val="FFFFFF" w:themeColor="background1"/>
                <w:sz w:val="16"/>
                <w:szCs w:val="16"/>
              </w:rPr>
              <w:t>\</w:t>
            </w:r>
          </w:p>
        </w:tc>
        <w:tc>
          <w:tcPr>
            <w:tcW w:w="485" w:type="dxa"/>
            <w:tcBorders>
              <w:left w:val="single" w:sz="4" w:space="0" w:color="auto"/>
            </w:tcBorders>
            <w:shd w:val="clear" w:color="auto" w:fill="FFFFFF"/>
            <w:vAlign w:val="center"/>
          </w:tcPr>
          <w:p w14:paraId="448BCDF1" w14:textId="77777777" w:rsidR="00211257" w:rsidRDefault="00211257">
            <w:pPr>
              <w:pBdr>
                <w:top w:val="nil"/>
                <w:left w:val="nil"/>
                <w:bottom w:val="nil"/>
                <w:right w:val="nil"/>
                <w:between w:val="nil"/>
              </w:pBdr>
              <w:spacing w:after="60" w:line="240" w:lineRule="auto"/>
              <w:rPr>
                <w:color w:val="000000" w:themeColor="text1"/>
                <w:sz w:val="16"/>
                <w:szCs w:val="16"/>
              </w:rPr>
            </w:pPr>
          </w:p>
        </w:tc>
      </w:tr>
      <w:tr w:rsidR="00211257" w14:paraId="5B59AEAD" w14:textId="77777777" w:rsidTr="00FF7FAD">
        <w:trPr>
          <w:gridAfter w:val="2"/>
          <w:wAfter w:w="4976" w:type="dxa"/>
          <w:trHeight w:val="412"/>
        </w:trPr>
        <w:tc>
          <w:tcPr>
            <w:tcW w:w="1246" w:type="dxa"/>
            <w:tcBorders>
              <w:top w:val="single" w:sz="4" w:space="0" w:color="auto"/>
              <w:left w:val="single" w:sz="4" w:space="0" w:color="auto"/>
              <w:bottom w:val="single" w:sz="4" w:space="0" w:color="auto"/>
              <w:right w:val="single" w:sz="4" w:space="0" w:color="auto"/>
            </w:tcBorders>
            <w:vAlign w:val="center"/>
          </w:tcPr>
          <w:p w14:paraId="426860A8"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Cargo</w:t>
            </w:r>
          </w:p>
        </w:tc>
        <w:tc>
          <w:tcPr>
            <w:tcW w:w="3736" w:type="dxa"/>
            <w:tcBorders>
              <w:top w:val="single" w:sz="4" w:space="0" w:color="auto"/>
              <w:left w:val="single" w:sz="4" w:space="0" w:color="auto"/>
              <w:bottom w:val="single" w:sz="4" w:space="0" w:color="auto"/>
              <w:right w:val="single" w:sz="4" w:space="0" w:color="auto"/>
            </w:tcBorders>
            <w:vAlign w:val="center"/>
          </w:tcPr>
          <w:p w14:paraId="3950D929"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\t</w:t>
            </w:r>
            <w:r>
              <w:rPr>
                <w:rFonts w:eastAsia="Arial"/>
                <w:color w:val="FFFFFF"/>
                <w:sz w:val="16"/>
                <w:szCs w:val="16"/>
              </w:rPr>
              <w:t>[counterpartySigner3Title_smsp0tZ]</w:t>
            </w:r>
            <w:r>
              <w:rPr>
                <w:rFonts w:eastAsia="Arial"/>
                <w:color w:val="FFFFFF" w:themeColor="background1"/>
                <w:sz w:val="16"/>
                <w:szCs w:val="16"/>
              </w:rPr>
              <w:t>\</w:t>
            </w:r>
          </w:p>
        </w:tc>
        <w:tc>
          <w:tcPr>
            <w:tcW w:w="485" w:type="dxa"/>
            <w:tcBorders>
              <w:left w:val="single" w:sz="4" w:space="0" w:color="auto"/>
            </w:tcBorders>
            <w:shd w:val="clear" w:color="auto" w:fill="FFFFFF"/>
            <w:vAlign w:val="center"/>
          </w:tcPr>
          <w:p w14:paraId="6DA7C259" w14:textId="77777777" w:rsidR="00211257" w:rsidRDefault="00211257">
            <w:pPr>
              <w:pBdr>
                <w:top w:val="nil"/>
                <w:left w:val="nil"/>
                <w:bottom w:val="nil"/>
                <w:right w:val="nil"/>
                <w:between w:val="nil"/>
              </w:pBdr>
              <w:spacing w:after="60" w:line="240" w:lineRule="auto"/>
              <w:rPr>
                <w:color w:val="000000" w:themeColor="text1"/>
                <w:sz w:val="16"/>
                <w:szCs w:val="16"/>
              </w:rPr>
            </w:pPr>
          </w:p>
        </w:tc>
      </w:tr>
      <w:tr w:rsidR="00211257" w14:paraId="40C6BCFE" w14:textId="77777777" w:rsidTr="00FF7FAD">
        <w:trPr>
          <w:gridAfter w:val="2"/>
          <w:wAfter w:w="4976" w:type="dxa"/>
          <w:trHeight w:val="417"/>
        </w:trPr>
        <w:tc>
          <w:tcPr>
            <w:tcW w:w="1246" w:type="dxa"/>
            <w:tcBorders>
              <w:top w:val="single" w:sz="4" w:space="0" w:color="auto"/>
              <w:left w:val="single" w:sz="4" w:space="0" w:color="auto"/>
              <w:bottom w:val="single" w:sz="4" w:space="0" w:color="auto"/>
              <w:right w:val="single" w:sz="4" w:space="0" w:color="auto"/>
            </w:tcBorders>
            <w:vAlign w:val="center"/>
          </w:tcPr>
          <w:p w14:paraId="57D7C2F9"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Data</w:t>
            </w:r>
          </w:p>
        </w:tc>
        <w:tc>
          <w:tcPr>
            <w:tcW w:w="3736" w:type="dxa"/>
            <w:tcBorders>
              <w:top w:val="single" w:sz="4" w:space="0" w:color="auto"/>
              <w:left w:val="single" w:sz="4" w:space="0" w:color="auto"/>
              <w:bottom w:val="single" w:sz="4" w:space="0" w:color="auto"/>
              <w:right w:val="single" w:sz="4" w:space="0" w:color="auto"/>
            </w:tcBorders>
            <w:vAlign w:val="center"/>
          </w:tcPr>
          <w:p w14:paraId="0B5FA0DA"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\d</w:t>
            </w:r>
            <w:r>
              <w:rPr>
                <w:rFonts w:eastAsia="Arial"/>
                <w:color w:val="FFFFFF"/>
                <w:sz w:val="16"/>
                <w:szCs w:val="16"/>
              </w:rPr>
              <w:t>[counterpartySigner3DateField_QT0BPB4]</w:t>
            </w:r>
            <w:r>
              <w:rPr>
                <w:rFonts w:eastAsia="Arial"/>
                <w:color w:val="FFFFFF" w:themeColor="background1"/>
                <w:sz w:val="16"/>
                <w:szCs w:val="16"/>
              </w:rPr>
              <w:t>\</w:t>
            </w:r>
          </w:p>
        </w:tc>
        <w:tc>
          <w:tcPr>
            <w:tcW w:w="485" w:type="dxa"/>
            <w:tcBorders>
              <w:left w:val="single" w:sz="4" w:space="0" w:color="auto"/>
            </w:tcBorders>
            <w:shd w:val="clear" w:color="auto" w:fill="FFFFFF"/>
            <w:vAlign w:val="center"/>
          </w:tcPr>
          <w:p w14:paraId="6EAA8F3A" w14:textId="77777777" w:rsidR="00211257" w:rsidRDefault="00211257">
            <w:pPr>
              <w:pBdr>
                <w:top w:val="nil"/>
                <w:left w:val="nil"/>
                <w:bottom w:val="nil"/>
                <w:right w:val="nil"/>
                <w:between w:val="nil"/>
              </w:pBdr>
              <w:spacing w:after="60" w:line="240" w:lineRule="auto"/>
              <w:rPr>
                <w:color w:val="000000" w:themeColor="text1"/>
                <w:sz w:val="16"/>
                <w:szCs w:val="16"/>
              </w:rPr>
            </w:pPr>
          </w:p>
        </w:tc>
      </w:tr>
    </w:tbl>
    <w:p w14:paraId="2045A194" w14:textId="77777777" w:rsidR="00211257" w:rsidRDefault="00000000">
      <w:pPr>
        <w:ind w:left="0"/>
        <w:rPr>
          <w:highlight w:val="yellow"/>
        </w:rPr>
      </w:pPr>
      <w:r>
        <w:rPr>
          <w:rFonts w:eastAsia="Arial"/>
          <w:szCs w:val="18"/>
        </w:rPr>
        <w:t xml:space="preserve"> </w:t>
      </w:r>
    </w:p>
    <w:p w14:paraId="2A5467D5" w14:textId="77777777" w:rsidR="00211257" w:rsidRDefault="00211257">
      <w:pPr>
        <w:ind w:left="0"/>
        <w:rPr>
          <w:highlight w:val="yellow"/>
        </w:rPr>
      </w:pPr>
    </w:p>
    <w:p w14:paraId="032031A5" w14:textId="77777777" w:rsidR="00211257" w:rsidRDefault="00211257">
      <w:pPr>
        <w:ind w:left="0"/>
        <w:rPr>
          <w:highlight w:val="yellow"/>
        </w:rPr>
      </w:pPr>
    </w:p>
    <w:sectPr w:rsidR="00211257">
      <w:footerReference w:type="default" r:id="rId9"/>
      <w:headerReference w:type="first" r:id="rId10"/>
      <w:footerReference w:type="firs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518B0F" w14:textId="77777777" w:rsidR="00160BA4" w:rsidRDefault="00160BA4" w:rsidP="00125BB8">
      <w:r>
        <w:separator/>
      </w:r>
    </w:p>
  </w:endnote>
  <w:endnote w:type="continuationSeparator" w:id="0">
    <w:p w14:paraId="508DBBF9" w14:textId="77777777" w:rsidR="00160BA4" w:rsidRDefault="00160BA4" w:rsidP="00125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Italic">
    <w:altName w:val="Arial"/>
    <w:panose1 w:val="020B0604020202020204"/>
    <w:charset w:val="00"/>
    <w:family w:val="roman"/>
    <w:notTrueType/>
    <w:pitch w:val="default"/>
  </w:font>
  <w:font w:name="Salesforce Sans">
    <w:panose1 w:val="020B0505020202020203"/>
    <w:charset w:val="4D"/>
    <w:family w:val="swiss"/>
    <w:pitch w:val="variable"/>
    <w:sig w:usb0="A00000E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304389"/>
      <w:docPartObj>
        <w:docPartGallery w:val="Page Numbers (Top of Page)"/>
        <w:docPartUnique/>
      </w:docPartObj>
    </w:sdtPr>
    <w:sdtEndPr>
      <w:rPr>
        <w:b/>
        <w:sz w:val="16"/>
      </w:rPr>
    </w:sdtEndPr>
    <w:sdtContent>
      <w:p w14:paraId="3058DD9E" w14:textId="526D68B0" w:rsidR="00211257" w:rsidRDefault="004C5E56">
        <w:pPr>
          <w:pStyle w:val="Rodap"/>
          <w:tabs>
            <w:tab w:val="clear" w:pos="9360"/>
            <w:tab w:val="right" w:pos="9720"/>
          </w:tabs>
          <w:jc w:val="center"/>
          <w:rPr>
            <w:lang w:val="pt-BR"/>
          </w:rPr>
        </w:pPr>
        <w:r>
          <w:rPr>
            <w:b/>
            <w:sz w:val="16"/>
            <w:szCs w:val="18"/>
            <w:lang w:val="pt-BR"/>
          </w:rPr>
          <w:t>Página</w:t>
        </w:r>
        <w:r w:rsidR="00000000">
          <w:rPr>
            <w:b/>
            <w:sz w:val="16"/>
            <w:szCs w:val="18"/>
            <w:lang w:val="pt-BR"/>
          </w:rPr>
          <w:t xml:space="preserve"> </w:t>
        </w:r>
        <w:r w:rsidR="00000000">
          <w:rPr>
            <w:b/>
            <w:sz w:val="16"/>
            <w:szCs w:val="18"/>
          </w:rPr>
          <w:fldChar w:fldCharType="begin"/>
        </w:r>
        <w:r w:rsidR="00000000">
          <w:rPr>
            <w:b/>
            <w:sz w:val="16"/>
            <w:szCs w:val="18"/>
            <w:lang w:val="pt-BR"/>
          </w:rPr>
          <w:instrText xml:space="preserve"> PAGE </w:instrText>
        </w:r>
        <w:r w:rsidR="00000000">
          <w:rPr>
            <w:b/>
            <w:sz w:val="16"/>
            <w:szCs w:val="18"/>
          </w:rPr>
          <w:fldChar w:fldCharType="separate"/>
        </w:r>
        <w:r w:rsidR="00000000">
          <w:rPr>
            <w:b/>
            <w:noProof/>
            <w:sz w:val="16"/>
            <w:szCs w:val="18"/>
            <w:lang w:val="pt-BR"/>
          </w:rPr>
          <w:t>10</w:t>
        </w:r>
        <w:r w:rsidR="00000000">
          <w:rPr>
            <w:b/>
            <w:sz w:val="16"/>
            <w:szCs w:val="18"/>
          </w:rPr>
          <w:fldChar w:fldCharType="end"/>
        </w:r>
        <w:r w:rsidR="00000000">
          <w:rPr>
            <w:b/>
            <w:sz w:val="16"/>
            <w:szCs w:val="18"/>
            <w:lang w:val="pt-BR"/>
          </w:rPr>
          <w:t xml:space="preserve"> </w:t>
        </w:r>
        <w:r>
          <w:rPr>
            <w:b/>
            <w:sz w:val="16"/>
            <w:szCs w:val="18"/>
            <w:lang w:val="pt-BR"/>
          </w:rPr>
          <w:t>de</w:t>
        </w:r>
        <w:r w:rsidR="00000000">
          <w:rPr>
            <w:b/>
            <w:sz w:val="16"/>
            <w:szCs w:val="18"/>
            <w:lang w:val="pt-BR"/>
          </w:rPr>
          <w:t xml:space="preserve"> </w:t>
        </w:r>
        <w:r w:rsidR="00000000">
          <w:rPr>
            <w:b/>
            <w:sz w:val="16"/>
            <w:szCs w:val="18"/>
          </w:rPr>
          <w:fldChar w:fldCharType="begin"/>
        </w:r>
        <w:r w:rsidR="00000000">
          <w:rPr>
            <w:b/>
            <w:sz w:val="16"/>
            <w:szCs w:val="18"/>
            <w:lang w:val="pt-BR"/>
          </w:rPr>
          <w:instrText xml:space="preserve"> NUMPAGES  </w:instrText>
        </w:r>
        <w:r w:rsidR="00000000">
          <w:rPr>
            <w:b/>
            <w:sz w:val="16"/>
            <w:szCs w:val="18"/>
          </w:rPr>
          <w:fldChar w:fldCharType="separate"/>
        </w:r>
        <w:r w:rsidR="00000000">
          <w:rPr>
            <w:b/>
            <w:noProof/>
            <w:sz w:val="16"/>
            <w:szCs w:val="18"/>
            <w:lang w:val="pt-BR"/>
          </w:rPr>
          <w:t>10</w:t>
        </w:r>
        <w:r w:rsidR="00000000">
          <w:rPr>
            <w:b/>
            <w:sz w:val="16"/>
            <w:szCs w:val="18"/>
          </w:rPr>
          <w:fldChar w:fldCharType="end"/>
        </w:r>
      </w:p>
      <w:p w14:paraId="5C3ACAFB" w14:textId="484AB001" w:rsidR="00211257" w:rsidRDefault="00211257" w:rsidP="004C5E56">
        <w:pPr>
          <w:pStyle w:val="Rodap"/>
          <w:tabs>
            <w:tab w:val="clear" w:pos="9360"/>
            <w:tab w:val="right" w:pos="9720"/>
          </w:tabs>
          <w:jc w:val="center"/>
          <w:rPr>
            <w:b/>
            <w:color w:val="FF0000"/>
            <w:sz w:val="10"/>
            <w:szCs w:val="10"/>
            <w:lang w:val="pt-BR"/>
          </w:rPr>
        </w:pPr>
      </w:p>
      <w:p w14:paraId="5689F2E9" w14:textId="77777777" w:rsidR="00211257" w:rsidRDefault="00000000">
        <w:pPr>
          <w:pStyle w:val="Rodap"/>
          <w:tabs>
            <w:tab w:val="clear" w:pos="9360"/>
            <w:tab w:val="right" w:pos="10773"/>
          </w:tabs>
          <w:ind w:right="26"/>
          <w:jc w:val="both"/>
          <w:rPr>
            <w:b/>
            <w:sz w:val="16"/>
          </w:rPr>
        </w:pPr>
        <w:r>
          <w:rPr>
            <w:b/>
            <w:color w:val="000000"/>
            <w:sz w:val="10"/>
            <w:szCs w:val="10"/>
            <w:lang w:val="pt-BR"/>
          </w:rPr>
          <w:t>Aviso de confidencialidade. Este documento é uma informação proprietária e confidencial do SFDC. Nem este documento nem o seu conteúdo podem ser revelados ou divulgados a pessoas não autorizadas ou enviados para fora da referida instituição sem autorização prévia.</w:t>
        </w:r>
        <w:r>
          <w:rPr>
            <w:b/>
            <w:sz w:val="10"/>
            <w:szCs w:val="12"/>
            <w:lang w:val="pt-BR"/>
          </w:rPr>
          <w:tab/>
        </w:r>
        <w:r>
          <w:rPr>
            <w:b/>
            <w:sz w:val="10"/>
            <w:szCs w:val="12"/>
            <w:lang w:val="pt-BR"/>
          </w:rPr>
          <w:tab/>
        </w:r>
        <w:r>
          <w:rPr>
            <w:sz w:val="10"/>
            <w:szCs w:val="12"/>
          </w:rPr>
          <w:t>© Salesforce Inc., All rights reserved</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6"/>
        <w:szCs w:val="10"/>
      </w:rPr>
      <w:id w:val="-600337624"/>
      <w:docPartObj>
        <w:docPartGallery w:val="Page Numbers (Top of Page)"/>
        <w:docPartUnique/>
      </w:docPartObj>
    </w:sdtPr>
    <w:sdtEndPr>
      <w:rPr>
        <w:b/>
        <w:sz w:val="10"/>
      </w:rPr>
    </w:sdtEndPr>
    <w:sdtContent>
      <w:p w14:paraId="687090A6" w14:textId="779AFAAE" w:rsidR="00211257" w:rsidRDefault="00477C7B">
        <w:pPr>
          <w:pStyle w:val="Rodap"/>
          <w:tabs>
            <w:tab w:val="clear" w:pos="9360"/>
            <w:tab w:val="right" w:pos="9720"/>
          </w:tabs>
          <w:jc w:val="center"/>
          <w:rPr>
            <w:sz w:val="16"/>
            <w:szCs w:val="10"/>
            <w:lang w:val="pt-BR"/>
          </w:rPr>
        </w:pPr>
        <w:r>
          <w:rPr>
            <w:b/>
            <w:sz w:val="16"/>
            <w:szCs w:val="10"/>
            <w:lang w:val="pt-BR"/>
          </w:rPr>
          <w:t>Página</w:t>
        </w:r>
        <w:r w:rsidR="00000000">
          <w:rPr>
            <w:b/>
            <w:sz w:val="16"/>
            <w:szCs w:val="10"/>
            <w:lang w:val="pt-BR"/>
          </w:rPr>
          <w:t xml:space="preserve"> </w:t>
        </w:r>
        <w:r w:rsidR="00000000">
          <w:rPr>
            <w:b/>
            <w:sz w:val="16"/>
            <w:szCs w:val="10"/>
          </w:rPr>
          <w:fldChar w:fldCharType="begin"/>
        </w:r>
        <w:r w:rsidR="00000000">
          <w:rPr>
            <w:b/>
            <w:sz w:val="16"/>
            <w:szCs w:val="10"/>
            <w:lang w:val="pt-BR"/>
          </w:rPr>
          <w:instrText xml:space="preserve"> PAGE </w:instrText>
        </w:r>
        <w:r w:rsidR="00000000">
          <w:rPr>
            <w:b/>
            <w:sz w:val="16"/>
            <w:szCs w:val="10"/>
          </w:rPr>
          <w:fldChar w:fldCharType="separate"/>
        </w:r>
        <w:r w:rsidR="00000000">
          <w:rPr>
            <w:b/>
            <w:noProof/>
            <w:sz w:val="16"/>
            <w:szCs w:val="10"/>
            <w:lang w:val="pt-BR"/>
          </w:rPr>
          <w:t>1</w:t>
        </w:r>
        <w:r w:rsidR="00000000">
          <w:rPr>
            <w:b/>
            <w:sz w:val="16"/>
            <w:szCs w:val="10"/>
          </w:rPr>
          <w:fldChar w:fldCharType="end"/>
        </w:r>
        <w:r w:rsidR="00000000">
          <w:rPr>
            <w:b/>
            <w:sz w:val="16"/>
            <w:szCs w:val="10"/>
            <w:lang w:val="pt-BR"/>
          </w:rPr>
          <w:t xml:space="preserve"> </w:t>
        </w:r>
        <w:r>
          <w:rPr>
            <w:b/>
            <w:sz w:val="16"/>
            <w:szCs w:val="10"/>
            <w:lang w:val="pt-BR"/>
          </w:rPr>
          <w:t>de</w:t>
        </w:r>
        <w:r w:rsidR="00000000">
          <w:rPr>
            <w:b/>
            <w:sz w:val="16"/>
            <w:szCs w:val="10"/>
            <w:lang w:val="pt-BR"/>
          </w:rPr>
          <w:t xml:space="preserve"> </w:t>
        </w:r>
        <w:r w:rsidR="00000000">
          <w:rPr>
            <w:b/>
            <w:sz w:val="16"/>
            <w:szCs w:val="10"/>
          </w:rPr>
          <w:fldChar w:fldCharType="begin"/>
        </w:r>
        <w:r w:rsidR="00000000">
          <w:rPr>
            <w:b/>
            <w:sz w:val="16"/>
            <w:szCs w:val="10"/>
            <w:lang w:val="pt-BR"/>
          </w:rPr>
          <w:instrText xml:space="preserve"> NUMPAGES  </w:instrText>
        </w:r>
        <w:r w:rsidR="00000000">
          <w:rPr>
            <w:b/>
            <w:sz w:val="16"/>
            <w:szCs w:val="10"/>
          </w:rPr>
          <w:fldChar w:fldCharType="separate"/>
        </w:r>
        <w:r w:rsidR="00000000">
          <w:rPr>
            <w:b/>
            <w:noProof/>
            <w:sz w:val="16"/>
            <w:szCs w:val="10"/>
            <w:lang w:val="pt-BR"/>
          </w:rPr>
          <w:t>10</w:t>
        </w:r>
        <w:r w:rsidR="00000000">
          <w:rPr>
            <w:b/>
            <w:sz w:val="16"/>
            <w:szCs w:val="10"/>
          </w:rPr>
          <w:fldChar w:fldCharType="end"/>
        </w:r>
      </w:p>
      <w:p w14:paraId="416A15FC" w14:textId="77777777" w:rsidR="00211257" w:rsidRDefault="00211257">
        <w:pPr>
          <w:pStyle w:val="Rodap"/>
          <w:tabs>
            <w:tab w:val="clear" w:pos="9360"/>
            <w:tab w:val="right" w:pos="9720"/>
          </w:tabs>
          <w:rPr>
            <w:b/>
            <w:color w:val="FF0000"/>
            <w:sz w:val="10"/>
            <w:szCs w:val="10"/>
            <w:lang w:val="pt-BR"/>
          </w:rPr>
        </w:pPr>
      </w:p>
      <w:p w14:paraId="1DDA2AAF" w14:textId="77777777" w:rsidR="00211257" w:rsidRDefault="00000000">
        <w:pPr>
          <w:pStyle w:val="Rodap"/>
          <w:tabs>
            <w:tab w:val="clear" w:pos="9360"/>
            <w:tab w:val="right" w:pos="10773"/>
          </w:tabs>
          <w:ind w:right="26"/>
          <w:jc w:val="both"/>
          <w:rPr>
            <w:b/>
            <w:sz w:val="10"/>
            <w:szCs w:val="10"/>
          </w:rPr>
        </w:pPr>
        <w:r>
          <w:rPr>
            <w:b/>
            <w:color w:val="000000"/>
            <w:sz w:val="10"/>
            <w:szCs w:val="10"/>
            <w:lang w:val="pt-BR"/>
          </w:rPr>
          <w:t xml:space="preserve">Aviso de confidencialidade. Este documento é uma informação proprietária e confidencial do SFDC. Nem este documento nem o seu conteúdo podem ser revelados ou divulgados a pessoas não autorizadas ou enviados para fora da referida instituição sem autorização </w:t>
        </w:r>
        <w:proofErr w:type="gramStart"/>
        <w:r>
          <w:rPr>
            <w:b/>
            <w:color w:val="000000"/>
            <w:sz w:val="10"/>
            <w:szCs w:val="10"/>
            <w:lang w:val="pt-BR"/>
          </w:rPr>
          <w:t>prévia.</w:t>
        </w:r>
        <w:r>
          <w:rPr>
            <w:sz w:val="10"/>
            <w:szCs w:val="10"/>
            <w:lang w:val="pt-BR"/>
          </w:rPr>
          <w:t>.</w:t>
        </w:r>
        <w:proofErr w:type="gramEnd"/>
        <w:r>
          <w:rPr>
            <w:b/>
            <w:sz w:val="10"/>
            <w:szCs w:val="10"/>
            <w:lang w:val="pt-BR"/>
          </w:rPr>
          <w:t xml:space="preserve"> </w:t>
        </w:r>
        <w:r>
          <w:rPr>
            <w:b/>
            <w:sz w:val="10"/>
            <w:szCs w:val="10"/>
            <w:lang w:val="pt-BR"/>
          </w:rPr>
          <w:tab/>
        </w:r>
        <w:r>
          <w:rPr>
            <w:b/>
            <w:sz w:val="10"/>
            <w:szCs w:val="10"/>
            <w:lang w:val="pt-BR"/>
          </w:rPr>
          <w:tab/>
        </w:r>
        <w:r>
          <w:rPr>
            <w:sz w:val="10"/>
            <w:szCs w:val="10"/>
          </w:rPr>
          <w:t>© Salesforce Inc., All rights reserved</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977B2B" w14:textId="77777777" w:rsidR="00160BA4" w:rsidRDefault="00160BA4" w:rsidP="00125BB8">
      <w:r>
        <w:separator/>
      </w:r>
    </w:p>
  </w:footnote>
  <w:footnote w:type="continuationSeparator" w:id="0">
    <w:p w14:paraId="0F9F6B6E" w14:textId="77777777" w:rsidR="00160BA4" w:rsidRDefault="00160BA4" w:rsidP="00125B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CB9BE" w14:textId="77777777" w:rsidR="00211257" w:rsidRDefault="00000000">
    <w:pPr>
      <w:spacing w:after="0" w:line="240" w:lineRule="auto"/>
      <w:ind w:left="0"/>
      <w:jc w:val="center"/>
      <w:rPr>
        <w:b/>
        <w:sz w:val="28"/>
        <w:szCs w:val="28"/>
        <w:lang w:val="pt-BR"/>
      </w:rPr>
    </w:pPr>
    <w:r>
      <w:rPr>
        <w:noProof/>
        <w:sz w:val="28"/>
        <w:szCs w:val="28"/>
      </w:rPr>
      <w:drawing>
        <wp:anchor distT="0" distB="0" distL="114300" distR="114300" simplePos="0" relativeHeight="251661312" behindDoc="0" locked="0" layoutInCell="1" hidden="0" allowOverlap="1" wp14:anchorId="6624CA97" wp14:editId="1DD8AC4A">
          <wp:simplePos x="0" y="0"/>
          <wp:positionH relativeFrom="margin">
            <wp:align>right</wp:align>
          </wp:positionH>
          <wp:positionV relativeFrom="paragraph">
            <wp:posOffset>1905</wp:posOffset>
          </wp:positionV>
          <wp:extent cx="1649730" cy="350567"/>
          <wp:effectExtent l="0" t="0" r="7620" b="0"/>
          <wp:wrapNone/>
          <wp:docPr id="8" name="image2.png" descr="https://lh5.googleusercontent.com/4RvkrcjYhbVxf8g60qnFFZe9OPAN-S4FeGroP4DG8jPvnuTEQAm_WEmS4sWjFuR6nCpeH7vWBqG6B4DYVKfg9eBX6dnHz6efwNr_ZYaqWmORasJu3iKVG2s3RARQLQHB1Xvg0PnE6_I"/>
          <wp:cNvGraphicFramePr/>
          <a:graphic xmlns:a="http://schemas.openxmlformats.org/drawingml/2006/main">
            <a:graphicData uri="http://schemas.openxmlformats.org/drawingml/2006/picture">
              <pic:pic xmlns:pic="http://schemas.openxmlformats.org/drawingml/2006/picture">
                <pic:nvPicPr>
                  <pic:cNvPr id="0" name="image2.png" descr="https://lh5.googleusercontent.com/4RvkrcjYhbVxf8g60qnFFZe9OPAN-S4FeGroP4DG8jPvnuTEQAm_WEmS4sWjFuR6nCpeH7vWBqG6B4DYVKfg9eBX6dnHz6efwNr_ZYaqWmORasJu3iKVG2s3RARQLQHB1Xvg0PnE6_I"/>
                  <pic:cNvPicPr preferRelativeResize="0"/>
                </pic:nvPicPr>
                <pic:blipFill>
                  <a:blip r:embed="rId1"/>
                  <a:srcRect/>
                  <a:stretch>
                    <a:fillRect/>
                  </a:stretch>
                </pic:blipFill>
                <pic:spPr>
                  <a:xfrm>
                    <a:off x="0" y="0"/>
                    <a:ext cx="1649730" cy="350567"/>
                  </a:xfrm>
                  <a:prstGeom prst="rect">
                    <a:avLst/>
                  </a:prstGeom>
                  <a:ln/>
                </pic:spPr>
              </pic:pic>
            </a:graphicData>
          </a:graphic>
        </wp:anchor>
      </w:drawing>
    </w:r>
    <w:r>
      <w:rPr>
        <w:b/>
        <w:sz w:val="28"/>
        <w:szCs w:val="28"/>
        <w:lang w:val="pt-BR"/>
      </w:rPr>
      <w:t>Serviços de Implementação</w:t>
    </w:r>
  </w:p>
  <w:p w14:paraId="4AFE9BB8" w14:textId="77777777" w:rsidR="00211257" w:rsidRDefault="00000000">
    <w:pPr>
      <w:spacing w:line="240" w:lineRule="auto"/>
      <w:ind w:left="0"/>
      <w:jc w:val="center"/>
      <w:rPr>
        <w:rStyle w:val="LegalTerm"/>
        <w:sz w:val="28"/>
        <w:szCs w:val="28"/>
        <w:lang w:val="pt-BR"/>
      </w:rPr>
    </w:pPr>
    <w:r>
      <w:rPr>
        <w:b/>
        <w:sz w:val="28"/>
        <w:szCs w:val="28"/>
        <w:lang w:val="pt-BR"/>
      </w:rPr>
      <w:t>SOW</w:t>
    </w:r>
  </w:p>
  <w:p w14:paraId="24A8B8B0" w14:textId="77777777" w:rsidR="00211257" w:rsidRDefault="00211257">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E0A1C"/>
    <w:multiLevelType w:val="hybridMultilevel"/>
    <w:tmpl w:val="F76204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085B07"/>
    <w:multiLevelType w:val="hybridMultilevel"/>
    <w:tmpl w:val="46FA34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74784C"/>
    <w:multiLevelType w:val="hybridMultilevel"/>
    <w:tmpl w:val="7784A0A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04A16CB"/>
    <w:multiLevelType w:val="hybridMultilevel"/>
    <w:tmpl w:val="5730603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6BE2AA8"/>
    <w:multiLevelType w:val="hybridMultilevel"/>
    <w:tmpl w:val="740A316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195C1511"/>
    <w:multiLevelType w:val="multilevel"/>
    <w:tmpl w:val="0C662964"/>
    <w:lvl w:ilvl="0">
      <w:start w:val="1"/>
      <w:numFmt w:val="bullet"/>
      <w:lvlText w:val="●"/>
      <w:lvlJc w:val="left"/>
      <w:pPr>
        <w:ind w:left="3240" w:hanging="360"/>
      </w:pPr>
      <w:rPr>
        <w:rFonts w:ascii="Arial" w:eastAsia="Noto Sans Symbols" w:hAnsi="Arial" w:cs="Arial" w:hint="default"/>
        <w:sz w:val="16"/>
        <w:szCs w:val="16"/>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6" w15:restartNumberingAfterBreak="0">
    <w:nsid w:val="21D77563"/>
    <w:multiLevelType w:val="hybridMultilevel"/>
    <w:tmpl w:val="D24A1A3A"/>
    <w:lvl w:ilvl="0" w:tplc="E294F6B4">
      <w:start w:val="1"/>
      <w:numFmt w:val="bullet"/>
      <w:lvlText w:val=""/>
      <w:lvlJc w:val="left"/>
      <w:pPr>
        <w:ind w:left="450" w:hanging="360"/>
      </w:pPr>
      <w:rPr>
        <w:rFonts w:ascii="Symbol" w:hAnsi="Symbol" w:hint="default"/>
      </w:rPr>
    </w:lvl>
    <w:lvl w:ilvl="1" w:tplc="540E1FC0">
      <w:start w:val="1"/>
      <w:numFmt w:val="bullet"/>
      <w:lvlText w:val="o"/>
      <w:lvlJc w:val="left"/>
      <w:pPr>
        <w:ind w:left="1440" w:hanging="360"/>
      </w:pPr>
      <w:rPr>
        <w:rFonts w:ascii="Courier New" w:hAnsi="Courier New" w:cs="Courier New" w:hint="default"/>
      </w:rPr>
    </w:lvl>
    <w:lvl w:ilvl="2" w:tplc="E4540860">
      <w:start w:val="1"/>
      <w:numFmt w:val="bullet"/>
      <w:lvlText w:val=""/>
      <w:lvlJc w:val="left"/>
      <w:pPr>
        <w:ind w:left="2160" w:hanging="360"/>
      </w:pPr>
      <w:rPr>
        <w:rFonts w:ascii="Wingdings" w:hAnsi="Wingdings" w:hint="default"/>
      </w:rPr>
    </w:lvl>
    <w:lvl w:ilvl="3" w:tplc="CF8CA8B6">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AC5FCA"/>
    <w:multiLevelType w:val="multilevel"/>
    <w:tmpl w:val="7DDE12A6"/>
    <w:lvl w:ilvl="0">
      <w:start w:val="1"/>
      <w:numFmt w:val="decimal"/>
      <w:pStyle w:val="Ttulo1"/>
      <w:lvlText w:val="%1."/>
      <w:lvlJc w:val="left"/>
      <w:pPr>
        <w:ind w:left="360" w:hanging="360"/>
      </w:pPr>
      <w:rPr>
        <w:rFonts w:hint="default"/>
      </w:rPr>
    </w:lvl>
    <w:lvl w:ilvl="1">
      <w:start w:val="1"/>
      <w:numFmt w:val="decimal"/>
      <w:pStyle w:val="Ttulo2"/>
      <w:lvlText w:val="%1.%2."/>
      <w:lvlJc w:val="left"/>
      <w:pPr>
        <w:ind w:left="882" w:hanging="432"/>
      </w:pPr>
      <w:rPr>
        <w:rFonts w:hint="default"/>
        <w:b/>
        <w:bCs/>
      </w:rPr>
    </w:lvl>
    <w:lvl w:ilvl="2">
      <w:start w:val="1"/>
      <w:numFmt w:val="decimal"/>
      <w:pStyle w:val="Ttulo3"/>
      <w:lvlText w:val="%1.%2.%3."/>
      <w:lvlJc w:val="left"/>
      <w:pPr>
        <w:ind w:left="1314" w:hanging="504"/>
      </w:pPr>
      <w:rPr>
        <w:rFonts w:hint="default"/>
        <w:b/>
        <w:bCs/>
        <w:i w:val="0"/>
        <w:iCs/>
      </w:rPr>
    </w:lvl>
    <w:lvl w:ilvl="3">
      <w:start w:val="1"/>
      <w:numFmt w:val="decimal"/>
      <w:pStyle w:val="Ttulo4"/>
      <w:lvlText w:val="%1.%2.%3.%4."/>
      <w:lvlJc w:val="left"/>
      <w:pPr>
        <w:ind w:left="1656" w:hanging="576"/>
      </w:pPr>
    </w:lvl>
    <w:lvl w:ilvl="4">
      <w:start w:val="1"/>
      <w:numFmt w:val="decimal"/>
      <w:pStyle w:val="Ttulo5"/>
      <w:lvlText w:val="%1.%2.%3.%4.%5."/>
      <w:lvlJc w:val="left"/>
      <w:pPr>
        <w:ind w:left="2232" w:hanging="792"/>
      </w:pPr>
      <w:rPr>
        <w:rFonts w:hint="default"/>
        <w:b/>
        <w:bCs/>
      </w:rPr>
    </w:lvl>
    <w:lvl w:ilvl="5">
      <w:start w:val="1"/>
      <w:numFmt w:val="decimal"/>
      <w:pStyle w:val="Ttulo6"/>
      <w:lvlText w:val="%1.%2.%3.%4.%5.%6."/>
      <w:lvlJc w:val="left"/>
      <w:pPr>
        <w:ind w:left="2736" w:hanging="936"/>
      </w:pPr>
      <w:rPr>
        <w:rFonts w:hint="default"/>
      </w:rPr>
    </w:lvl>
    <w:lvl w:ilvl="6">
      <w:start w:val="1"/>
      <w:numFmt w:val="decimal"/>
      <w:pStyle w:val="Ttulo7"/>
      <w:lvlText w:val="%1.%2.%3.%4.%5.%6.%7."/>
      <w:lvlJc w:val="left"/>
      <w:pPr>
        <w:ind w:left="3240" w:hanging="1080"/>
      </w:pPr>
      <w:rPr>
        <w:rFonts w:hint="default"/>
      </w:rPr>
    </w:lvl>
    <w:lvl w:ilvl="7">
      <w:start w:val="1"/>
      <w:numFmt w:val="decimal"/>
      <w:pStyle w:val="Ttulo8"/>
      <w:lvlText w:val="%1.%2.%3.%4.%5.%6.%7.%8."/>
      <w:lvlJc w:val="left"/>
      <w:pPr>
        <w:ind w:left="3744" w:hanging="1224"/>
      </w:pPr>
      <w:rPr>
        <w:rFonts w:hint="default"/>
      </w:rPr>
    </w:lvl>
    <w:lvl w:ilvl="8">
      <w:start w:val="1"/>
      <w:numFmt w:val="decimal"/>
      <w:pStyle w:val="Ttulo9"/>
      <w:lvlText w:val="%1.%2.%3.%4.%5.%6.%7.%8.%9."/>
      <w:lvlJc w:val="left"/>
      <w:pPr>
        <w:ind w:left="4320" w:hanging="1440"/>
      </w:pPr>
      <w:rPr>
        <w:rFonts w:hint="default"/>
      </w:rPr>
    </w:lvl>
  </w:abstractNum>
  <w:abstractNum w:abstractNumId="8" w15:restartNumberingAfterBreak="0">
    <w:nsid w:val="3950786E"/>
    <w:multiLevelType w:val="multilevel"/>
    <w:tmpl w:val="01EE57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EC4269E"/>
    <w:multiLevelType w:val="multilevel"/>
    <w:tmpl w:val="1E8AFD86"/>
    <w:styleLink w:val="CurrentList1"/>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3FAE2607"/>
    <w:multiLevelType w:val="multilevel"/>
    <w:tmpl w:val="7E227D6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Arial" w:eastAsia="Courier New" w:hAnsi="Arial" w:cs="Arial" w:hint="default"/>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
      <w:lvlJc w:val="left"/>
      <w:pPr>
        <w:ind w:left="4320" w:hanging="360"/>
      </w:pPr>
      <w:rPr>
        <w:rFonts w:ascii="Symbol" w:hAnsi="Symbol" w:hint="default"/>
      </w:rPr>
    </w:lvl>
    <w:lvl w:ilvl="5">
      <w:start w:val="1"/>
      <w:numFmt w:val="bullet"/>
      <w:lvlText w:val="●"/>
      <w:lvlJc w:val="left"/>
      <w:pPr>
        <w:ind w:left="5040" w:hanging="360"/>
      </w:pPr>
      <w:rPr>
        <w:rFonts w:ascii="Arial" w:eastAsia="Noto Sans Symbols" w:hAnsi="Arial" w:cs="Arial" w:hint="default"/>
        <w:sz w:val="14"/>
        <w:szCs w:val="14"/>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4044401A"/>
    <w:multiLevelType w:val="multilevel"/>
    <w:tmpl w:val="37FC3370"/>
    <w:lvl w:ilvl="0">
      <w:start w:val="1"/>
      <w:numFmt w:val="bullet"/>
      <w:pStyle w:val="Bullets2"/>
      <w:lvlText w:val="●"/>
      <w:lvlJc w:val="left"/>
      <w:pPr>
        <w:ind w:left="720" w:hanging="360"/>
      </w:pPr>
      <w:rPr>
        <w:u w:val="none"/>
      </w:rPr>
    </w:lvl>
    <w:lvl w:ilvl="1">
      <w:start w:val="1"/>
      <w:numFmt w:val="bullet"/>
      <w:pStyle w:val="Bullets2-Sub"/>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B23344"/>
    <w:multiLevelType w:val="multilevel"/>
    <w:tmpl w:val="A35216B0"/>
    <w:lvl w:ilvl="0">
      <w:start w:val="1"/>
      <w:numFmt w:val="bullet"/>
      <w:lvlText w:val="●"/>
      <w:lvlJc w:val="left"/>
      <w:pPr>
        <w:ind w:left="288" w:hanging="14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pStyle w:val="SOWHeading5"/>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022B58"/>
    <w:multiLevelType w:val="hybridMultilevel"/>
    <w:tmpl w:val="EE328B5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45E11DF2"/>
    <w:multiLevelType w:val="hybridMultilevel"/>
    <w:tmpl w:val="11900BF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4AED23B0"/>
    <w:multiLevelType w:val="multilevel"/>
    <w:tmpl w:val="356E2F68"/>
    <w:lvl w:ilvl="0">
      <w:start w:val="1"/>
      <w:numFmt w:val="bullet"/>
      <w:lvlText w:val="●"/>
      <w:lvlJc w:val="left"/>
      <w:pPr>
        <w:ind w:left="2520" w:hanging="360"/>
      </w:pPr>
      <w:rPr>
        <w:rFonts w:ascii="Arial" w:eastAsia="Noto Sans Symbols" w:hAnsi="Arial" w:cs="Arial" w:hint="default"/>
      </w:rPr>
    </w:lvl>
    <w:lvl w:ilvl="1">
      <w:start w:val="1"/>
      <w:numFmt w:val="bullet"/>
      <w:lvlText w:val="●"/>
      <w:lvlJc w:val="left"/>
      <w:pPr>
        <w:ind w:left="3240" w:hanging="360"/>
      </w:pPr>
      <w:rPr>
        <w:rFonts w:ascii="Arial" w:eastAsia="Noto Sans Symbols" w:hAnsi="Arial" w:cs="Arial" w:hint="default"/>
        <w:sz w:val="16"/>
        <w:szCs w:val="16"/>
      </w:rPr>
    </w:lvl>
    <w:lvl w:ilvl="2">
      <w:start w:val="1"/>
      <w:numFmt w:val="bullet"/>
      <w:lvlText w:val=""/>
      <w:lvlJc w:val="left"/>
      <w:pPr>
        <w:ind w:left="3960" w:hanging="360"/>
      </w:pPr>
      <w:rPr>
        <w:rFonts w:ascii="Symbol" w:hAnsi="Symbol" w:hint="default"/>
        <w:sz w:val="14"/>
        <w:szCs w:val="14"/>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6" w15:restartNumberingAfterBreak="0">
    <w:nsid w:val="5328764F"/>
    <w:multiLevelType w:val="hybridMultilevel"/>
    <w:tmpl w:val="A46E8D52"/>
    <w:lvl w:ilvl="0" w:tplc="1482252A">
      <w:start w:val="1"/>
      <w:numFmt w:val="bullet"/>
      <w:lvlText w:val="o"/>
      <w:lvlJc w:val="left"/>
      <w:pPr>
        <w:ind w:left="3960" w:hanging="360"/>
      </w:pPr>
      <w:rPr>
        <w:rFonts w:ascii="Arial"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7" w15:restartNumberingAfterBreak="0">
    <w:nsid w:val="56A66A27"/>
    <w:multiLevelType w:val="multilevel"/>
    <w:tmpl w:val="104C9834"/>
    <w:styleLink w:val="CurrentList3"/>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2346B1"/>
    <w:multiLevelType w:val="hybridMultilevel"/>
    <w:tmpl w:val="421212EC"/>
    <w:lvl w:ilvl="0" w:tplc="47B42262">
      <w:start w:val="1"/>
      <w:numFmt w:val="decimal"/>
      <w:lvlText w:val="%1."/>
      <w:lvlJc w:val="left"/>
      <w:pPr>
        <w:ind w:left="0" w:firstLine="0"/>
      </w:pPr>
      <w:rPr>
        <w:rFonts w:hint="default"/>
        <w:color w:val="000000" w:themeColor="text1"/>
        <w:sz w:val="20"/>
        <w:szCs w:val="20"/>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19" w15:restartNumberingAfterBreak="0">
    <w:nsid w:val="67E500F7"/>
    <w:multiLevelType w:val="multilevel"/>
    <w:tmpl w:val="03B6B310"/>
    <w:lvl w:ilvl="0">
      <w:start w:val="1"/>
      <w:numFmt w:val="bullet"/>
      <w:lvlText w:val="●"/>
      <w:lvlJc w:val="left"/>
      <w:pPr>
        <w:ind w:left="3240" w:hanging="360"/>
      </w:pPr>
      <w:rPr>
        <w:rFonts w:ascii="Arial" w:eastAsia="Noto Sans Symbols" w:hAnsi="Arial" w:cs="Arial" w:hint="default"/>
        <w:sz w:val="16"/>
        <w:szCs w:val="16"/>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20" w15:restartNumberingAfterBreak="0">
    <w:nsid w:val="69D42A5C"/>
    <w:multiLevelType w:val="multilevel"/>
    <w:tmpl w:val="301AE2DC"/>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ascii="Symbol" w:hAnsi="Symbol" w:hint="default"/>
      </w:rPr>
    </w:lvl>
    <w:lvl w:ilvl="3">
      <w:start w:val="1"/>
      <w:numFmt w:val="decimal"/>
      <w:lvlText w:val="%4)."/>
      <w:lvlJc w:val="left"/>
      <w:pPr>
        <w:ind w:left="1440"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A1D1C55"/>
    <w:multiLevelType w:val="hybridMultilevel"/>
    <w:tmpl w:val="9FAAE4C4"/>
    <w:lvl w:ilvl="0" w:tplc="04090001">
      <w:start w:val="1"/>
      <w:numFmt w:val="bullet"/>
      <w:lvlText w:val=""/>
      <w:lvlJc w:val="left"/>
      <w:pPr>
        <w:ind w:left="3420" w:hanging="360"/>
      </w:pPr>
      <w:rPr>
        <w:rFonts w:ascii="Symbol" w:hAnsi="Symbol" w:hint="default"/>
        <w:sz w:val="18"/>
        <w:szCs w:val="18"/>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22" w15:restartNumberingAfterBreak="0">
    <w:nsid w:val="6E394120"/>
    <w:multiLevelType w:val="multilevel"/>
    <w:tmpl w:val="32C04CAE"/>
    <w:styleLink w:val="CurrentList2"/>
    <w:lvl w:ilvl="0">
      <w:start w:val="1"/>
      <w:numFmt w:val="decimal"/>
      <w:lvlText w:val="%1."/>
      <w:lvlJc w:val="center"/>
      <w:pPr>
        <w:ind w:left="0" w:firstLine="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3" w15:restartNumberingAfterBreak="0">
    <w:nsid w:val="70734B5C"/>
    <w:multiLevelType w:val="multilevel"/>
    <w:tmpl w:val="1F543FD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pStyle w:val="B1"/>
      <w:lvlText w:val=""/>
      <w:lvlJc w:val="left"/>
      <w:pPr>
        <w:ind w:left="1224" w:hanging="504"/>
      </w:pPr>
      <w:rPr>
        <w:rFonts w:ascii="Symbol" w:hAnsi="Symbol" w:hint="default"/>
      </w:rPr>
    </w:lvl>
    <w:lvl w:ilvl="3">
      <w:start w:val="1"/>
      <w:numFmt w:val="bullet"/>
      <w:pStyle w:val="B2"/>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3AA000C"/>
    <w:multiLevelType w:val="multilevel"/>
    <w:tmpl w:val="2E8029D4"/>
    <w:lvl w:ilvl="0">
      <w:start w:val="1"/>
      <w:numFmt w:val="bullet"/>
      <w:lvlText w:val="●"/>
      <w:lvlJc w:val="left"/>
      <w:pPr>
        <w:ind w:left="2520" w:hanging="360"/>
      </w:pPr>
      <w:rPr>
        <w:rFonts w:ascii="Arial" w:eastAsia="Noto Sans Symbols" w:hAnsi="Arial" w:cs="Arial" w:hint="default"/>
      </w:rPr>
    </w:lvl>
    <w:lvl w:ilvl="1">
      <w:start w:val="1"/>
      <w:numFmt w:val="bullet"/>
      <w:lvlText w:val="●"/>
      <w:lvlJc w:val="left"/>
      <w:pPr>
        <w:ind w:left="3240" w:hanging="360"/>
      </w:pPr>
      <w:rPr>
        <w:rFonts w:ascii="Arial" w:eastAsia="Noto Sans Symbols" w:hAnsi="Arial" w:cs="Arial" w:hint="default"/>
        <w:sz w:val="16"/>
        <w:szCs w:val="16"/>
      </w:rPr>
    </w:lvl>
    <w:lvl w:ilvl="2">
      <w:start w:val="1"/>
      <w:numFmt w:val="bullet"/>
      <w:pStyle w:val="Bullet3"/>
      <w:lvlText w:val="▪"/>
      <w:lvlJc w:val="left"/>
      <w:pPr>
        <w:ind w:left="3960" w:hanging="360"/>
      </w:pPr>
      <w:rPr>
        <w:rFonts w:ascii="Noto Sans Symbols" w:eastAsia="Noto Sans Symbols" w:hAnsi="Noto Sans Symbols" w:cs="Noto Sans Symbols"/>
      </w:rPr>
    </w:lvl>
    <w:lvl w:ilvl="3">
      <w:start w:val="1"/>
      <w:numFmt w:val="bullet"/>
      <w:pStyle w:val="Bullet4"/>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25" w15:restartNumberingAfterBreak="0">
    <w:nsid w:val="76393147"/>
    <w:multiLevelType w:val="hybridMultilevel"/>
    <w:tmpl w:val="16A07C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DAE409E"/>
    <w:multiLevelType w:val="multilevel"/>
    <w:tmpl w:val="D5603F1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44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F4F52BC"/>
    <w:multiLevelType w:val="hybridMultilevel"/>
    <w:tmpl w:val="647AF234"/>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44964486">
    <w:abstractNumId w:val="7"/>
  </w:num>
  <w:num w:numId="2" w16cid:durableId="1822035452">
    <w:abstractNumId w:val="8"/>
  </w:num>
  <w:num w:numId="3" w16cid:durableId="983194441">
    <w:abstractNumId w:val="23"/>
  </w:num>
  <w:num w:numId="4" w16cid:durableId="1162504377">
    <w:abstractNumId w:val="7"/>
  </w:num>
  <w:num w:numId="5" w16cid:durableId="1160577735">
    <w:abstractNumId w:val="9"/>
  </w:num>
  <w:num w:numId="6" w16cid:durableId="1000308326">
    <w:abstractNumId w:val="22"/>
  </w:num>
  <w:num w:numId="7" w16cid:durableId="862203636">
    <w:abstractNumId w:val="17"/>
  </w:num>
  <w:num w:numId="8" w16cid:durableId="1143891595">
    <w:abstractNumId w:val="20"/>
  </w:num>
  <w:num w:numId="9" w16cid:durableId="1574702499">
    <w:abstractNumId w:val="18"/>
  </w:num>
  <w:num w:numId="10" w16cid:durableId="1017000431">
    <w:abstractNumId w:val="27"/>
  </w:num>
  <w:num w:numId="11" w16cid:durableId="1269703945">
    <w:abstractNumId w:val="13"/>
  </w:num>
  <w:num w:numId="12" w16cid:durableId="380639940">
    <w:abstractNumId w:val="2"/>
  </w:num>
  <w:num w:numId="13" w16cid:durableId="208880985">
    <w:abstractNumId w:val="0"/>
  </w:num>
  <w:num w:numId="14" w16cid:durableId="1937522073">
    <w:abstractNumId w:val="6"/>
  </w:num>
  <w:num w:numId="15" w16cid:durableId="997881599">
    <w:abstractNumId w:val="26"/>
  </w:num>
  <w:num w:numId="16" w16cid:durableId="1911425131">
    <w:abstractNumId w:val="4"/>
  </w:num>
  <w:num w:numId="17" w16cid:durableId="2118527408">
    <w:abstractNumId w:val="1"/>
  </w:num>
  <w:num w:numId="18" w16cid:durableId="1886403597">
    <w:abstractNumId w:val="25"/>
  </w:num>
  <w:num w:numId="19" w16cid:durableId="76024634">
    <w:abstractNumId w:val="11"/>
  </w:num>
  <w:num w:numId="20" w16cid:durableId="699550202">
    <w:abstractNumId w:val="12"/>
  </w:num>
  <w:num w:numId="21" w16cid:durableId="609514783">
    <w:abstractNumId w:val="21"/>
  </w:num>
  <w:num w:numId="22" w16cid:durableId="55277851">
    <w:abstractNumId w:val="16"/>
  </w:num>
  <w:num w:numId="23" w16cid:durableId="1016738272">
    <w:abstractNumId w:val="10"/>
  </w:num>
  <w:num w:numId="24" w16cid:durableId="1233932483">
    <w:abstractNumId w:val="3"/>
  </w:num>
  <w:num w:numId="25" w16cid:durableId="1284652291">
    <w:abstractNumId w:val="24"/>
  </w:num>
  <w:num w:numId="26" w16cid:durableId="939336370">
    <w:abstractNumId w:val="15"/>
  </w:num>
  <w:num w:numId="27" w16cid:durableId="728724071">
    <w:abstractNumId w:val="5"/>
  </w:num>
  <w:num w:numId="28" w16cid:durableId="942036684">
    <w:abstractNumId w:val="19"/>
  </w:num>
  <w:num w:numId="29" w16cid:durableId="1254626827">
    <w:abstractNumId w:val="14"/>
  </w:num>
  <w:numIdMacAtCleanup w:val="2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hideSpelling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roncladData" w:val="1|d9cdeca529fec34d31d599cefaceaea4|e3a12e410b22c76fae4fe99d73f13b4a407c5e8f130688c7e4450feba7149c6de4e7ba57a2281e24997f68fcc7268545f4333b78eb1ceda72a731cd1b91f58138f28afc9a98be0393e3caff1b6e055deddbad3f5babfb1ba51404d45a2a91cea7f22e677f371431898ad37cd787eb5b0b9b48441f1531f5bf9938fc7d4c07ec0a0393759e7c340c517c8f3f903072602d12eed9551f4d61bdfb3d60831e6d749"/>
  </w:docVars>
  <w:rsids>
    <w:rsidRoot w:val="00F061FF"/>
    <w:rsid w:val="00000157"/>
    <w:rsid w:val="00002243"/>
    <w:rsid w:val="00020210"/>
    <w:rsid w:val="00021F36"/>
    <w:rsid w:val="00025E13"/>
    <w:rsid w:val="0002675B"/>
    <w:rsid w:val="000276E3"/>
    <w:rsid w:val="000400EA"/>
    <w:rsid w:val="00053019"/>
    <w:rsid w:val="000531E4"/>
    <w:rsid w:val="00063CB5"/>
    <w:rsid w:val="00067D24"/>
    <w:rsid w:val="0007106E"/>
    <w:rsid w:val="0007368C"/>
    <w:rsid w:val="0007760A"/>
    <w:rsid w:val="000805BE"/>
    <w:rsid w:val="00085274"/>
    <w:rsid w:val="00087772"/>
    <w:rsid w:val="00093C50"/>
    <w:rsid w:val="00094603"/>
    <w:rsid w:val="000A1191"/>
    <w:rsid w:val="000A2D89"/>
    <w:rsid w:val="000A54A3"/>
    <w:rsid w:val="000A6E54"/>
    <w:rsid w:val="000C297E"/>
    <w:rsid w:val="000C3A9D"/>
    <w:rsid w:val="000D0B67"/>
    <w:rsid w:val="000E6B01"/>
    <w:rsid w:val="000E7F33"/>
    <w:rsid w:val="000F021E"/>
    <w:rsid w:val="000F36C7"/>
    <w:rsid w:val="000F418A"/>
    <w:rsid w:val="00101A87"/>
    <w:rsid w:val="00124F3C"/>
    <w:rsid w:val="00125BB8"/>
    <w:rsid w:val="00130724"/>
    <w:rsid w:val="00133E15"/>
    <w:rsid w:val="00147214"/>
    <w:rsid w:val="00152A2E"/>
    <w:rsid w:val="00160BA4"/>
    <w:rsid w:val="00161621"/>
    <w:rsid w:val="00161D87"/>
    <w:rsid w:val="00164B1D"/>
    <w:rsid w:val="0017125E"/>
    <w:rsid w:val="00175C1B"/>
    <w:rsid w:val="001824D1"/>
    <w:rsid w:val="0019147B"/>
    <w:rsid w:val="00191F47"/>
    <w:rsid w:val="001946F9"/>
    <w:rsid w:val="001B6481"/>
    <w:rsid w:val="001C2DE4"/>
    <w:rsid w:val="001D1CC4"/>
    <w:rsid w:val="001D49DB"/>
    <w:rsid w:val="001D6E5B"/>
    <w:rsid w:val="001F0A33"/>
    <w:rsid w:val="001F3C51"/>
    <w:rsid w:val="00205E25"/>
    <w:rsid w:val="00211257"/>
    <w:rsid w:val="00211A34"/>
    <w:rsid w:val="00232D7F"/>
    <w:rsid w:val="0023664F"/>
    <w:rsid w:val="00242AA9"/>
    <w:rsid w:val="00244EC0"/>
    <w:rsid w:val="002451A6"/>
    <w:rsid w:val="00250A8C"/>
    <w:rsid w:val="002572D7"/>
    <w:rsid w:val="00260D36"/>
    <w:rsid w:val="002679C9"/>
    <w:rsid w:val="002A3DF9"/>
    <w:rsid w:val="002B2190"/>
    <w:rsid w:val="002B6949"/>
    <w:rsid w:val="002C4614"/>
    <w:rsid w:val="002C5EDB"/>
    <w:rsid w:val="002F5663"/>
    <w:rsid w:val="002F5B82"/>
    <w:rsid w:val="00300032"/>
    <w:rsid w:val="0030184A"/>
    <w:rsid w:val="00305768"/>
    <w:rsid w:val="003234D6"/>
    <w:rsid w:val="00324492"/>
    <w:rsid w:val="00327AFF"/>
    <w:rsid w:val="003359A0"/>
    <w:rsid w:val="00346AE3"/>
    <w:rsid w:val="00351BBC"/>
    <w:rsid w:val="0035674C"/>
    <w:rsid w:val="00361680"/>
    <w:rsid w:val="00366AD8"/>
    <w:rsid w:val="00370614"/>
    <w:rsid w:val="00371573"/>
    <w:rsid w:val="003736A0"/>
    <w:rsid w:val="00373A2E"/>
    <w:rsid w:val="00374CFD"/>
    <w:rsid w:val="00376799"/>
    <w:rsid w:val="00391A67"/>
    <w:rsid w:val="00395668"/>
    <w:rsid w:val="003A1E59"/>
    <w:rsid w:val="003A6661"/>
    <w:rsid w:val="003B42F3"/>
    <w:rsid w:val="003B7183"/>
    <w:rsid w:val="003D6FAC"/>
    <w:rsid w:val="00401409"/>
    <w:rsid w:val="004514AF"/>
    <w:rsid w:val="0045407A"/>
    <w:rsid w:val="0046069D"/>
    <w:rsid w:val="00467B07"/>
    <w:rsid w:val="00476BB6"/>
    <w:rsid w:val="00477C7B"/>
    <w:rsid w:val="00485F7D"/>
    <w:rsid w:val="004A78DC"/>
    <w:rsid w:val="004A7D38"/>
    <w:rsid w:val="004B70E5"/>
    <w:rsid w:val="004C4900"/>
    <w:rsid w:val="004C5E56"/>
    <w:rsid w:val="004D14D4"/>
    <w:rsid w:val="004D3402"/>
    <w:rsid w:val="004D520B"/>
    <w:rsid w:val="004D5709"/>
    <w:rsid w:val="004E2B00"/>
    <w:rsid w:val="004E7780"/>
    <w:rsid w:val="004F0B53"/>
    <w:rsid w:val="0050473E"/>
    <w:rsid w:val="005058E6"/>
    <w:rsid w:val="005066AE"/>
    <w:rsid w:val="00512C77"/>
    <w:rsid w:val="00513CC2"/>
    <w:rsid w:val="00517F99"/>
    <w:rsid w:val="005230C4"/>
    <w:rsid w:val="00524A05"/>
    <w:rsid w:val="00535929"/>
    <w:rsid w:val="00543B62"/>
    <w:rsid w:val="00553256"/>
    <w:rsid w:val="005532BE"/>
    <w:rsid w:val="005668C1"/>
    <w:rsid w:val="00584904"/>
    <w:rsid w:val="00592F69"/>
    <w:rsid w:val="00596DC5"/>
    <w:rsid w:val="005A524E"/>
    <w:rsid w:val="005B3128"/>
    <w:rsid w:val="005C5A68"/>
    <w:rsid w:val="005C6B94"/>
    <w:rsid w:val="005C6F1B"/>
    <w:rsid w:val="005D2128"/>
    <w:rsid w:val="005D78C8"/>
    <w:rsid w:val="005E0E67"/>
    <w:rsid w:val="005F08C7"/>
    <w:rsid w:val="005F5BE9"/>
    <w:rsid w:val="005F6ADC"/>
    <w:rsid w:val="00611487"/>
    <w:rsid w:val="00623679"/>
    <w:rsid w:val="00635699"/>
    <w:rsid w:val="00635A58"/>
    <w:rsid w:val="0063762E"/>
    <w:rsid w:val="0064439D"/>
    <w:rsid w:val="00646A5B"/>
    <w:rsid w:val="00653862"/>
    <w:rsid w:val="00657F91"/>
    <w:rsid w:val="00661908"/>
    <w:rsid w:val="00664522"/>
    <w:rsid w:val="00686B55"/>
    <w:rsid w:val="006922C9"/>
    <w:rsid w:val="006922F5"/>
    <w:rsid w:val="006934B5"/>
    <w:rsid w:val="0069648D"/>
    <w:rsid w:val="00696B3C"/>
    <w:rsid w:val="00697230"/>
    <w:rsid w:val="006A7F6E"/>
    <w:rsid w:val="006B0AD8"/>
    <w:rsid w:val="006B50FC"/>
    <w:rsid w:val="006B5865"/>
    <w:rsid w:val="006C37DE"/>
    <w:rsid w:val="006C5C51"/>
    <w:rsid w:val="006C75C9"/>
    <w:rsid w:val="006E5535"/>
    <w:rsid w:val="006F1D0E"/>
    <w:rsid w:val="006F275C"/>
    <w:rsid w:val="006F5663"/>
    <w:rsid w:val="006F5EA0"/>
    <w:rsid w:val="00732FD1"/>
    <w:rsid w:val="00736AFD"/>
    <w:rsid w:val="00744142"/>
    <w:rsid w:val="0074467B"/>
    <w:rsid w:val="00746540"/>
    <w:rsid w:val="00753BE8"/>
    <w:rsid w:val="00754553"/>
    <w:rsid w:val="00755B8C"/>
    <w:rsid w:val="00757155"/>
    <w:rsid w:val="0076561B"/>
    <w:rsid w:val="00771BCA"/>
    <w:rsid w:val="00782A26"/>
    <w:rsid w:val="00782F79"/>
    <w:rsid w:val="00792515"/>
    <w:rsid w:val="00794385"/>
    <w:rsid w:val="007B6C08"/>
    <w:rsid w:val="007B6D65"/>
    <w:rsid w:val="007C08DF"/>
    <w:rsid w:val="007C2DB7"/>
    <w:rsid w:val="007C3B27"/>
    <w:rsid w:val="007D1EA1"/>
    <w:rsid w:val="007D3ECF"/>
    <w:rsid w:val="007D4E18"/>
    <w:rsid w:val="007D7453"/>
    <w:rsid w:val="007E0228"/>
    <w:rsid w:val="007E363F"/>
    <w:rsid w:val="007E4B57"/>
    <w:rsid w:val="007E5524"/>
    <w:rsid w:val="007F4106"/>
    <w:rsid w:val="007F439F"/>
    <w:rsid w:val="007F7CC7"/>
    <w:rsid w:val="0081038D"/>
    <w:rsid w:val="00816818"/>
    <w:rsid w:val="00820332"/>
    <w:rsid w:val="00861092"/>
    <w:rsid w:val="00866EB3"/>
    <w:rsid w:val="008740FD"/>
    <w:rsid w:val="00874700"/>
    <w:rsid w:val="00875FB9"/>
    <w:rsid w:val="0087799E"/>
    <w:rsid w:val="008851CF"/>
    <w:rsid w:val="00887A64"/>
    <w:rsid w:val="0089154F"/>
    <w:rsid w:val="00894565"/>
    <w:rsid w:val="008972F5"/>
    <w:rsid w:val="008A435B"/>
    <w:rsid w:val="008B0B89"/>
    <w:rsid w:val="008C201D"/>
    <w:rsid w:val="008C5526"/>
    <w:rsid w:val="008D2E0E"/>
    <w:rsid w:val="008D3A7A"/>
    <w:rsid w:val="008E14CE"/>
    <w:rsid w:val="008F03DE"/>
    <w:rsid w:val="008F3056"/>
    <w:rsid w:val="008F6533"/>
    <w:rsid w:val="008F6771"/>
    <w:rsid w:val="00906CA3"/>
    <w:rsid w:val="0091226D"/>
    <w:rsid w:val="009168F1"/>
    <w:rsid w:val="00927F80"/>
    <w:rsid w:val="009326CF"/>
    <w:rsid w:val="00941F9C"/>
    <w:rsid w:val="009533DD"/>
    <w:rsid w:val="00955F65"/>
    <w:rsid w:val="00970738"/>
    <w:rsid w:val="00973F29"/>
    <w:rsid w:val="00992743"/>
    <w:rsid w:val="00992E45"/>
    <w:rsid w:val="009A5583"/>
    <w:rsid w:val="009B18AE"/>
    <w:rsid w:val="009D5DB5"/>
    <w:rsid w:val="009E0E9D"/>
    <w:rsid w:val="009E70E9"/>
    <w:rsid w:val="009F18CD"/>
    <w:rsid w:val="009F33E6"/>
    <w:rsid w:val="00A00FE5"/>
    <w:rsid w:val="00A0139E"/>
    <w:rsid w:val="00A272EE"/>
    <w:rsid w:val="00A60094"/>
    <w:rsid w:val="00A63D94"/>
    <w:rsid w:val="00A6407D"/>
    <w:rsid w:val="00A81C91"/>
    <w:rsid w:val="00A826A8"/>
    <w:rsid w:val="00A82ECA"/>
    <w:rsid w:val="00A8307F"/>
    <w:rsid w:val="00A832E7"/>
    <w:rsid w:val="00A853F8"/>
    <w:rsid w:val="00A9466F"/>
    <w:rsid w:val="00AC52B4"/>
    <w:rsid w:val="00AC54A6"/>
    <w:rsid w:val="00AD16A8"/>
    <w:rsid w:val="00AD4968"/>
    <w:rsid w:val="00AD5281"/>
    <w:rsid w:val="00AD5DAC"/>
    <w:rsid w:val="00AD78AA"/>
    <w:rsid w:val="00AE2044"/>
    <w:rsid w:val="00AE3C29"/>
    <w:rsid w:val="00AE500E"/>
    <w:rsid w:val="00B1254E"/>
    <w:rsid w:val="00B14136"/>
    <w:rsid w:val="00B14F21"/>
    <w:rsid w:val="00B31A4D"/>
    <w:rsid w:val="00B346E2"/>
    <w:rsid w:val="00B37A92"/>
    <w:rsid w:val="00B37F5C"/>
    <w:rsid w:val="00B5523B"/>
    <w:rsid w:val="00B562A7"/>
    <w:rsid w:val="00B5703C"/>
    <w:rsid w:val="00B641F7"/>
    <w:rsid w:val="00B64536"/>
    <w:rsid w:val="00B65E5D"/>
    <w:rsid w:val="00B717CA"/>
    <w:rsid w:val="00B8094F"/>
    <w:rsid w:val="00B87E81"/>
    <w:rsid w:val="00B90C50"/>
    <w:rsid w:val="00B973E7"/>
    <w:rsid w:val="00BA4BA2"/>
    <w:rsid w:val="00BA73E8"/>
    <w:rsid w:val="00BB4E30"/>
    <w:rsid w:val="00BD0418"/>
    <w:rsid w:val="00BE0672"/>
    <w:rsid w:val="00BE2B19"/>
    <w:rsid w:val="00BE55DA"/>
    <w:rsid w:val="00BE73D1"/>
    <w:rsid w:val="00BE7A6E"/>
    <w:rsid w:val="00BE7BEE"/>
    <w:rsid w:val="00C03423"/>
    <w:rsid w:val="00C13776"/>
    <w:rsid w:val="00C14657"/>
    <w:rsid w:val="00C1600C"/>
    <w:rsid w:val="00C16943"/>
    <w:rsid w:val="00C16E68"/>
    <w:rsid w:val="00C2059B"/>
    <w:rsid w:val="00C26FC9"/>
    <w:rsid w:val="00C36692"/>
    <w:rsid w:val="00C373AB"/>
    <w:rsid w:val="00C44CC8"/>
    <w:rsid w:val="00C61B31"/>
    <w:rsid w:val="00C62B7E"/>
    <w:rsid w:val="00C647E7"/>
    <w:rsid w:val="00C72578"/>
    <w:rsid w:val="00C7548C"/>
    <w:rsid w:val="00C82F65"/>
    <w:rsid w:val="00CA0DF9"/>
    <w:rsid w:val="00CA1BAE"/>
    <w:rsid w:val="00CA633A"/>
    <w:rsid w:val="00CC0309"/>
    <w:rsid w:val="00CC07C6"/>
    <w:rsid w:val="00CC202E"/>
    <w:rsid w:val="00CD48CA"/>
    <w:rsid w:val="00CD4CD2"/>
    <w:rsid w:val="00CE1CC4"/>
    <w:rsid w:val="00CF1257"/>
    <w:rsid w:val="00CF7CE4"/>
    <w:rsid w:val="00D03711"/>
    <w:rsid w:val="00D04036"/>
    <w:rsid w:val="00D12C29"/>
    <w:rsid w:val="00D161F2"/>
    <w:rsid w:val="00D16D20"/>
    <w:rsid w:val="00D23111"/>
    <w:rsid w:val="00D2430E"/>
    <w:rsid w:val="00D25D44"/>
    <w:rsid w:val="00D27185"/>
    <w:rsid w:val="00D4494D"/>
    <w:rsid w:val="00D64FDE"/>
    <w:rsid w:val="00D654D7"/>
    <w:rsid w:val="00D756AE"/>
    <w:rsid w:val="00D818A8"/>
    <w:rsid w:val="00D833B0"/>
    <w:rsid w:val="00D84157"/>
    <w:rsid w:val="00D9083E"/>
    <w:rsid w:val="00DA10E5"/>
    <w:rsid w:val="00DA239C"/>
    <w:rsid w:val="00DA2D1A"/>
    <w:rsid w:val="00DA59C2"/>
    <w:rsid w:val="00DB24C3"/>
    <w:rsid w:val="00DB5116"/>
    <w:rsid w:val="00DC53AC"/>
    <w:rsid w:val="00DC5740"/>
    <w:rsid w:val="00DC7504"/>
    <w:rsid w:val="00DD0408"/>
    <w:rsid w:val="00DD232B"/>
    <w:rsid w:val="00DD4563"/>
    <w:rsid w:val="00DD6378"/>
    <w:rsid w:val="00DD7C7D"/>
    <w:rsid w:val="00DE6E42"/>
    <w:rsid w:val="00DF3C3E"/>
    <w:rsid w:val="00E019E4"/>
    <w:rsid w:val="00E05B7A"/>
    <w:rsid w:val="00E13291"/>
    <w:rsid w:val="00E1428B"/>
    <w:rsid w:val="00E25D65"/>
    <w:rsid w:val="00E34416"/>
    <w:rsid w:val="00E3662C"/>
    <w:rsid w:val="00E454B5"/>
    <w:rsid w:val="00E45612"/>
    <w:rsid w:val="00E53217"/>
    <w:rsid w:val="00E57AE4"/>
    <w:rsid w:val="00E60170"/>
    <w:rsid w:val="00E635C6"/>
    <w:rsid w:val="00E72034"/>
    <w:rsid w:val="00E76C58"/>
    <w:rsid w:val="00E85BCB"/>
    <w:rsid w:val="00E85FBA"/>
    <w:rsid w:val="00E93DD4"/>
    <w:rsid w:val="00EA06FD"/>
    <w:rsid w:val="00EB275F"/>
    <w:rsid w:val="00EB55D7"/>
    <w:rsid w:val="00EB7FD5"/>
    <w:rsid w:val="00ED2D2E"/>
    <w:rsid w:val="00EE0FF0"/>
    <w:rsid w:val="00EE1DCD"/>
    <w:rsid w:val="00EE30EA"/>
    <w:rsid w:val="00EE550E"/>
    <w:rsid w:val="00EF64BF"/>
    <w:rsid w:val="00F00E5A"/>
    <w:rsid w:val="00F02A17"/>
    <w:rsid w:val="00F02CA9"/>
    <w:rsid w:val="00F049A7"/>
    <w:rsid w:val="00F05F7C"/>
    <w:rsid w:val="00F061FF"/>
    <w:rsid w:val="00F07670"/>
    <w:rsid w:val="00F079EC"/>
    <w:rsid w:val="00F1332A"/>
    <w:rsid w:val="00F20E46"/>
    <w:rsid w:val="00F30612"/>
    <w:rsid w:val="00F3067A"/>
    <w:rsid w:val="00F313CC"/>
    <w:rsid w:val="00F403FF"/>
    <w:rsid w:val="00F40E04"/>
    <w:rsid w:val="00F41094"/>
    <w:rsid w:val="00F410AE"/>
    <w:rsid w:val="00F44FA1"/>
    <w:rsid w:val="00F50343"/>
    <w:rsid w:val="00F5261B"/>
    <w:rsid w:val="00F62B4C"/>
    <w:rsid w:val="00F7280E"/>
    <w:rsid w:val="00F761D4"/>
    <w:rsid w:val="00F82FA2"/>
    <w:rsid w:val="00F95E51"/>
    <w:rsid w:val="00FA4FC2"/>
    <w:rsid w:val="00FB4F6B"/>
    <w:rsid w:val="00FB7061"/>
    <w:rsid w:val="00FC3FDA"/>
    <w:rsid w:val="00FD6F7D"/>
    <w:rsid w:val="00FE1EC4"/>
    <w:rsid w:val="00FE23AA"/>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33156"/>
  <w15:chartTrackingRefBased/>
  <w15:docId w15:val="{F908BB02-17E7-42A1-AFE1-16D9AB72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D89"/>
    <w:pPr>
      <w:ind w:left="709"/>
    </w:pPr>
    <w:rPr>
      <w:rFonts w:ascii="Arial" w:hAnsi="Arial" w:cs="Arial"/>
      <w:sz w:val="18"/>
    </w:rPr>
  </w:style>
  <w:style w:type="paragraph" w:styleId="Ttulo1">
    <w:name w:val="heading 1"/>
    <w:aliases w:val="H1,Header1"/>
    <w:basedOn w:val="PargrafodaLista"/>
    <w:next w:val="Normal"/>
    <w:link w:val="Ttulo1Char"/>
    <w:uiPriority w:val="9"/>
    <w:qFormat/>
    <w:rsid w:val="0046069D"/>
    <w:pPr>
      <w:numPr>
        <w:numId w:val="1"/>
      </w:numPr>
      <w:spacing w:before="240" w:after="0" w:line="240" w:lineRule="auto"/>
      <w:jc w:val="both"/>
      <w:outlineLvl w:val="0"/>
    </w:pPr>
    <w:rPr>
      <w:b/>
      <w:color w:val="00B0F0"/>
      <w:sz w:val="32"/>
    </w:rPr>
  </w:style>
  <w:style w:type="paragraph" w:styleId="Ttulo2">
    <w:name w:val="heading 2"/>
    <w:aliases w:val="H2,Level 2,Header2,h2,A,Header 2,l2,Level 2 Head,heading 2,lBody Text + Not Bold,G- Heading 2,Heading 21,h2w"/>
    <w:basedOn w:val="PargrafodaLista"/>
    <w:next w:val="Normal"/>
    <w:link w:val="Ttulo2Char"/>
    <w:uiPriority w:val="9"/>
    <w:unhideWhenUsed/>
    <w:qFormat/>
    <w:rsid w:val="0046069D"/>
    <w:pPr>
      <w:numPr>
        <w:ilvl w:val="1"/>
        <w:numId w:val="1"/>
      </w:numPr>
      <w:spacing w:before="240" w:after="0" w:line="240" w:lineRule="auto"/>
      <w:jc w:val="both"/>
      <w:outlineLvl w:val="1"/>
    </w:pPr>
    <w:rPr>
      <w:b/>
      <w:color w:val="1F4E79" w:themeColor="accent1" w:themeShade="80"/>
      <w:sz w:val="20"/>
    </w:rPr>
  </w:style>
  <w:style w:type="paragraph" w:styleId="Ttulo3">
    <w:name w:val="heading 3"/>
    <w:aliases w:val="H3,Level 3,Header3"/>
    <w:basedOn w:val="PargrafodaLista"/>
    <w:next w:val="Normal"/>
    <w:link w:val="Ttulo3Char"/>
    <w:uiPriority w:val="99"/>
    <w:unhideWhenUsed/>
    <w:qFormat/>
    <w:rsid w:val="007E5524"/>
    <w:pPr>
      <w:numPr>
        <w:ilvl w:val="2"/>
        <w:numId w:val="1"/>
      </w:numPr>
      <w:spacing w:after="120" w:line="240" w:lineRule="auto"/>
      <w:contextualSpacing w:val="0"/>
      <w:outlineLvl w:val="2"/>
    </w:pPr>
  </w:style>
  <w:style w:type="paragraph" w:styleId="Ttulo4">
    <w:name w:val="heading 4"/>
    <w:aliases w:val="H4,Header4,G- Heading 4"/>
    <w:basedOn w:val="Normal"/>
    <w:next w:val="Normal"/>
    <w:link w:val="Ttulo4Char"/>
    <w:uiPriority w:val="9"/>
    <w:unhideWhenUsed/>
    <w:qFormat/>
    <w:rsid w:val="004514AF"/>
    <w:pPr>
      <w:keepNext/>
      <w:keepLines/>
      <w:numPr>
        <w:ilvl w:val="3"/>
        <w:numId w:val="1"/>
      </w:numPr>
      <w:tabs>
        <w:tab w:val="num" w:pos="2880"/>
      </w:tabs>
      <w:spacing w:before="200" w:after="0" w:line="240" w:lineRule="auto"/>
      <w:ind w:left="2880" w:hanging="720"/>
      <w:jc w:val="both"/>
      <w:outlineLvl w:val="3"/>
    </w:pPr>
    <w:rPr>
      <w:rFonts w:eastAsia="Arial" w:cstheme="majorBidi"/>
      <w:b/>
      <w:iCs/>
      <w:color w:val="000000" w:themeColor="text1"/>
    </w:rPr>
  </w:style>
  <w:style w:type="paragraph" w:styleId="Ttulo5">
    <w:name w:val="heading 5"/>
    <w:aliases w:val="Header5"/>
    <w:basedOn w:val="Normal"/>
    <w:next w:val="Normal"/>
    <w:link w:val="Ttulo5Char"/>
    <w:uiPriority w:val="9"/>
    <w:unhideWhenUsed/>
    <w:qFormat/>
    <w:rsid w:val="00395668"/>
    <w:pPr>
      <w:keepNext/>
      <w:keepLines/>
      <w:numPr>
        <w:ilvl w:val="4"/>
        <w:numId w:val="1"/>
      </w:numPr>
      <w:spacing w:before="200" w:after="0" w:line="240" w:lineRule="auto"/>
      <w:jc w:val="both"/>
      <w:outlineLvl w:val="4"/>
    </w:pPr>
    <w:rPr>
      <w:rFonts w:eastAsiaTheme="majorEastAsia" w:cstheme="majorBidi"/>
      <w:b/>
      <w:szCs w:val="20"/>
    </w:rPr>
  </w:style>
  <w:style w:type="paragraph" w:styleId="Ttulo6">
    <w:name w:val="heading 6"/>
    <w:basedOn w:val="Normal"/>
    <w:next w:val="Normal"/>
    <w:link w:val="Ttulo6Char"/>
    <w:uiPriority w:val="9"/>
    <w:unhideWhenUsed/>
    <w:qFormat/>
    <w:rsid w:val="00794385"/>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4514AF"/>
    <w:pPr>
      <w:keepNext/>
      <w:keepLines/>
      <w:numPr>
        <w:ilvl w:val="6"/>
        <w:numId w:val="1"/>
      </w:numPr>
      <w:tabs>
        <w:tab w:val="num" w:pos="5040"/>
      </w:tabs>
      <w:spacing w:before="40" w:after="120" w:line="276" w:lineRule="auto"/>
      <w:ind w:left="5040" w:hanging="720"/>
      <w:jc w:val="both"/>
      <w:outlineLvl w:val="6"/>
    </w:pPr>
    <w:rPr>
      <w:rFonts w:asciiTheme="majorHAnsi" w:eastAsiaTheme="majorEastAsia" w:hAnsiTheme="majorHAnsi" w:cstheme="majorBidi"/>
      <w:i/>
      <w:iCs/>
      <w:color w:val="1F4D78" w:themeColor="accent1" w:themeShade="7F"/>
      <w:szCs w:val="20"/>
    </w:rPr>
  </w:style>
  <w:style w:type="paragraph" w:styleId="Ttulo8">
    <w:name w:val="heading 8"/>
    <w:basedOn w:val="Normal"/>
    <w:next w:val="Normal"/>
    <w:link w:val="Ttulo8Char"/>
    <w:uiPriority w:val="9"/>
    <w:semiHidden/>
    <w:unhideWhenUsed/>
    <w:qFormat/>
    <w:rsid w:val="004514AF"/>
    <w:pPr>
      <w:keepNext/>
      <w:keepLines/>
      <w:numPr>
        <w:ilvl w:val="7"/>
        <w:numId w:val="1"/>
      </w:numPr>
      <w:tabs>
        <w:tab w:val="num" w:pos="5760"/>
      </w:tabs>
      <w:spacing w:before="40" w:after="120" w:line="276" w:lineRule="auto"/>
      <w:ind w:left="5760" w:hanging="720"/>
      <w:jc w:val="both"/>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unhideWhenUsed/>
    <w:rsid w:val="004514AF"/>
    <w:pPr>
      <w:keepNext/>
      <w:keepLines/>
      <w:numPr>
        <w:ilvl w:val="8"/>
        <w:numId w:val="1"/>
      </w:numPr>
      <w:tabs>
        <w:tab w:val="num" w:pos="6480"/>
      </w:tabs>
      <w:spacing w:before="40" w:after="120" w:line="276" w:lineRule="auto"/>
      <w:ind w:left="6480" w:hanging="720"/>
      <w:jc w:val="both"/>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020210"/>
    <w:rPr>
      <w:sz w:val="16"/>
      <w:szCs w:val="16"/>
    </w:rPr>
  </w:style>
  <w:style w:type="paragraph" w:styleId="Textodecomentrio">
    <w:name w:val="annotation text"/>
    <w:basedOn w:val="Normal"/>
    <w:link w:val="TextodecomentrioChar"/>
  </w:style>
  <w:style w:type="character" w:customStyle="1" w:styleId="TextodecomentrioChar">
    <w:name w:val="Texto de comentário Char"/>
    <w:basedOn w:val="Fontepargpadro"/>
    <w:link w:val="Textodecomentrio"/>
    <w:uiPriority w:val="99"/>
    <w:rsid w:val="00020210"/>
    <w:rPr>
      <w:rFonts w:ascii="Arial" w:hAnsi="Arial"/>
      <w:sz w:val="18"/>
      <w:szCs w:val="20"/>
    </w:rPr>
  </w:style>
  <w:style w:type="paragraph" w:styleId="Textodebalo">
    <w:name w:val="Balloon Text"/>
    <w:basedOn w:val="Normal"/>
    <w:link w:val="TextodebaloChar"/>
    <w:uiPriority w:val="99"/>
    <w:semiHidden/>
    <w:unhideWhenUsed/>
    <w:rsid w:val="00020210"/>
    <w:pPr>
      <w:spacing w:after="0" w:line="240" w:lineRule="auto"/>
    </w:pPr>
    <w:rPr>
      <w:rFonts w:ascii="Segoe UI" w:hAnsi="Segoe UI" w:cs="Segoe UI"/>
      <w:szCs w:val="18"/>
    </w:rPr>
  </w:style>
  <w:style w:type="character" w:customStyle="1" w:styleId="TextodebaloChar">
    <w:name w:val="Texto de balão Char"/>
    <w:basedOn w:val="Fontepargpadro"/>
    <w:link w:val="Textodebalo"/>
    <w:uiPriority w:val="99"/>
    <w:semiHidden/>
    <w:rsid w:val="00020210"/>
    <w:rPr>
      <w:rFonts w:ascii="Segoe UI" w:hAnsi="Segoe UI" w:cs="Segoe UI"/>
      <w:sz w:val="18"/>
      <w:szCs w:val="18"/>
    </w:rPr>
  </w:style>
  <w:style w:type="paragraph" w:styleId="PargrafodaLista">
    <w:name w:val="List Paragraph"/>
    <w:aliases w:val="Bullet List"/>
    <w:basedOn w:val="Normal"/>
    <w:link w:val="PargrafodaListaChar"/>
    <w:qFormat/>
    <w:rsid w:val="009A5583"/>
    <w:pPr>
      <w:ind w:left="720"/>
      <w:contextualSpacing/>
    </w:pPr>
  </w:style>
  <w:style w:type="table" w:styleId="Tabelacomgrade">
    <w:name w:val="Table Grid"/>
    <w:basedOn w:val="Tabelanormal"/>
    <w:uiPriority w:val="39"/>
    <w:rsid w:val="00395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har">
    <w:name w:val="Título 5 Char"/>
    <w:aliases w:val="Header5 Char"/>
    <w:basedOn w:val="Fontepargpadro"/>
    <w:link w:val="Ttulo5"/>
    <w:uiPriority w:val="9"/>
    <w:rsid w:val="00395668"/>
    <w:rPr>
      <w:rFonts w:ascii="Arial" w:eastAsiaTheme="majorEastAsia" w:hAnsi="Arial" w:cstheme="majorBidi"/>
      <w:b/>
      <w:sz w:val="18"/>
      <w:szCs w:val="20"/>
    </w:rPr>
  </w:style>
  <w:style w:type="character" w:customStyle="1" w:styleId="Ttulo2Char">
    <w:name w:val="Título 2 Char"/>
    <w:aliases w:val="H2 Char,Level 2 Char,Header2 Char,h2 Char,A Char,Header 2 Char,l2 Char,Level 2 Head Char,heading 2 Char,lBody Text + Not Bold Char,G- Heading 2 Char,Heading 21 Char,h2w Char"/>
    <w:basedOn w:val="Fontepargpadro"/>
    <w:link w:val="Ttulo2"/>
    <w:uiPriority w:val="9"/>
    <w:rsid w:val="0046069D"/>
    <w:rPr>
      <w:rFonts w:ascii="Arial" w:hAnsi="Arial" w:cs="Arial"/>
      <w:b/>
      <w:color w:val="1F4E79" w:themeColor="accent1" w:themeShade="80"/>
      <w:sz w:val="20"/>
    </w:rPr>
  </w:style>
  <w:style w:type="character" w:customStyle="1" w:styleId="Ttulo1Char">
    <w:name w:val="Título 1 Char"/>
    <w:aliases w:val="H1 Char,Header1 Char"/>
    <w:basedOn w:val="Fontepargpadro"/>
    <w:link w:val="Ttulo1"/>
    <w:uiPriority w:val="9"/>
    <w:rsid w:val="0046069D"/>
    <w:rPr>
      <w:rFonts w:ascii="Arial" w:hAnsi="Arial" w:cs="Arial"/>
      <w:b/>
      <w:color w:val="00B0F0"/>
      <w:sz w:val="32"/>
    </w:rPr>
  </w:style>
  <w:style w:type="character" w:customStyle="1" w:styleId="Ttulo3Char">
    <w:name w:val="Título 3 Char"/>
    <w:aliases w:val="H3 Char,Level 3 Char,Header3 Char"/>
    <w:basedOn w:val="Fontepargpadro"/>
    <w:link w:val="Ttulo3"/>
    <w:uiPriority w:val="99"/>
    <w:rsid w:val="007E5524"/>
    <w:rPr>
      <w:rFonts w:ascii="Arial" w:hAnsi="Arial" w:cs="Arial"/>
      <w:sz w:val="18"/>
    </w:rPr>
  </w:style>
  <w:style w:type="paragraph" w:styleId="Assuntodocomentrio">
    <w:name w:val="annotation subject"/>
    <w:basedOn w:val="Textodecomentrio"/>
    <w:next w:val="Textodecomentrio"/>
    <w:link w:val="AssuntodocomentrioChar"/>
    <w:uiPriority w:val="99"/>
    <w:semiHidden/>
    <w:unhideWhenUsed/>
    <w:rsid w:val="00992E45"/>
    <w:rPr>
      <w:rFonts w:asciiTheme="minorHAnsi" w:hAnsiTheme="minorHAnsi"/>
      <w:b/>
      <w:bCs/>
      <w:sz w:val="20"/>
    </w:rPr>
  </w:style>
  <w:style w:type="character" w:customStyle="1" w:styleId="AssuntodocomentrioChar">
    <w:name w:val="Assunto do comentário Char"/>
    <w:basedOn w:val="TextodecomentrioChar"/>
    <w:link w:val="Assuntodocomentrio"/>
    <w:uiPriority w:val="99"/>
    <w:semiHidden/>
    <w:rsid w:val="00992E45"/>
    <w:rPr>
      <w:rFonts w:ascii="Arial" w:hAnsi="Arial"/>
      <w:b/>
      <w:bCs/>
      <w:sz w:val="20"/>
      <w:szCs w:val="20"/>
    </w:rPr>
  </w:style>
  <w:style w:type="paragraph" w:styleId="Cabealho">
    <w:name w:val="header"/>
    <w:basedOn w:val="Normal"/>
    <w:link w:val="CabealhoChar"/>
    <w:uiPriority w:val="99"/>
    <w:unhideWhenUsed/>
    <w:rsid w:val="00B87E81"/>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B87E81"/>
    <w:rPr>
      <w:sz w:val="18"/>
    </w:rPr>
  </w:style>
  <w:style w:type="paragraph" w:styleId="Rodap">
    <w:name w:val="footer"/>
    <w:basedOn w:val="Normal"/>
    <w:link w:val="RodapChar"/>
    <w:uiPriority w:val="99"/>
    <w:unhideWhenUsed/>
    <w:rsid w:val="00B87E81"/>
    <w:pPr>
      <w:tabs>
        <w:tab w:val="center" w:pos="4680"/>
        <w:tab w:val="right" w:pos="9360"/>
      </w:tabs>
      <w:spacing w:after="0" w:line="240" w:lineRule="auto"/>
    </w:pPr>
  </w:style>
  <w:style w:type="character" w:customStyle="1" w:styleId="RodapChar">
    <w:name w:val="Rodapé Char"/>
    <w:basedOn w:val="Fontepargpadro"/>
    <w:link w:val="Rodap"/>
    <w:uiPriority w:val="99"/>
    <w:rsid w:val="00B87E81"/>
    <w:rPr>
      <w:sz w:val="18"/>
    </w:rPr>
  </w:style>
  <w:style w:type="character" w:styleId="Hyperlink">
    <w:name w:val="Hyperlink"/>
    <w:basedOn w:val="Fontepargpadro"/>
    <w:uiPriority w:val="99"/>
    <w:unhideWhenUsed/>
    <w:rsid w:val="00B87E81"/>
    <w:rPr>
      <w:color w:val="0563C1" w:themeColor="hyperlink"/>
      <w:u w:val="single"/>
    </w:rPr>
  </w:style>
  <w:style w:type="character" w:customStyle="1" w:styleId="PargrafodaListaChar">
    <w:name w:val="Parágrafo da Lista Char"/>
    <w:aliases w:val="Bullet List Char"/>
    <w:link w:val="PargrafodaLista"/>
    <w:rsid w:val="00D654D7"/>
    <w:rPr>
      <w:sz w:val="18"/>
    </w:rPr>
  </w:style>
  <w:style w:type="paragraph" w:customStyle="1" w:styleId="B1">
    <w:name w:val="B1"/>
    <w:basedOn w:val="PargrafodaLista"/>
    <w:qFormat/>
    <w:rsid w:val="00EB55D7"/>
    <w:pPr>
      <w:numPr>
        <w:ilvl w:val="2"/>
        <w:numId w:val="3"/>
      </w:numPr>
      <w:spacing w:after="0" w:line="240" w:lineRule="auto"/>
      <w:ind w:left="1225" w:hanging="374"/>
    </w:pPr>
    <w:rPr>
      <w:color w:val="000000"/>
      <w:szCs w:val="16"/>
    </w:rPr>
  </w:style>
  <w:style w:type="paragraph" w:customStyle="1" w:styleId="B2">
    <w:name w:val="B2"/>
    <w:basedOn w:val="PargrafodaLista"/>
    <w:qFormat/>
    <w:rsid w:val="00EB55D7"/>
    <w:pPr>
      <w:numPr>
        <w:ilvl w:val="3"/>
        <w:numId w:val="3"/>
      </w:numPr>
      <w:spacing w:after="0" w:line="240" w:lineRule="auto"/>
      <w:ind w:left="1985" w:hanging="312"/>
    </w:pPr>
  </w:style>
  <w:style w:type="paragraph" w:styleId="NormalWeb">
    <w:name w:val="Normal (Web)"/>
    <w:basedOn w:val="Normal"/>
    <w:uiPriority w:val="99"/>
    <w:unhideWhenUsed/>
    <w:rsid w:val="00D654D7"/>
    <w:pPr>
      <w:spacing w:before="100" w:beforeAutospacing="1" w:after="100" w:afterAutospacing="1" w:line="240" w:lineRule="auto"/>
    </w:pPr>
    <w:rPr>
      <w:rFonts w:ascii="Times New Roman" w:eastAsia="Times New Roman" w:hAnsi="Times New Roman" w:cs="Times New Roman"/>
      <w:sz w:val="24"/>
      <w:szCs w:val="24"/>
    </w:rPr>
  </w:style>
  <w:style w:type="paragraph" w:styleId="Reviso">
    <w:name w:val="Revision"/>
    <w:hidden/>
    <w:uiPriority w:val="99"/>
    <w:semiHidden/>
    <w:rsid w:val="00794385"/>
    <w:pPr>
      <w:spacing w:after="0" w:line="240" w:lineRule="auto"/>
    </w:pPr>
    <w:rPr>
      <w:sz w:val="18"/>
    </w:rPr>
  </w:style>
  <w:style w:type="character" w:customStyle="1" w:styleId="Ttulo6Char">
    <w:name w:val="Título 6 Char"/>
    <w:basedOn w:val="Fontepargpadro"/>
    <w:link w:val="Ttulo6"/>
    <w:uiPriority w:val="9"/>
    <w:rsid w:val="00794385"/>
    <w:rPr>
      <w:rFonts w:asciiTheme="majorHAnsi" w:eastAsiaTheme="majorEastAsia" w:hAnsiTheme="majorHAnsi" w:cstheme="majorBidi"/>
      <w:color w:val="1F4D78" w:themeColor="accent1" w:themeShade="7F"/>
      <w:sz w:val="18"/>
    </w:rPr>
  </w:style>
  <w:style w:type="character" w:customStyle="1" w:styleId="LegalTerm">
    <w:name w:val="Legal Term"/>
    <w:basedOn w:val="Fontepargpadro"/>
    <w:uiPriority w:val="1"/>
    <w:qFormat/>
    <w:rsid w:val="006C37DE"/>
    <w:rPr>
      <w:b/>
    </w:rPr>
  </w:style>
  <w:style w:type="paragraph" w:styleId="Pr-formataoHTML">
    <w:name w:val="HTML Preformatted"/>
    <w:basedOn w:val="Normal"/>
    <w:link w:val="Pr-formataoHTMLChar"/>
    <w:uiPriority w:val="99"/>
    <w:unhideWhenUsed/>
    <w:rsid w:val="009D5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rsid w:val="009D5DB5"/>
    <w:rPr>
      <w:rFonts w:ascii="Courier New" w:eastAsia="Times New Roman" w:hAnsi="Courier New" w:cs="Courier New"/>
      <w:sz w:val="20"/>
      <w:szCs w:val="20"/>
    </w:rPr>
  </w:style>
  <w:style w:type="character" w:customStyle="1" w:styleId="y2iqfc">
    <w:name w:val="y2iqfc"/>
    <w:basedOn w:val="Fontepargpadro"/>
    <w:rsid w:val="009D5DB5"/>
  </w:style>
  <w:style w:type="character" w:customStyle="1" w:styleId="Ttulo4Char">
    <w:name w:val="Título 4 Char"/>
    <w:aliases w:val="H4 Char,Header4 Char,G- Heading 4 Char"/>
    <w:basedOn w:val="Fontepargpadro"/>
    <w:link w:val="Ttulo4"/>
    <w:uiPriority w:val="9"/>
    <w:rsid w:val="004514AF"/>
    <w:rPr>
      <w:rFonts w:ascii="Arial" w:eastAsia="Arial" w:hAnsi="Arial" w:cstheme="majorBidi"/>
      <w:b/>
      <w:iCs/>
      <w:color w:val="000000" w:themeColor="text1"/>
      <w:sz w:val="18"/>
    </w:rPr>
  </w:style>
  <w:style w:type="character" w:customStyle="1" w:styleId="Ttulo7Char">
    <w:name w:val="Título 7 Char"/>
    <w:basedOn w:val="Fontepargpadro"/>
    <w:link w:val="Ttulo7"/>
    <w:uiPriority w:val="9"/>
    <w:semiHidden/>
    <w:rsid w:val="004514AF"/>
    <w:rPr>
      <w:rFonts w:asciiTheme="majorHAnsi" w:eastAsiaTheme="majorEastAsia" w:hAnsiTheme="majorHAnsi" w:cstheme="majorBidi"/>
      <w:i/>
      <w:iCs/>
      <w:color w:val="1F4D78" w:themeColor="accent1" w:themeShade="7F"/>
      <w:sz w:val="18"/>
      <w:szCs w:val="20"/>
    </w:rPr>
  </w:style>
  <w:style w:type="character" w:customStyle="1" w:styleId="Ttulo8Char">
    <w:name w:val="Título 8 Char"/>
    <w:basedOn w:val="Fontepargpadro"/>
    <w:link w:val="Ttulo8"/>
    <w:uiPriority w:val="9"/>
    <w:semiHidden/>
    <w:rsid w:val="004514AF"/>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rsid w:val="004514AF"/>
    <w:rPr>
      <w:rFonts w:asciiTheme="majorHAnsi" w:eastAsiaTheme="majorEastAsia" w:hAnsiTheme="majorHAnsi" w:cstheme="majorBidi"/>
      <w:i/>
      <w:iCs/>
      <w:color w:val="272727" w:themeColor="text1" w:themeTint="D8"/>
      <w:sz w:val="21"/>
      <w:szCs w:val="21"/>
    </w:rPr>
  </w:style>
  <w:style w:type="paragraph" w:customStyle="1" w:styleId="TableBody">
    <w:name w:val="Table Body"/>
    <w:basedOn w:val="Normal"/>
    <w:qFormat/>
    <w:rsid w:val="004514AF"/>
    <w:pPr>
      <w:spacing w:after="60" w:line="240" w:lineRule="auto"/>
      <w:ind w:left="0"/>
      <w:contextualSpacing/>
    </w:pPr>
    <w:rPr>
      <w:rFonts w:cstheme="minorBidi"/>
      <w:sz w:val="16"/>
      <w:szCs w:val="16"/>
      <w:lang w:eastAsia="ja-JP"/>
    </w:rPr>
  </w:style>
  <w:style w:type="paragraph" w:customStyle="1" w:styleId="TableHeader">
    <w:name w:val="Table Header"/>
    <w:basedOn w:val="Normal"/>
    <w:qFormat/>
    <w:rsid w:val="004514AF"/>
    <w:pPr>
      <w:spacing w:after="0" w:line="240" w:lineRule="auto"/>
      <w:ind w:left="0"/>
    </w:pPr>
    <w:rPr>
      <w:rFonts w:cstheme="minorBidi"/>
      <w:b/>
      <w:color w:val="F2F2F2" w:themeColor="background1" w:themeShade="F2"/>
      <w:szCs w:val="20"/>
      <w:lang w:val="en-AU" w:eastAsia="en-AU"/>
    </w:rPr>
  </w:style>
  <w:style w:type="numbering" w:customStyle="1" w:styleId="CurrentList1">
    <w:name w:val="Current List1"/>
    <w:uiPriority w:val="99"/>
    <w:rsid w:val="004514AF"/>
    <w:pPr>
      <w:numPr>
        <w:numId w:val="5"/>
      </w:numPr>
    </w:pPr>
  </w:style>
  <w:style w:type="numbering" w:customStyle="1" w:styleId="CurrentList2">
    <w:name w:val="Current List2"/>
    <w:uiPriority w:val="99"/>
    <w:rsid w:val="004514AF"/>
    <w:pPr>
      <w:numPr>
        <w:numId w:val="6"/>
      </w:numPr>
    </w:pPr>
  </w:style>
  <w:style w:type="paragraph" w:customStyle="1" w:styleId="2-LevelLegal5">
    <w:name w:val="2-Level Legal5"/>
    <w:basedOn w:val="Normal"/>
    <w:rsid w:val="004514AF"/>
    <w:pPr>
      <w:tabs>
        <w:tab w:val="num" w:pos="3600"/>
      </w:tabs>
      <w:spacing w:after="240" w:line="240" w:lineRule="auto"/>
      <w:ind w:left="3600" w:right="720" w:hanging="720"/>
      <w:outlineLvl w:val="4"/>
    </w:pPr>
    <w:rPr>
      <w:rFonts w:ascii="Times New Roman" w:eastAsia="Times New Roman" w:hAnsi="Times New Roman" w:cs="Times New Roman"/>
      <w:color w:val="000000"/>
      <w:szCs w:val="24"/>
    </w:rPr>
  </w:style>
  <w:style w:type="numbering" w:customStyle="1" w:styleId="CurrentList3">
    <w:name w:val="Current List3"/>
    <w:uiPriority w:val="99"/>
    <w:rsid w:val="004514AF"/>
    <w:pPr>
      <w:numPr>
        <w:numId w:val="7"/>
      </w:numPr>
    </w:pPr>
  </w:style>
  <w:style w:type="numbering" w:customStyle="1" w:styleId="CurrentList4">
    <w:name w:val="Current List4"/>
    <w:uiPriority w:val="99"/>
    <w:rsid w:val="004514AF"/>
    <w:pPr>
      <w:numPr>
        <w:numId w:val="8"/>
      </w:numPr>
    </w:pPr>
  </w:style>
  <w:style w:type="character" w:styleId="MenoPendente">
    <w:name w:val="Unresolved Mention"/>
    <w:basedOn w:val="Fontepargpadro"/>
    <w:uiPriority w:val="99"/>
    <w:semiHidden/>
    <w:unhideWhenUsed/>
    <w:rsid w:val="004514AF"/>
    <w:rPr>
      <w:color w:val="605E5C"/>
      <w:shd w:val="clear" w:color="auto" w:fill="E1DFDD"/>
    </w:rPr>
  </w:style>
  <w:style w:type="paragraph" w:customStyle="1" w:styleId="Bullet2">
    <w:name w:val="Bullet2"/>
    <w:basedOn w:val="PargrafodaLista"/>
    <w:rsid w:val="00C2059B"/>
    <w:pPr>
      <w:spacing w:after="0" w:line="240" w:lineRule="auto"/>
      <w:ind w:left="1440" w:hanging="360"/>
      <w:jc w:val="both"/>
    </w:pPr>
    <w:rPr>
      <w:rFonts w:cstheme="minorBidi"/>
      <w:szCs w:val="20"/>
    </w:rPr>
  </w:style>
  <w:style w:type="numbering" w:customStyle="1" w:styleId="CurrentList11">
    <w:name w:val="Current List11"/>
    <w:uiPriority w:val="99"/>
    <w:rsid w:val="00346AE3"/>
  </w:style>
  <w:style w:type="numbering" w:customStyle="1" w:styleId="CurrentList21">
    <w:name w:val="Current List21"/>
    <w:uiPriority w:val="99"/>
    <w:rsid w:val="00346AE3"/>
  </w:style>
  <w:style w:type="numbering" w:customStyle="1" w:styleId="CurrentList31">
    <w:name w:val="Current List31"/>
    <w:uiPriority w:val="99"/>
    <w:rsid w:val="00346AE3"/>
  </w:style>
  <w:style w:type="numbering" w:customStyle="1" w:styleId="CurrentList41">
    <w:name w:val="Current List41"/>
    <w:uiPriority w:val="99"/>
    <w:rsid w:val="00346AE3"/>
  </w:style>
  <w:style w:type="character" w:customStyle="1" w:styleId="UnresolvedMention1">
    <w:name w:val="Unresolved Mention1"/>
    <w:basedOn w:val="Fontepargpadro"/>
    <w:uiPriority w:val="99"/>
    <w:semiHidden/>
    <w:unhideWhenUsed/>
    <w:rsid w:val="00346AE3"/>
    <w:rPr>
      <w:color w:val="605E5C"/>
      <w:shd w:val="clear" w:color="auto" w:fill="E1DFDD"/>
    </w:rPr>
  </w:style>
  <w:style w:type="character" w:styleId="HiperlinkVisitado">
    <w:name w:val="FollowedHyperlink"/>
    <w:basedOn w:val="Fontepargpadro"/>
    <w:uiPriority w:val="99"/>
    <w:semiHidden/>
    <w:unhideWhenUsed/>
    <w:rsid w:val="00346AE3"/>
    <w:rPr>
      <w:color w:val="954F72" w:themeColor="followedHyperlink"/>
      <w:u w:val="single"/>
    </w:rPr>
  </w:style>
  <w:style w:type="paragraph" w:customStyle="1" w:styleId="SOWBullets1">
    <w:name w:val="SOW Bullets 1"/>
    <w:basedOn w:val="PargrafodaLista"/>
    <w:qFormat/>
    <w:rsid w:val="00147214"/>
    <w:pPr>
      <w:tabs>
        <w:tab w:val="num" w:pos="360"/>
      </w:tabs>
      <w:spacing w:after="120" w:line="240" w:lineRule="auto"/>
      <w:ind w:hanging="720"/>
      <w:contextualSpacing w:val="0"/>
    </w:pPr>
    <w:rPr>
      <w:rFonts w:eastAsia="Arial"/>
      <w:sz w:val="20"/>
      <w:szCs w:val="20"/>
      <w:lang w:val="en"/>
    </w:rPr>
  </w:style>
  <w:style w:type="paragraph" w:customStyle="1" w:styleId="Bullets2">
    <w:name w:val="Bullets 2"/>
    <w:basedOn w:val="Normal"/>
    <w:qFormat/>
    <w:rsid w:val="00147214"/>
    <w:pPr>
      <w:keepLines/>
      <w:numPr>
        <w:numId w:val="19"/>
      </w:numPr>
      <w:tabs>
        <w:tab w:val="left" w:pos="1080"/>
        <w:tab w:val="left" w:pos="2160"/>
      </w:tabs>
      <w:spacing w:before="240" w:after="120" w:line="240" w:lineRule="auto"/>
      <w:contextualSpacing/>
    </w:pPr>
    <w:rPr>
      <w:rFonts w:eastAsia="Times New Roman" w:cs="Helvetica"/>
      <w:sz w:val="20"/>
      <w:szCs w:val="20"/>
      <w:lang w:val="en"/>
    </w:rPr>
  </w:style>
  <w:style w:type="paragraph" w:customStyle="1" w:styleId="Bullets2-Sub">
    <w:name w:val="Bullets 2 - Sub"/>
    <w:basedOn w:val="Normal"/>
    <w:qFormat/>
    <w:rsid w:val="00147214"/>
    <w:pPr>
      <w:keepLines/>
      <w:numPr>
        <w:ilvl w:val="1"/>
        <w:numId w:val="19"/>
      </w:numPr>
      <w:tabs>
        <w:tab w:val="left" w:pos="1530"/>
        <w:tab w:val="left" w:pos="3870"/>
      </w:tabs>
      <w:spacing w:before="240" w:after="120" w:line="240" w:lineRule="auto"/>
      <w:ind w:left="1530" w:hanging="450"/>
      <w:contextualSpacing/>
    </w:pPr>
    <w:rPr>
      <w:rFonts w:eastAsia="Times New Roman" w:cs="Helvetica"/>
      <w:iCs/>
      <w:sz w:val="20"/>
      <w:szCs w:val="20"/>
      <w:lang w:val="en"/>
    </w:rPr>
  </w:style>
  <w:style w:type="paragraph" w:customStyle="1" w:styleId="SOWHeading5">
    <w:name w:val="SOW Heading 5"/>
    <w:basedOn w:val="Ttulo5"/>
    <w:next w:val="Normal"/>
    <w:qFormat/>
    <w:rsid w:val="00147214"/>
    <w:pPr>
      <w:keepNext w:val="0"/>
      <w:numPr>
        <w:numId w:val="20"/>
      </w:numPr>
      <w:tabs>
        <w:tab w:val="num" w:pos="360"/>
        <w:tab w:val="left" w:pos="3240"/>
      </w:tabs>
      <w:spacing w:before="240" w:after="120"/>
      <w:ind w:left="3240" w:hanging="1080"/>
      <w:jc w:val="left"/>
    </w:pPr>
    <w:rPr>
      <w:rFonts w:ascii="Arial Italic" w:eastAsia="Times New Roman" w:hAnsi="Arial Italic" w:cs="Helvetica"/>
      <w:b w:val="0"/>
      <w:i/>
      <w:sz w:val="20"/>
      <w:szCs w:val="18"/>
      <w:u w:val="single"/>
      <w:lang w:val="en"/>
    </w:rPr>
  </w:style>
  <w:style w:type="paragraph" w:customStyle="1" w:styleId="Bullet3">
    <w:name w:val="Bullet3"/>
    <w:basedOn w:val="PargrafodaLista"/>
    <w:qFormat/>
    <w:rsid w:val="005230C4"/>
    <w:pPr>
      <w:numPr>
        <w:ilvl w:val="2"/>
        <w:numId w:val="25"/>
      </w:numPr>
      <w:tabs>
        <w:tab w:val="num" w:pos="360"/>
      </w:tabs>
      <w:spacing w:after="200" w:line="240" w:lineRule="auto"/>
      <w:ind w:left="720" w:hanging="720"/>
      <w:contextualSpacing w:val="0"/>
    </w:pPr>
    <w:rPr>
      <w:rFonts w:cs="Times New Roman"/>
      <w:sz w:val="20"/>
      <w:szCs w:val="20"/>
      <w:lang w:val="en"/>
    </w:rPr>
  </w:style>
  <w:style w:type="paragraph" w:customStyle="1" w:styleId="Bullet4">
    <w:name w:val="Bullet4"/>
    <w:basedOn w:val="PargrafodaLista"/>
    <w:qFormat/>
    <w:rsid w:val="005230C4"/>
    <w:pPr>
      <w:numPr>
        <w:ilvl w:val="3"/>
        <w:numId w:val="25"/>
      </w:numPr>
      <w:tabs>
        <w:tab w:val="num" w:pos="360"/>
      </w:tabs>
      <w:spacing w:after="120" w:line="240" w:lineRule="auto"/>
      <w:ind w:left="720" w:hanging="720"/>
      <w:contextualSpacing w:val="0"/>
    </w:pPr>
    <w:rPr>
      <w:rFonts w:cs="Times New Roman"/>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253025">
      <w:bodyDiv w:val="1"/>
      <w:marLeft w:val="0"/>
      <w:marRight w:val="0"/>
      <w:marTop w:val="0"/>
      <w:marBottom w:val="0"/>
      <w:divBdr>
        <w:top w:val="none" w:sz="0" w:space="0" w:color="auto"/>
        <w:left w:val="none" w:sz="0" w:space="0" w:color="auto"/>
        <w:bottom w:val="none" w:sz="0" w:space="0" w:color="auto"/>
        <w:right w:val="none" w:sz="0" w:space="0" w:color="auto"/>
      </w:divBdr>
    </w:div>
    <w:div w:id="1128358740">
      <w:bodyDiv w:val="1"/>
      <w:marLeft w:val="0"/>
      <w:marRight w:val="0"/>
      <w:marTop w:val="0"/>
      <w:marBottom w:val="0"/>
      <w:divBdr>
        <w:top w:val="none" w:sz="0" w:space="0" w:color="auto"/>
        <w:left w:val="none" w:sz="0" w:space="0" w:color="auto"/>
        <w:bottom w:val="none" w:sz="0" w:space="0" w:color="auto"/>
        <w:right w:val="none" w:sz="0" w:space="0" w:color="auto"/>
      </w:divBdr>
    </w:div>
    <w:div w:id="2067102422">
      <w:bodyDiv w:val="1"/>
      <w:marLeft w:val="0"/>
      <w:marRight w:val="0"/>
      <w:marTop w:val="0"/>
      <w:marBottom w:val="0"/>
      <w:divBdr>
        <w:top w:val="none" w:sz="0" w:space="0" w:color="auto"/>
        <w:left w:val="none" w:sz="0" w:space="0" w:color="auto"/>
        <w:bottom w:val="none" w:sz="0" w:space="0" w:color="auto"/>
        <w:right w:val="none" w:sz="0" w:space="0" w:color="auto"/>
      </w:divBdr>
    </w:div>
    <w:div w:id="210483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esforce.com/content/dam/web/en_us/www/documents/legal/Agreements/professional-service-agreements-and-terms/psa-infrastructure-and-subprocessors.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2bc770-7bfe-4742-b14d-de02dde4f91a}">
  <we:reference id="wa200008184" version="1.0.1" store="en-US" storeType="OMEX"/>
  <we:alternateReferences>
    <we:reference id="wa200008184" version="1.0.1" store="wa200008184" storeType="OMEX"/>
  </we:alternateReferences>
  <we:properties>
    <we:property name="ironcladData" value="&quot;eJxNzssKgkAYhuF7+dctnBrHpl0EHWhRBBkWEeM/ToSHkfGUivee6cb1+8D3tVAGJvvoBFZAYAZSYxEHSZ7B6tFClgsM+5IaLQvM/2wGqONUJPVB9oFRYaNijFiMMMLJglqSOyh6VmkTqkhXoxMOR3uJ1HeopQJuK6ksitPFwb2Yavjmsr0l2fF6DlDvIu87Qe54drBr31SNd9ozPl+7zb2Ow/JtoHt2PwZsRJY=&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3EA12-C6B2-4FBA-9A14-BC938EF28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11</Pages>
  <Words>6547</Words>
  <Characters>35355</Characters>
  <Application>Microsoft Office Word</Application>
  <DocSecurity>0</DocSecurity>
  <Lines>294</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salesforce inc</Company>
  <LinksUpToDate>false</LinksUpToDate>
  <CharactersWithSpaces>41819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Marron</dc:creator>
  <cp:keywords/>
  <dc:description/>
  <cp:lastModifiedBy>Nelson Stebulaitis Filho</cp:lastModifiedBy>
  <cp:revision>12</cp:revision>
  <dcterms:created xsi:type="dcterms:W3CDTF">2026-05-14T17:59:00Z</dcterms:created>
  <dcterms:modified xsi:type="dcterms:W3CDTF">2026-08-10T13:45:00Z</dcterms:modified>
</cp:coreProperties>
</file>