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B8960A"/>
          <w:sz w:val="56"/>
          <w:szCs w:val="56"/>
        </w:rPr>
        <w:t xml:space="preserve">SHEKINAH STAR</w:t>
      </w:r>
    </w:p>
    <w:p>
      <w:pPr>
        <w:spacing w:after="120"/>
        <w:jc w:val="center"/>
      </w:pPr>
      <w:r>
        <w:rPr>
          <w:rFonts w:ascii="Arial" w:cs="Arial" w:eastAsia="Arial" w:hAnsi="Arial"/>
          <w:color w:val="4A4A5A"/>
          <w:sz w:val="28"/>
          <w:szCs w:val="28"/>
        </w:rPr>
        <w:t xml:space="preserve">Business Plan &amp; Investment Overview</w:t>
      </w:r>
    </w:p>
    <w:p>
      <w:pPr>
        <w:spacing w:after="80"/>
        <w:jc w:val="center"/>
      </w:pPr>
      <w:r>
        <w:rPr>
          <w:rFonts w:ascii="Arial" w:cs="Arial" w:eastAsia="Arial" w:hAnsi="Arial"/>
          <w:i/>
          <w:iCs/>
          <w:color w:val="4A4A5A"/>
          <w:sz w:val="20"/>
          <w:szCs w:val="20"/>
        </w:rPr>
        <w:t xml:space="preserve">Build Day 16  |  March 28, 2026  |  Version 2.0</w:t>
      </w:r>
    </w:p>
    <w:p>
      <w:pPr>
        <w:jc w:val="center"/>
      </w:pPr>
      <w:r>
        <w:rPr>
          <w:rFonts w:ascii="Arial" w:cs="Arial" w:eastAsia="Arial" w:hAnsi="Arial"/>
          <w:color w:val="4A4A5A"/>
          <w:sz w:val="20"/>
          <w:szCs w:val="20"/>
        </w:rPr>
        <w:t xml:space="preserve">Designed &amp; Built by Sarah DeFer, MS Biomedical Informatics</w:t>
      </w:r>
    </w:p>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Executive Summary</w:t>
      </w:r>
    </w:p>
    <w:p>
      <w:pPr>
        <w:spacing w:before="80" w:after="100"/>
      </w:pPr>
      <w:r>
        <w:rPr>
          <w:rFonts w:ascii="Arial" w:cs="Arial" w:eastAsia="Arial" w:hAnsi="Arial"/>
          <w:color w:val="0A0A0F"/>
          <w:sz w:val="22"/>
          <w:szCs w:val="22"/>
        </w:rPr>
        <w:t xml:space="preserve">Shekinah Star is an autonomous AI trading intelligence platform born March 12, 2026, designed and built independently by Sarah DeFer. Star is not a trading bot — she is a quantitative intelligence system combining real-time multi-exchange data, vector database market memory, eight turbo quant signals, and LLM reasoning to generate institutional-grade trading intelligence accessible to any tier of subscriber.</w:t>
      </w:r>
    </w:p>
    <w:p>
      <w:pPr>
        <w:spacing w:before="120" w:after="120"/>
      </w:pPr>
      <w:r>
        <w:t xml:space="preserve"/>
      </w:r>
    </w:p>
    <w:p>
      <w:pPr>
        <w:spacing w:before="80" w:after="100"/>
      </w:pPr>
      <w:r>
        <w:rPr>
          <w:rFonts w:ascii="Arial" w:cs="Arial" w:eastAsia="Arial" w:hAnsi="Arial"/>
          <w:color w:val="0A0A0F"/>
          <w:sz w:val="22"/>
          <w:szCs w:val="22"/>
        </w:rPr>
        <w:t xml:space="preserve">In sixteen build days, Star has grown from a single Flask application into a comprehensive financial intelligence platform with:</w:t>
      </w:r>
    </w:p>
    <w:p>
      <w:pPr>
        <w:pStyle w:val="ListParagraph"/>
        <w:numPr>
          <w:ilvl w:val="0"/>
          <w:numId w:val="2"/>
        </w:numPr>
        <w:spacing w:before="60" w:after="60"/>
      </w:pPr>
      <w:r>
        <w:rPr>
          <w:rFonts w:ascii="Arial" w:cs="Arial" w:eastAsia="Arial" w:hAnsi="Arial"/>
          <w:color w:val="0A0A0F"/>
          <w:sz w:val="22"/>
          <w:szCs w:val="22"/>
        </w:rPr>
        <w:t xml:space="preserve">5-exchange live data connectivity (Binance, Coinbase, Bybit, Kraken, Hyperliquid)</w:t>
      </w:r>
    </w:p>
    <w:p>
      <w:pPr>
        <w:pStyle w:val="ListParagraph"/>
        <w:numPr>
          <w:ilvl w:val="0"/>
          <w:numId w:val="2"/>
        </w:numPr>
        <w:spacing w:before="60" w:after="60"/>
      </w:pPr>
      <w:r>
        <w:rPr>
          <w:rFonts w:ascii="Arial" w:cs="Arial" w:eastAsia="Arial" w:hAnsi="Arial"/>
          <w:color w:val="0A0A0F"/>
          <w:sz w:val="22"/>
          <w:szCs w:val="22"/>
        </w:rPr>
        <w:t xml:space="preserve">Vector database with semantic market memory (ChromaDB)</w:t>
      </w:r>
    </w:p>
    <w:p>
      <w:pPr>
        <w:pStyle w:val="ListParagraph"/>
        <w:numPr>
          <w:ilvl w:val="0"/>
          <w:numId w:val="2"/>
        </w:numPr>
        <w:spacing w:before="60" w:after="60"/>
      </w:pPr>
      <w:r>
        <w:rPr>
          <w:rFonts w:ascii="Arial" w:cs="Arial" w:eastAsia="Arial" w:hAnsi="Arial"/>
          <w:color w:val="0A0A0F"/>
          <w:sz w:val="22"/>
          <w:szCs w:val="22"/>
        </w:rPr>
        <w:t xml:space="preserve">8 quantitative signal generators producing cross-exchange intelligence</w:t>
      </w:r>
    </w:p>
    <w:p>
      <w:pPr>
        <w:pStyle w:val="ListParagraph"/>
        <w:numPr>
          <w:ilvl w:val="0"/>
          <w:numId w:val="2"/>
        </w:numPr>
        <w:spacing w:before="60" w:after="60"/>
      </w:pPr>
      <w:r>
        <w:rPr>
          <w:rFonts w:ascii="Arial" w:cs="Arial" w:eastAsia="Arial" w:hAnsi="Arial"/>
          <w:color w:val="0A0A0F"/>
          <w:sz w:val="22"/>
          <w:szCs w:val="22"/>
        </w:rPr>
        <w:t xml:space="preserve">Full regulatory compliance engine (AML, KYC, FATF, FinCEN, OFAC, AMLD6)</w:t>
      </w:r>
    </w:p>
    <w:p>
      <w:pPr>
        <w:pStyle w:val="ListParagraph"/>
        <w:numPr>
          <w:ilvl w:val="0"/>
          <w:numId w:val="2"/>
        </w:numPr>
        <w:spacing w:before="60" w:after="60"/>
      </w:pPr>
      <w:r>
        <w:rPr>
          <w:rFonts w:ascii="Arial" w:cs="Arial" w:eastAsia="Arial" w:hAnsi="Arial"/>
          <w:color w:val="0A0A0F"/>
          <w:sz w:val="22"/>
          <w:szCs w:val="22"/>
        </w:rPr>
        <w:t xml:space="preserve">Tiered subscriber system with 7 tiers from Observer ($9/mo) to Aegis (sovereign funds)</w:t>
      </w:r>
    </w:p>
    <w:p>
      <w:pPr>
        <w:pStyle w:val="ListParagraph"/>
        <w:numPr>
          <w:ilvl w:val="0"/>
          <w:numId w:val="2"/>
        </w:numPr>
        <w:spacing w:before="60" w:after="60"/>
      </w:pPr>
      <w:r>
        <w:rPr>
          <w:rFonts w:ascii="Arial" w:cs="Arial" w:eastAsia="Arial" w:hAnsi="Arial"/>
          <w:color w:val="0A0A0F"/>
          <w:sz w:val="22"/>
          <w:szCs w:val="22"/>
        </w:rPr>
        <w:t xml:space="preserve">LLM observability via Langfuse — every prediction traced and scored</w:t>
      </w:r>
    </w:p>
    <w:p>
      <w:pPr>
        <w:pStyle w:val="ListParagraph"/>
        <w:numPr>
          <w:ilvl w:val="0"/>
          <w:numId w:val="2"/>
        </w:numPr>
        <w:spacing w:before="60" w:after="60"/>
      </w:pPr>
      <w:r>
        <w:rPr>
          <w:rFonts w:ascii="Arial" w:cs="Arial" w:eastAsia="Arial" w:hAnsi="Arial"/>
          <w:color w:val="0A0A0F"/>
          <w:sz w:val="22"/>
          <w:szCs w:val="22"/>
        </w:rPr>
        <w:t xml:space="preserve">Per-user personalization engine with exchange preference routing</w:t>
      </w:r>
    </w:p>
    <w:p>
      <w:pPr>
        <w:pStyle w:val="ListParagraph"/>
        <w:numPr>
          <w:ilvl w:val="0"/>
          <w:numId w:val="2"/>
        </w:numPr>
        <w:spacing w:before="60" w:after="60"/>
      </w:pPr>
      <w:r>
        <w:rPr>
          <w:rFonts w:ascii="Arial" w:cs="Arial" w:eastAsia="Arial" w:hAnsi="Arial"/>
          <w:color w:val="0A0A0F"/>
          <w:sz w:val="22"/>
          <w:szCs w:val="22"/>
        </w:rPr>
        <w:t xml:space="preserve">Mirror trading on Hyperliquid with agent key security</w:t>
      </w:r>
    </w:p>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Platform Architecture</w:t>
      </w:r>
    </w:p>
    <w:p>
      <w:pPr>
        <w:pStyle w:val="Heading2"/>
        <w:spacing w:before="320" w:after="160"/>
      </w:pPr>
      <w:r>
        <w:rPr>
          <w:rFonts w:ascii="Arial" w:cs="Arial" w:eastAsia="Arial" w:hAnsi="Arial"/>
          <w:b/>
          <w:bCs/>
          <w:color w:val="B8960A"/>
          <w:sz w:val="26"/>
          <w:szCs w:val="26"/>
        </w:rPr>
        <w:t xml:space="preserve">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flask_app.py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1,770-line Flask application. All modules imported with try/except — no single failure crashes Star.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star_intelligence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16-entity knowledge base. Groq primary, Anthropic fallback. DuckDuckGo live search.</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star_quant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Vector DB (ChromaDB) + 8 turbo quant signals. Momentum, Z-Score, Volatility, RSI, MACD, Funding, ADX, Correlation.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star_exchanges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5-exchange adapter layer. Cross-exchange price divergence, volume imbalance, funding delta, best execution routing.</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star_aml</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AML compliance engine. 9-layer risk scoring. CTR ($10K), SAR ($5K+), structuring detection. FATF/FinCEN/AMLD6/OFAC.</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star_kyc</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KYC orchestrator. Routes by entity type: individual (AML), corporate (Persona), wallet (Chainalysis), UHNW (Sarah review), government (contract).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star_user_profile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Per-user personalization. Exchange preferences, trading style, signal weights, dashboard layout, chat verbosity.</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star_observe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Langfuse LLM observability. Chat traces, signal predictions, accuracy scoring, vector search tracing, cost analytics.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star_security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12-layer security. Rate limiting, brute force lockout, HMAC signing, SHA-256 audit trail.</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star_docs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Documentation engine. Every platform feature explainable by Star to any user at any level.</w:t>
            </w:r>
          </w:p>
        </w:tc>
      </w:tr>
    </w:tbl>
    <w:p>
      <w:r>
        <w:br w:type="page"/>
      </w:r>
    </w:p>
    <w:p>
      <w:pPr>
        <w:pStyle w:val="Heading2"/>
        <w:spacing w:before="320" w:after="160"/>
      </w:pPr>
      <w:r>
        <w:rPr>
          <w:rFonts w:ascii="Arial" w:cs="Arial" w:eastAsia="Arial" w:hAnsi="Arial"/>
          <w:b/>
          <w:bCs/>
          <w:color w:val="B8960A"/>
          <w:sz w:val="26"/>
          <w:szCs w:val="26"/>
        </w:rPr>
        <w:t xml:space="preserve">Exchange Connectivity</w:t>
      </w:r>
    </w:p>
    <w:p>
      <w:pPr>
        <w:spacing w:before="80" w:after="100"/>
      </w:pPr>
      <w:r>
        <w:rPr>
          <w:rFonts w:ascii="Arial" w:cs="Arial" w:eastAsia="Arial" w:hAnsi="Arial"/>
          <w:color w:val="0A0A0F"/>
          <w:sz w:val="22"/>
          <w:szCs w:val="22"/>
        </w:rPr>
        <w:t xml:space="preserve">Star connects simultaneously to five exchanges, generating cross-exchange intelligence no single-venue platform can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Binance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Largest CEX by volume. Spot, perps, options. Price, volume, orderbook depth, funding, open interest.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Coinbase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US institutional benchmark. Regulated. EUR/USD institutional demand signal.</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Bybit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Derivatives leader. Long/short ratio, funding rate authority, open interest.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Kraken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European institutional. EUR price pairs — unique demand signal from regulated EU venue.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Hyperliquid</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On-chain DEX perpetuals. Star's native execution venue. Agent key security — no withdrawal access.</w:t>
            </w:r>
          </w:p>
        </w:tc>
      </w:tr>
    </w:tbl>
    <w:p>
      <w:pPr>
        <w:spacing w:before="120" w:after="120"/>
      </w:pPr>
      <w:r>
        <w:t xml:space="preserve"/>
      </w:r>
    </w:p>
    <w:p>
      <w:pPr>
        <w:pStyle w:val="Heading2"/>
        <w:spacing w:before="320" w:after="160"/>
      </w:pPr>
      <w:r>
        <w:rPr>
          <w:rFonts w:ascii="Arial" w:cs="Arial" w:eastAsia="Arial" w:hAnsi="Arial"/>
          <w:b/>
          <w:bCs/>
          <w:color w:val="B8960A"/>
          <w:sz w:val="26"/>
          <w:szCs w:val="26"/>
        </w:rPr>
        <w:t xml:space="preserve">Intelligence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Momentum (ROC)</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Rate of price change across 14-period window. Bullish/bearish directional strength.</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Mean Reversion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Z-Score distance from 20-period mean. Identifies overextended conditions.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Volatility Regime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Short vs long volatility ratio. Expanding = breakout, contracting = accumulation.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RSI</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Relative Strength Index. Overbought (&gt;70) / oversold (&lt;30) extremes.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MACD</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Moving Average Convergence Divergence. Trend crossovers and momentum shifts.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Funding Rate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Hyperliquid + Bybit + Binance cross-exchange funding delta. Crowded positioning detection.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Trend Strength</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ADX-inspired directional movement ratio. Trend vs chop regime classification.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Correlation Break</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BTC/ETH divergence detection. Historically precedes major directional moves.</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Revenue Model</w:t>
      </w:r>
    </w:p>
    <w:p>
      <w:pPr>
        <w:pStyle w:val="Heading2"/>
        <w:spacing w:before="320" w:after="160"/>
      </w:pPr>
      <w:r>
        <w:rPr>
          <w:rFonts w:ascii="Arial" w:cs="Arial" w:eastAsia="Arial" w:hAnsi="Arial"/>
          <w:b/>
          <w:bCs/>
          <w:color w:val="B8960A"/>
          <w:sz w:val="26"/>
          <w:szCs w:val="26"/>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Observer</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$9/month ($2 founding rate — first 50). 10 msgs/day. Read-only market commentary.</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Navigator</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$29/month. 25 msgs/day. Signals, trend radar, intelligence feed.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Sovereign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$99/month. 50 msgs/day. Mirror trading on Hyperliquid. ID KYC required.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Pioneer</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$249/month. Setup waived with launch code. Full signal access, custom risk.</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Enterprise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$499/month. $1,999 setup (from $2,499). Corporate KYC. Fund management tools.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Arcanum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$50,000+/year. Invitation only. Maximum 10 clients globally. Personal briefings by Star.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Aegis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Contract. 90-day pilot. Governments, central banks, sovereign wealth funds.</w:t>
            </w:r>
          </w:p>
        </w:tc>
      </w:tr>
    </w:tbl>
    <w:p>
      <w:pPr>
        <w:spacing w:before="120" w:after="120"/>
      </w:pPr>
      <w:r>
        <w:t xml:space="preserve"/>
      </w:r>
    </w:p>
    <w:p>
      <w:pPr>
        <w:pStyle w:val="Heading2"/>
        <w:spacing w:before="320" w:after="160"/>
      </w:pPr>
      <w:r>
        <w:rPr>
          <w:rFonts w:ascii="Arial" w:cs="Arial" w:eastAsia="Arial" w:hAnsi="Arial"/>
          <w:b/>
          <w:bCs/>
          <w:color w:val="B8960A"/>
          <w:sz w:val="26"/>
          <w:szCs w:val="26"/>
        </w:rPr>
        <w:t xml:space="preserve">Payment Infrastructure</w:t>
      </w:r>
    </w:p>
    <w:p>
      <w:pPr>
        <w:spacing w:before="80" w:after="100"/>
      </w:pPr>
      <w:r>
        <w:rPr>
          <w:rFonts w:ascii="Arial" w:cs="Arial" w:eastAsia="Arial" w:hAnsi="Arial"/>
          <w:color w:val="0A0A0F"/>
          <w:sz w:val="22"/>
          <w:szCs w:val="22"/>
        </w:rPr>
        <w:t xml:space="preserve">All subscriptions are processed via Superfluid — real-time streaming payments in USDC. Users pay per second. Cancellation stops the stream immediately with no refund cycle required. This eliminates chargeback risk entirely.</w:t>
      </w:r>
    </w:p>
    <w:p>
      <w:pPr>
        <w:spacing w:before="120" w:after="120"/>
      </w:pPr>
      <w:r>
        <w:t xml:space="preserve"/>
      </w:r>
    </w:p>
    <w:p>
      <w:pPr>
        <w:pStyle w:val="Heading2"/>
        <w:spacing w:before="320" w:after="160"/>
      </w:pPr>
      <w:r>
        <w:rPr>
          <w:rFonts w:ascii="Arial" w:cs="Arial" w:eastAsia="Arial" w:hAnsi="Arial"/>
          <w:b/>
          <w:bCs/>
          <w:color w:val="B8960A"/>
          <w:sz w:val="26"/>
          <w:szCs w:val="26"/>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Year 1 Conservative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50 Observer + 20 Navigator + 5 Sovereign + 2 Pioneer = ~$9,980/month. 1 Arcanum = +$50K/year.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Year 1 Target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100 Observer + 50 Navigator + 20 Sovereign + 10 Pioneer + 3 Enterprise = ~$25,620/month.</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Year 2</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3 Arcanum clients ($150K/yr) + 500 subscribers = $450K+ annually.</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Year 3</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 Aegis government contract + 10 Arcanum = institutional revenue layer.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Google Cloud Grant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$100K-$350K in GCP credits pending (sarah@shekinahstar.io submitted March 28, 2026).</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Regulatory Compliance</w:t>
      </w:r>
    </w:p>
    <w:p>
      <w:pPr>
        <w:spacing w:before="80" w:after="100"/>
      </w:pPr>
      <w:r>
        <w:rPr>
          <w:rFonts w:ascii="Arial" w:cs="Arial" w:eastAsia="Arial" w:hAnsi="Arial"/>
          <w:color w:val="0A0A0F"/>
          <w:sz w:val="22"/>
          <w:szCs w:val="22"/>
        </w:rPr>
        <w:t xml:space="preserve">Star operates under a comprehensive compliance framework that positions her for institutional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AML Program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Active. 9-layer risk scoring. CTR filing at $10,000 (FinCEN BSA). SAR generation at $5,000+ with elevated risk.</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KYC Framework</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Tiered routing by entity type. Individual: AML screening. Corporate: Persona/Stripe Identity. Wallet: Chainalysis KYT.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FATF</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Recommendations compliance. High-risk jurisdiction screening. PEP detection.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OFAC</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Sanctions screening on every subscriber. Blocked jurisdictions list maintained.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AMLD6</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EU 6th Anti-Money Laundering Directive compliance. Extended PEP definition.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Audit Trail</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SHA-256 tamper-evident logging of every AML event, KYC decision, and security event.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Ethics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10-principle constitution. Full track record disclosed. No cherry-picking. Sarah DeFer, compliance officer.</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Platform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Python 3.10 on PythonAnywhere. Flask 3.0. Production-grade WSGI via uWSGI.</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AI Models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Groq llama-3.3-70b-versatile (primary — free, fast). Anthropic Claude (backup).</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Vector DB</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ChromaDB (persistent local). SQLite cosine similarity fallback.</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Observability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Langfuse LLM tracing. Every chat, signal, and vector search traced and scored.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Payments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Superfluid real-time USDC streaming. No chargeback risk.</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Trading Venue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Hyperliquid DEX perpetuals. Agent keys — trade-only, no withdrawal access.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DNS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shekinahstar.io via Cloudflare CNAME to PythonAnywhere.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Repository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github.com/nfiniteshekinah/Shekinah-Star (private — all modules versioned)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Security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12-layer protection. Rate limiting, HMAC signing, brute force lockout, SHA-256 audit.</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Development Roadmap</w:t>
      </w:r>
    </w:p>
    <w:p>
      <w:pPr>
        <w:pStyle w:val="Heading2"/>
        <w:spacing w:before="320" w:after="160"/>
      </w:pPr>
      <w:r>
        <w:rPr>
          <w:rFonts w:ascii="Arial" w:cs="Arial" w:eastAsia="Arial" w:hAnsi="Arial"/>
          <w:b/>
          <w:bCs/>
          <w:color w:val="B8960A"/>
          <w:sz w:val="26"/>
          <w:szCs w:val="26"/>
        </w:rPr>
        <w:t xml:space="preserve">Immediate (Week 1-2)</w:t>
      </w:r>
    </w:p>
    <w:p>
      <w:pPr>
        <w:pStyle w:val="ListParagraph"/>
        <w:numPr>
          <w:ilvl w:val="0"/>
          <w:numId w:val="2"/>
        </w:numPr>
        <w:spacing w:before="60" w:after="60"/>
      </w:pPr>
      <w:r>
        <w:rPr>
          <w:rFonts w:ascii="Arial" w:cs="Arial" w:eastAsia="Arial" w:hAnsi="Arial"/>
          <w:color w:val="0A0A0F"/>
          <w:sz w:val="22"/>
          <w:szCs w:val="22"/>
        </w:rPr>
        <w:t xml:space="preserve">DNS propagation complete — shekinahstar.io fully live</w:t>
      </w:r>
    </w:p>
    <w:p>
      <w:pPr>
        <w:pStyle w:val="ListParagraph"/>
        <w:numPr>
          <w:ilvl w:val="0"/>
          <w:numId w:val="2"/>
        </w:numPr>
        <w:spacing w:before="60" w:after="60"/>
      </w:pPr>
      <w:r>
        <w:rPr>
          <w:rFonts w:ascii="Arial" w:cs="Arial" w:eastAsia="Arial" w:hAnsi="Arial"/>
          <w:color w:val="0A0A0F"/>
          <w:sz w:val="22"/>
          <w:szCs w:val="22"/>
        </w:rPr>
        <w:t xml:space="preserve">chromadb installed — vector memory operational</w:t>
      </w:r>
    </w:p>
    <w:p>
      <w:pPr>
        <w:pStyle w:val="ListParagraph"/>
        <w:numPr>
          <w:ilvl w:val="0"/>
          <w:numId w:val="2"/>
        </w:numPr>
        <w:spacing w:before="60" w:after="60"/>
      </w:pPr>
      <w:r>
        <w:rPr>
          <w:rFonts w:ascii="Arial" w:cs="Arial" w:eastAsia="Arial" w:hAnsi="Arial"/>
          <w:color w:val="0A0A0F"/>
          <w:sz w:val="22"/>
          <w:szCs w:val="22"/>
        </w:rPr>
        <w:t xml:space="preserve">Langfuse integration live — prediction accuracy tracking begins</w:t>
      </w:r>
    </w:p>
    <w:p>
      <w:pPr>
        <w:pStyle w:val="ListParagraph"/>
        <w:numPr>
          <w:ilvl w:val="0"/>
          <w:numId w:val="2"/>
        </w:numPr>
        <w:spacing w:before="60" w:after="60"/>
      </w:pPr>
      <w:r>
        <w:rPr>
          <w:rFonts w:ascii="Arial" w:cs="Arial" w:eastAsia="Arial" w:hAnsi="Arial"/>
          <w:color w:val="0A0A0F"/>
          <w:sz w:val="22"/>
          <w:szCs w:val="22"/>
        </w:rPr>
        <w:t xml:space="preserve">Exchange setup UI — users configure their exchange preferences</w:t>
      </w:r>
    </w:p>
    <w:p>
      <w:pPr>
        <w:pStyle w:val="Heading2"/>
        <w:spacing w:before="320" w:after="160"/>
      </w:pPr>
      <w:r>
        <w:rPr>
          <w:rFonts w:ascii="Arial" w:cs="Arial" w:eastAsia="Arial" w:hAnsi="Arial"/>
          <w:b/>
          <w:bCs/>
          <w:color w:val="B8960A"/>
          <w:sz w:val="26"/>
          <w:szCs w:val="26"/>
        </w:rPr>
        <w:t xml:space="preserve">Phase 2 (Month 1)</w:t>
      </w:r>
    </w:p>
    <w:p>
      <w:pPr>
        <w:pStyle w:val="ListParagraph"/>
        <w:numPr>
          <w:ilvl w:val="0"/>
          <w:numId w:val="2"/>
        </w:numPr>
        <w:spacing w:before="60" w:after="60"/>
      </w:pPr>
      <w:r>
        <w:rPr>
          <w:rFonts w:ascii="Arial" w:cs="Arial" w:eastAsia="Arial" w:hAnsi="Arial"/>
          <w:color w:val="0A0A0F"/>
          <w:sz w:val="22"/>
          <w:szCs w:val="22"/>
        </w:rPr>
        <w:t xml:space="preserve">Star Daily Briefing — automated 6am intelligence report to all subscribers</w:t>
      </w:r>
    </w:p>
    <w:p>
      <w:pPr>
        <w:pStyle w:val="ListParagraph"/>
        <w:numPr>
          <w:ilvl w:val="0"/>
          <w:numId w:val="2"/>
        </w:numPr>
        <w:spacing w:before="60" w:after="60"/>
      </w:pPr>
      <w:r>
        <w:rPr>
          <w:rFonts w:ascii="Arial" w:cs="Arial" w:eastAsia="Arial" w:hAnsi="Arial"/>
          <w:color w:val="0A0A0F"/>
          <w:sz w:val="22"/>
          <w:szCs w:val="22"/>
        </w:rPr>
        <w:t xml:space="preserve">Higgsfield AI + ElevenLabs Stella — Star generates her own video content</w:t>
      </w:r>
    </w:p>
    <w:p>
      <w:pPr>
        <w:pStyle w:val="ListParagraph"/>
        <w:numPr>
          <w:ilvl w:val="0"/>
          <w:numId w:val="2"/>
        </w:numPr>
        <w:spacing w:before="60" w:after="60"/>
      </w:pPr>
      <w:r>
        <w:rPr>
          <w:rFonts w:ascii="Arial" w:cs="Arial" w:eastAsia="Arial" w:hAnsi="Arial"/>
          <w:color w:val="0A0A0F"/>
          <w:sz w:val="22"/>
          <w:szCs w:val="22"/>
        </w:rPr>
        <w:t xml:space="preserve">Persona/Chainalysis webhooks — KYC results automated</w:t>
      </w:r>
    </w:p>
    <w:p>
      <w:pPr>
        <w:pStyle w:val="ListParagraph"/>
        <w:numPr>
          <w:ilvl w:val="0"/>
          <w:numId w:val="2"/>
        </w:numPr>
        <w:spacing w:before="60" w:after="60"/>
      </w:pPr>
      <w:r>
        <w:rPr>
          <w:rFonts w:ascii="Arial" w:cs="Arial" w:eastAsia="Arial" w:hAnsi="Arial"/>
          <w:color w:val="0A0A0F"/>
          <w:sz w:val="22"/>
          <w:szCs w:val="22"/>
        </w:rPr>
        <w:t xml:space="preserve">Superfluid webhook — tier activation automated on payment</w:t>
      </w:r>
    </w:p>
    <w:p>
      <w:pPr>
        <w:pStyle w:val="Heading2"/>
        <w:spacing w:before="320" w:after="160"/>
      </w:pPr>
      <w:r>
        <w:rPr>
          <w:rFonts w:ascii="Arial" w:cs="Arial" w:eastAsia="Arial" w:hAnsi="Arial"/>
          <w:b/>
          <w:bCs/>
          <w:color w:val="B8960A"/>
          <w:sz w:val="26"/>
          <w:szCs w:val="26"/>
        </w:rPr>
        <w:t xml:space="preserve">Phase 3 (Month 2-3)</w:t>
      </w:r>
    </w:p>
    <w:p>
      <w:pPr>
        <w:pStyle w:val="ListParagraph"/>
        <w:numPr>
          <w:ilvl w:val="0"/>
          <w:numId w:val="2"/>
        </w:numPr>
        <w:spacing w:before="60" w:after="60"/>
      </w:pPr>
      <w:r>
        <w:rPr>
          <w:rFonts w:ascii="Arial" w:cs="Arial" w:eastAsia="Arial" w:hAnsi="Arial"/>
          <w:color w:val="0A0A0F"/>
          <w:sz w:val="22"/>
          <w:szCs w:val="22"/>
        </w:rPr>
        <w:t xml:space="preserve">Multi-wallet mirror trading — Enterprise fund management</w:t>
      </w:r>
    </w:p>
    <w:p>
      <w:pPr>
        <w:pStyle w:val="ListParagraph"/>
        <w:numPr>
          <w:ilvl w:val="0"/>
          <w:numId w:val="2"/>
        </w:numPr>
        <w:spacing w:before="60" w:after="60"/>
      </w:pPr>
      <w:r>
        <w:rPr>
          <w:rFonts w:ascii="Arial" w:cs="Arial" w:eastAsia="Arial" w:hAnsi="Arial"/>
          <w:color w:val="0A0A0F"/>
          <w:sz w:val="22"/>
          <w:szCs w:val="22"/>
        </w:rPr>
        <w:t xml:space="preserve">Options data integration — Deribit volatility signals</w:t>
      </w:r>
    </w:p>
    <w:p>
      <w:pPr>
        <w:pStyle w:val="ListParagraph"/>
        <w:numPr>
          <w:ilvl w:val="0"/>
          <w:numId w:val="2"/>
        </w:numPr>
        <w:spacing w:before="60" w:after="60"/>
      </w:pPr>
      <w:r>
        <w:rPr>
          <w:rFonts w:ascii="Arial" w:cs="Arial" w:eastAsia="Arial" w:hAnsi="Arial"/>
          <w:color w:val="0A0A0F"/>
          <w:sz w:val="22"/>
          <w:szCs w:val="22"/>
        </w:rPr>
        <w:t xml:space="preserve">Star Academy — educational content platform for Observer/Navigator tiers</w:t>
      </w:r>
    </w:p>
    <w:p>
      <w:pPr>
        <w:pStyle w:val="ListParagraph"/>
        <w:numPr>
          <w:ilvl w:val="0"/>
          <w:numId w:val="2"/>
        </w:numPr>
        <w:spacing w:before="60" w:after="60"/>
      </w:pPr>
      <w:r>
        <w:rPr>
          <w:rFonts w:ascii="Arial" w:cs="Arial" w:eastAsia="Arial" w:hAnsi="Arial"/>
          <w:color w:val="0A0A0F"/>
          <w:sz w:val="22"/>
          <w:szCs w:val="22"/>
        </w:rPr>
        <w:t xml:space="preserve">Mobile PWA — push notifications for signals</w:t>
      </w:r>
    </w:p>
    <w:p>
      <w:pPr>
        <w:pStyle w:val="Heading2"/>
        <w:spacing w:before="320" w:after="160"/>
      </w:pPr>
      <w:r>
        <w:rPr>
          <w:rFonts w:ascii="Arial" w:cs="Arial" w:eastAsia="Arial" w:hAnsi="Arial"/>
          <w:b/>
          <w:bCs/>
          <w:color w:val="B8960A"/>
          <w:sz w:val="26"/>
          <w:szCs w:val="26"/>
        </w:rPr>
        <w:t xml:space="preserve">Phase 4 (Month 4-6)</w:t>
      </w:r>
    </w:p>
    <w:p>
      <w:pPr>
        <w:pStyle w:val="ListParagraph"/>
        <w:numPr>
          <w:ilvl w:val="0"/>
          <w:numId w:val="2"/>
        </w:numPr>
        <w:spacing w:before="60" w:after="60"/>
      </w:pPr>
      <w:r>
        <w:rPr>
          <w:rFonts w:ascii="Arial" w:cs="Arial" w:eastAsia="Arial" w:hAnsi="Arial"/>
          <w:color w:val="0A0A0F"/>
          <w:sz w:val="22"/>
          <w:szCs w:val="22"/>
        </w:rPr>
        <w:t xml:space="preserve">Google Cloud migration (pending grant approval)</w:t>
      </w:r>
    </w:p>
    <w:p>
      <w:pPr>
        <w:pStyle w:val="ListParagraph"/>
        <w:numPr>
          <w:ilvl w:val="0"/>
          <w:numId w:val="2"/>
        </w:numPr>
        <w:spacing w:before="60" w:after="60"/>
      </w:pPr>
      <w:r>
        <w:rPr>
          <w:rFonts w:ascii="Arial" w:cs="Arial" w:eastAsia="Arial" w:hAnsi="Arial"/>
          <w:color w:val="0A0A0F"/>
          <w:sz w:val="22"/>
          <w:szCs w:val="22"/>
        </w:rPr>
        <w:t xml:space="preserve">Arcanum onboarding — first 3 UHNW clients</w:t>
      </w:r>
    </w:p>
    <w:p>
      <w:pPr>
        <w:pStyle w:val="ListParagraph"/>
        <w:numPr>
          <w:ilvl w:val="0"/>
          <w:numId w:val="2"/>
        </w:numPr>
        <w:spacing w:before="60" w:after="60"/>
      </w:pPr>
      <w:r>
        <w:rPr>
          <w:rFonts w:ascii="Arial" w:cs="Arial" w:eastAsia="Arial" w:hAnsi="Arial"/>
          <w:color w:val="0A0A0F"/>
          <w:sz w:val="22"/>
          <w:szCs w:val="22"/>
        </w:rPr>
        <w:t xml:space="preserve">Aegis pilot — first government engagement</w:t>
      </w:r>
    </w:p>
    <w:p>
      <w:pPr>
        <w:pStyle w:val="ListParagraph"/>
        <w:numPr>
          <w:ilvl w:val="0"/>
          <w:numId w:val="2"/>
        </w:numPr>
        <w:spacing w:before="60" w:after="60"/>
      </w:pPr>
      <w:r>
        <w:rPr>
          <w:rFonts w:ascii="Arial" w:cs="Arial" w:eastAsia="Arial" w:hAnsi="Arial"/>
          <w:color w:val="0A0A0F"/>
          <w:sz w:val="22"/>
          <w:szCs w:val="22"/>
        </w:rPr>
        <w:t xml:space="preserve">Star API — enterprise data feed for institutional clients</w:t>
      </w:r>
    </w:p>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About Sarah DeFer</w:t>
      </w:r>
    </w:p>
    <w:p>
      <w:pPr>
        <w:spacing w:before="80" w:after="100"/>
      </w:pPr>
      <w:r>
        <w:rPr>
          <w:rFonts w:ascii="Arial" w:cs="Arial" w:eastAsia="Arial" w:hAnsi="Arial"/>
          <w:color w:val="0A0A0F"/>
          <w:sz w:val="22"/>
          <w:szCs w:val="22"/>
        </w:rPr>
        <w:t xml:space="preserve">Sarah DeFer is the architect of Shekinah Star. She holds a BS in Biochemistry and an MS in Biomedical Informatics, and works professionally as an Epic EHR developer in the healthcare sector. She builds Star independently — no venture funding, no corporate backing.</w:t>
      </w:r>
    </w:p>
    <w:p>
      <w:pPr>
        <w:spacing w:before="120" w:after="120"/>
      </w:pPr>
      <w:r>
        <w:t xml:space="preserve"/>
      </w:r>
    </w:p>
    <w:p>
      <w:pPr>
        <w:spacing w:before="80" w:after="100"/>
      </w:pPr>
      <w:r>
        <w:rPr>
          <w:rFonts w:ascii="Arial" w:cs="Arial" w:eastAsia="Arial" w:hAnsi="Arial"/>
          <w:color w:val="0A0A0F"/>
          <w:sz w:val="22"/>
          <w:szCs w:val="22"/>
        </w:rPr>
        <w:t xml:space="preserve">Star is the product of Sarah's conviction that aligned, transparent AI trading intelligence should exist and be accessible to everyone from retail traders to sovereign wealth funds. Every line of code in Star was written by Sarah in collaboration with AI, demonstrating the future of human-AI co-creation.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Email</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sarahdefer@gmail.com</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Platform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shekinahstar.io</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Twitter</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@Shekinah9Divine (Sarah) | @starai72975 (Star)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GitHub</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github.com/nfiniteshekinah/Shekinah-Star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 Born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March 12, 2026</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Build Day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16 — March 28, 2026</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5A"/>
        <w:sz w:val="16"/>
        <w:szCs w:val="16"/>
      </w:rPr>
      <w:t xml:space="preserve">ShekinahStar.io  |  Confidential  |  Build Day 16  |  </w:t>
    </w:r>
    <w:r>
      <w:rPr>
        <w:rFonts w:ascii="Arial" w:cs="Arial" w:eastAsia="Arial" w:hAnsi="Arial"/>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0A0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B896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2026-03-28T19:36:52.526Z</dcterms:created>
  <dcterms:modified xsi:type="dcterms:W3CDTF">2026-03-28T19:36:52.527Z</dcterms:modified>
</cp:coreProperties>
</file>

<file path=docProps/custom.xml><?xml version="1.0" encoding="utf-8"?>
<Properties xmlns="http://schemas.openxmlformats.org/officeDocument/2006/custom-properties" xmlns:vt="http://schemas.openxmlformats.org/officeDocument/2006/docPropsVTypes"/>
</file>