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shd w:val="clear" w:color="auto" w:fill="1F3864"/>
      </w:pPr>
      <w:r>
        <w:rPr>
          <w:b/>
          <w:color w:val="FFFFFF"/>
          <w:sz w:val="16"/>
        </w:rPr>
        <w:t xml:space="preserve">  CONFIDENTIAL — CFO BRIEFING MEMORANDUM</w:t>
      </w:r>
    </w:p>
    <w:p>
      <w:pPr>
        <w:spacing w:before="0" w:after="80"/>
        <w:shd w:val="clear" w:color="auto" w:fill="1F3864"/>
      </w:pPr>
      <w:r>
        <w:rPr>
          <w:b/>
          <w:color w:val="FFF2CC"/>
          <w:sz w:val="28"/>
        </w:rPr>
        <w:t xml:space="preserve">  F &amp; W Properties Inc.  |  Test Property  |  March 2026 Monthly Review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/>
            <w:r>
              <w:rPr>
                <w:b/>
                <w:sz w:val="18"/>
              </w:rPr>
              <w:t>TO: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Hatfield, Chief Financial Officer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DATE: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March 17, 2026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  <w:sz w:val="18"/>
              </w:rPr>
              <w:t>FROM: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Property Finance Team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RE: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Monthly P&amp;L, Valuation &amp; Action Items</w:t>
            </w:r>
          </w:p>
        </w:tc>
      </w:tr>
    </w:tbl>
    <w:p>
      <w:pPr>
        <w:spacing w:before="120" w:after="80"/>
        <w:shd w:val="clear" w:color="auto" w:fill="1F3864"/>
      </w:pPr>
      <w:r>
        <w:rPr>
          <w:b/>
          <w:color w:val="FFFFFF"/>
          <w:sz w:val="22"/>
        </w:rPr>
        <w:t xml:space="preserve">  EXECUTIVE SUMMARY</w:t>
      </w:r>
    </w:p>
    <w:p>
      <w:r>
        <w:rPr>
          <w:sz w:val="22"/>
        </w:rPr>
        <w:t>Test Property delivered a solid March 2026 performance, generating $42,500 in total operating income against a budget of $41,000, a favorable variance of $1,500 (3.7%). Operating expenses totaled $24,800 versus a budget of $26,000, resulting in net operating income of $17,700 — exceeding the budgeted NOI of $15,000 by $2,700 (18.0%).</w:t>
      </w:r>
    </w:p>
    <w:p>
      <w:r>
        <w:rPr>
          <w:sz w:val="22"/>
        </w:rPr>
        <w:t xml:space="preserve">Year-over-year revenue increased 4.2%, driven primarily by higher rental rates and improved occupancy. Expense control remains strong, with notable savings in maintenance and administrative categories. </w:t>
      </w:r>
      <w:r>
        <w:rPr>
          <w:b/>
          <w:sz w:val="22"/>
        </w:rPr>
        <w:t>Key action: CFO review of proposed capital expenditure budget of $35,000 for HVAC replacement is required by April 15,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8"/>
              </w:rPr>
              <w:t>$15,000</w:t>
              <w:br/>
            </w:r>
            <w:r>
              <w:rPr>
                <w:color w:val="595959"/>
                <w:sz w:val="16"/>
              </w:rPr>
              <w:t>Budget NOI</w:t>
              <w:br/>
            </w:r>
            <w:r>
              <w:rPr>
                <w:color w:val="595959"/>
                <w:sz w:val="16"/>
              </w:rPr>
              <w:t>+18.0% actual</w:t>
            </w:r>
          </w:p>
        </w:tc>
        <w:tc>
          <w:tcPr>
            <w:tcW w:type="dxa" w:w="201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8"/>
              </w:rPr>
              <w:t>$42,500</w:t>
              <w:br/>
            </w:r>
            <w:r>
              <w:rPr>
                <w:color w:val="595959"/>
                <w:sz w:val="16"/>
              </w:rPr>
              <w:t>Total Operating Income</w:t>
              <w:br/>
            </w:r>
            <w:r>
              <w:rPr>
                <w:color w:val="595959"/>
                <w:sz w:val="16"/>
              </w:rPr>
              <w:t>+3.7% vs budget</w:t>
            </w:r>
          </w:p>
        </w:tc>
        <w:tc>
          <w:tcPr>
            <w:tcW w:type="dxa" w:w="201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8"/>
              </w:rPr>
              <w:t>$128,400</w:t>
              <w:br/>
            </w:r>
            <w:r>
              <w:rPr>
                <w:color w:val="595959"/>
                <w:sz w:val="16"/>
              </w:rPr>
              <w:t>Budgeted Cash Flow</w:t>
              <w:br/>
            </w:r>
            <w:r>
              <w:rPr>
                <w:color w:val="595959"/>
                <w:sz w:val="16"/>
              </w:rPr>
              <w:t>Annual projection</w:t>
            </w:r>
          </w:p>
        </w:tc>
        <w:tc>
          <w:tcPr>
            <w:tcW w:type="dxa" w:w="201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8"/>
              </w:rPr>
              <w:t>$2,362,500</w:t>
              <w:br/>
            </w:r>
            <w:r>
              <w:rPr>
                <w:color w:val="595959"/>
                <w:sz w:val="16"/>
              </w:rPr>
              <w:t>Est. Property Value</w:t>
              <w:br/>
            </w:r>
            <w:r>
              <w:rPr>
                <w:color w:val="595959"/>
                <w:sz w:val="16"/>
              </w:rPr>
              <w:t>@ 7.50% cap rate</w:t>
            </w:r>
          </w:p>
        </w:tc>
        <w:tc>
          <w:tcPr>
            <w:tcW w:type="dxa" w:w="201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8"/>
              </w:rPr>
              <w:t>$1,112,500</w:t>
              <w:br/>
            </w:r>
            <w:r>
              <w:rPr>
                <w:color w:val="595959"/>
                <w:sz w:val="16"/>
              </w:rPr>
              <w:t>Est. Equity Residual</w:t>
              <w:br/>
            </w:r>
            <w:r>
              <w:rPr>
                <w:color w:val="595959"/>
                <w:sz w:val="16"/>
              </w:rPr>
              <w:t>After mortgage debt</w:t>
            </w:r>
          </w:p>
        </w:tc>
      </w:tr>
    </w:tbl>
    <w:p>
      <w:pPr>
        <w:spacing w:before="120" w:after="80"/>
        <w:shd w:val="clear" w:color="auto" w:fill="1F3864"/>
      </w:pPr>
      <w:r>
        <w:rPr>
          <w:b/>
          <w:color w:val="FFFFFF"/>
          <w:sz w:val="22"/>
        </w:rPr>
        <w:t xml:space="preserve">  FINANCIAL PERFORMANCE — MARCH 2026</w:t>
      </w:r>
    </w:p>
    <w:p>
      <w:r>
        <w:rPr>
          <w:b/>
          <w:color w:val="2E75B6"/>
          <w:sz w:val="21"/>
        </w:rPr>
        <w:t>Income</w:t>
      </w:r>
    </w:p>
    <w:p>
      <w:pPr>
        <w:pStyle w:val="ListBullet"/>
      </w:pPr>
      <w:r>
        <w:t>Rent Income: $38,000 (budget $36,500; +4.1% YoY)</w:t>
      </w:r>
    </w:p>
    <w:p>
      <w:pPr>
        <w:pStyle w:val="ListBullet"/>
      </w:pPr>
      <w:r>
        <w:t>Fee Income: $2,000 (late fees, application fees)</w:t>
      </w:r>
    </w:p>
    <w:p>
      <w:pPr>
        <w:pStyle w:val="ListBullet"/>
      </w:pPr>
      <w:r>
        <w:t>Utility Reimbursements: $2,500 (budget $2,200)</w:t>
      </w:r>
    </w:p>
    <w:p>
      <w:pPr>
        <w:pStyle w:val="ListBullet"/>
      </w:pPr>
      <w:r>
        <w:t>Total Operating Income: $42,500 vs. budget of $41,000 (+$1,500 / +3.7%)</w:t>
      </w:r>
    </w:p>
    <w:p>
      <w:r>
        <w:rPr>
          <w:b/>
          <w:color w:val="2E75B6"/>
          <w:sz w:val="21"/>
        </w:rPr>
        <w:t>Expenses &amp; Key Variances</w:t>
      </w:r>
    </w:p>
    <w:p>
      <w:r>
        <w:rPr>
          <w:b/>
          <w:color w:val="2E75B6"/>
          <w:sz w:val="21"/>
        </w:rPr>
        <w:t>Payroll &amp; Benefits</w:t>
      </w:r>
    </w:p>
    <w:p>
      <w:pPr>
        <w:pStyle w:val="ListBullet"/>
      </w:pPr>
      <w:r>
        <w:t>Actual: $8,200 vs. Budget: $8,500 — favorable $300</w:t>
      </w:r>
    </w:p>
    <w:p>
      <w:pPr>
        <w:pStyle w:val="ListBullet"/>
      </w:pPr>
      <w:r>
        <w:t>Headcount stable at 2 FTEs; no overtime charges</w:t>
      </w:r>
    </w:p>
    <w:p>
      <w:r>
        <w:rPr>
          <w:b/>
          <w:color w:val="2E75B6"/>
          <w:sz w:val="21"/>
        </w:rPr>
        <w:t>Repairs &amp; Maintenance</w:t>
      </w:r>
    </w:p>
    <w:p>
      <w:pPr>
        <w:pStyle w:val="ListBullet"/>
      </w:pPr>
      <w:r>
        <w:t>Actual: $4,100 vs. Budget: $5,000 — favorable $900</w:t>
      </w:r>
    </w:p>
    <w:p>
      <w:pPr>
        <w:pStyle w:val="ListBullet"/>
      </w:pPr>
      <w:r>
        <w:t>Deferred non-urgent landscaping to Q2; plumbing repair completed under budget</w:t>
      </w:r>
    </w:p>
    <w:p>
      <w:r>
        <w:rPr>
          <w:b/>
          <w:color w:val="2E75B6"/>
          <w:sz w:val="21"/>
        </w:rPr>
        <w:t>Taxes &amp; Insurance</w:t>
      </w:r>
    </w:p>
    <w:p>
      <w:pPr>
        <w:pStyle w:val="ListBullet"/>
      </w:pPr>
      <w:r>
        <w:t>Actual: $6,500 vs. Budget: $6,500 — on budget</w:t>
      </w:r>
    </w:p>
    <w:p>
      <w:pPr>
        <w:pStyle w:val="ListBullet"/>
      </w:pPr>
      <w:r>
        <w:t>Annual property tax installment paid in March as scheduled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Line Item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 Budget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 PY Actual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2-Year Actual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Var ($)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Var (%)</w:t>
            </w:r>
          </w:p>
        </w:tc>
      </w:tr>
      <w:tr>
        <w:tc>
          <w:tcPr>
            <w:tcW w:type="dxa" w:w="1680"/>
            <w:shd w:val="clear" w:color="auto" w:fill="FFFFFF"/>
          </w:tcPr>
          <w:p>
            <w:r/>
            <w:r>
              <w:rPr>
                <w:b/>
                <w:sz w:val="18"/>
              </w:rPr>
              <w:t>Total Operating Income</w:t>
            </w:r>
          </w:p>
        </w:tc>
        <w:tc>
          <w:tcPr>
            <w:tcW w:type="dxa" w:w="1680"/>
            <w:shd w:val="clear" w:color="auto" w:fill="FFFFFF"/>
          </w:tcPr>
          <w:p>
            <w:r/>
            <w:r>
              <w:rPr>
                <w:b w:val="0"/>
                <w:sz w:val="18"/>
              </w:rPr>
              <w:t>$41,000</w:t>
            </w:r>
          </w:p>
        </w:tc>
        <w:tc>
          <w:tcPr>
            <w:tcW w:type="dxa" w:w="1680"/>
            <w:shd w:val="clear" w:color="auto" w:fill="FFFFFF"/>
          </w:tcPr>
          <w:p>
            <w:r/>
            <w:r>
              <w:rPr>
                <w:b w:val="0"/>
                <w:sz w:val="18"/>
              </w:rPr>
              <w:t>$40,800</w:t>
            </w:r>
          </w:p>
        </w:tc>
        <w:tc>
          <w:tcPr>
            <w:tcW w:type="dxa" w:w="1680"/>
            <w:shd w:val="clear" w:color="auto" w:fill="FFFFFF"/>
          </w:tcPr>
          <w:p>
            <w:r/>
            <w:r>
              <w:rPr>
                <w:b w:val="0"/>
                <w:sz w:val="18"/>
              </w:rPr>
              <w:t>$39,200</w:t>
            </w:r>
          </w:p>
        </w:tc>
        <w:tc>
          <w:tcPr>
            <w:tcW w:type="dxa" w:w="1680"/>
            <w:shd w:val="clear" w:color="auto" w:fill="FFFFFF"/>
          </w:tcPr>
          <w:p>
            <w:r/>
            <w:r>
              <w:rPr>
                <w:b w:val="0"/>
                <w:sz w:val="18"/>
              </w:rPr>
              <w:t>+$1,500</w:t>
            </w:r>
          </w:p>
        </w:tc>
        <w:tc>
          <w:tcPr>
            <w:tcW w:type="dxa" w:w="1680"/>
            <w:shd w:val="clear" w:color="auto" w:fill="FFFFFF"/>
          </w:tcPr>
          <w:p>
            <w:r/>
            <w:r>
              <w:rPr>
                <w:b w:val="0"/>
                <w:sz w:val="18"/>
              </w:rPr>
              <w:t>+3.7%</w:t>
            </w:r>
          </w:p>
        </w:tc>
      </w:tr>
      <w:tr>
        <w:tc>
          <w:tcPr>
            <w:tcW w:type="dxa" w:w="1680"/>
            <w:shd w:val="clear" w:color="auto" w:fill="EBF3FB"/>
          </w:tcPr>
          <w:p>
            <w:r/>
            <w:r>
              <w:rPr>
                <w:b/>
                <w:sz w:val="18"/>
              </w:rPr>
              <w:t>Payroll &amp; Benefits</w:t>
            </w:r>
          </w:p>
        </w:tc>
        <w:tc>
          <w:tcPr>
            <w:tcW w:type="dxa" w:w="1680"/>
            <w:shd w:val="clear" w:color="auto" w:fill="EBF3FB"/>
          </w:tcPr>
          <w:p>
            <w:r/>
            <w:r>
              <w:rPr>
                <w:b w:val="0"/>
                <w:sz w:val="18"/>
              </w:rPr>
              <w:t>$8,500</w:t>
            </w:r>
          </w:p>
        </w:tc>
        <w:tc>
          <w:tcPr>
            <w:tcW w:type="dxa" w:w="1680"/>
            <w:shd w:val="clear" w:color="auto" w:fill="EBF3FB"/>
          </w:tcPr>
          <w:p>
            <w:r/>
            <w:r>
              <w:rPr>
                <w:b w:val="0"/>
                <w:sz w:val="18"/>
              </w:rPr>
              <w:t>$8,300</w:t>
            </w:r>
          </w:p>
        </w:tc>
        <w:tc>
          <w:tcPr>
            <w:tcW w:type="dxa" w:w="1680"/>
            <w:shd w:val="clear" w:color="auto" w:fill="EBF3FB"/>
          </w:tcPr>
          <w:p>
            <w:r/>
            <w:r>
              <w:rPr>
                <w:b w:val="0"/>
                <w:sz w:val="18"/>
              </w:rPr>
              <w:t>$7,900</w:t>
            </w:r>
          </w:p>
        </w:tc>
        <w:tc>
          <w:tcPr>
            <w:tcW w:type="dxa" w:w="1680"/>
            <w:shd w:val="clear" w:color="auto" w:fill="EBF3FB"/>
          </w:tcPr>
          <w:p>
            <w:r/>
            <w:r>
              <w:rPr>
                <w:b w:val="0"/>
                <w:sz w:val="18"/>
              </w:rPr>
              <w:t>($300)</w:t>
            </w:r>
          </w:p>
        </w:tc>
        <w:tc>
          <w:tcPr>
            <w:tcW w:type="dxa" w:w="1680"/>
            <w:shd w:val="clear" w:color="auto" w:fill="EBF3FB"/>
          </w:tcPr>
          <w:p>
            <w:r/>
            <w:r>
              <w:rPr>
                <w:b w:val="0"/>
                <w:sz w:val="18"/>
              </w:rPr>
              <w:t>-3.5%</w:t>
            </w:r>
          </w:p>
        </w:tc>
      </w:tr>
      <w:tr>
        <w:tc>
          <w:tcPr>
            <w:tcW w:type="dxa" w:w="1680"/>
            <w:shd w:val="clear" w:color="auto" w:fill="FFFFFF"/>
          </w:tcPr>
          <w:p>
            <w:r/>
            <w:r>
              <w:rPr>
                <w:b/>
                <w:sz w:val="18"/>
              </w:rPr>
              <w:t>Repairs &amp; Maintenance</w:t>
            </w:r>
          </w:p>
        </w:tc>
        <w:tc>
          <w:tcPr>
            <w:tcW w:type="dxa" w:w="1680"/>
            <w:shd w:val="clear" w:color="auto" w:fill="FFFFFF"/>
          </w:tcPr>
          <w:p>
            <w:r/>
            <w:r>
              <w:rPr>
                <w:b w:val="0"/>
                <w:sz w:val="18"/>
              </w:rPr>
              <w:t>$5,000</w:t>
            </w:r>
          </w:p>
        </w:tc>
        <w:tc>
          <w:tcPr>
            <w:tcW w:type="dxa" w:w="1680"/>
            <w:shd w:val="clear" w:color="auto" w:fill="FFFFFF"/>
          </w:tcPr>
          <w:p>
            <w:r/>
            <w:r>
              <w:rPr>
                <w:b w:val="0"/>
                <w:sz w:val="18"/>
              </w:rPr>
              <w:t>$4,800</w:t>
            </w:r>
          </w:p>
        </w:tc>
        <w:tc>
          <w:tcPr>
            <w:tcW w:type="dxa" w:w="1680"/>
            <w:shd w:val="clear" w:color="auto" w:fill="FFFFFF"/>
          </w:tcPr>
          <w:p>
            <w:r/>
            <w:r>
              <w:rPr>
                <w:b w:val="0"/>
                <w:sz w:val="18"/>
              </w:rPr>
              <w:t>$4,500</w:t>
            </w:r>
          </w:p>
        </w:tc>
        <w:tc>
          <w:tcPr>
            <w:tcW w:type="dxa" w:w="1680"/>
            <w:shd w:val="clear" w:color="auto" w:fill="FFFFFF"/>
          </w:tcPr>
          <w:p>
            <w:r/>
            <w:r>
              <w:rPr>
                <w:b w:val="0"/>
                <w:sz w:val="18"/>
              </w:rPr>
              <w:t>($900)</w:t>
            </w:r>
          </w:p>
        </w:tc>
        <w:tc>
          <w:tcPr>
            <w:tcW w:type="dxa" w:w="1680"/>
            <w:shd w:val="clear" w:color="auto" w:fill="FFFFFF"/>
          </w:tcPr>
          <w:p>
            <w:r/>
            <w:r>
              <w:rPr>
                <w:b w:val="0"/>
                <w:sz w:val="18"/>
              </w:rPr>
              <w:t>-18.0%</w:t>
            </w:r>
          </w:p>
        </w:tc>
      </w:tr>
      <w:tr>
        <w:tc>
          <w:tcPr>
            <w:tcW w:type="dxa" w:w="1680"/>
            <w:shd w:val="clear" w:color="auto" w:fill="EBF3FB"/>
          </w:tcPr>
          <w:p>
            <w:r/>
            <w:r>
              <w:rPr>
                <w:b/>
                <w:sz w:val="18"/>
              </w:rPr>
              <w:t>Taxes &amp; Insurance</w:t>
            </w:r>
          </w:p>
        </w:tc>
        <w:tc>
          <w:tcPr>
            <w:tcW w:type="dxa" w:w="1680"/>
            <w:shd w:val="clear" w:color="auto" w:fill="EBF3FB"/>
          </w:tcPr>
          <w:p>
            <w:r/>
            <w:r>
              <w:rPr>
                <w:b w:val="0"/>
                <w:sz w:val="18"/>
              </w:rPr>
              <w:t>$6,500</w:t>
            </w:r>
          </w:p>
        </w:tc>
        <w:tc>
          <w:tcPr>
            <w:tcW w:type="dxa" w:w="1680"/>
            <w:shd w:val="clear" w:color="auto" w:fill="EBF3FB"/>
          </w:tcPr>
          <w:p>
            <w:r/>
            <w:r>
              <w:rPr>
                <w:b w:val="0"/>
                <w:sz w:val="18"/>
              </w:rPr>
              <w:t>$6,500</w:t>
            </w:r>
          </w:p>
        </w:tc>
        <w:tc>
          <w:tcPr>
            <w:tcW w:type="dxa" w:w="1680"/>
            <w:shd w:val="clear" w:color="auto" w:fill="EBF3FB"/>
          </w:tcPr>
          <w:p>
            <w:r/>
            <w:r>
              <w:rPr>
                <w:b w:val="0"/>
                <w:sz w:val="18"/>
              </w:rPr>
              <w:t>$6,200</w:t>
            </w:r>
          </w:p>
        </w:tc>
        <w:tc>
          <w:tcPr>
            <w:tcW w:type="dxa" w:w="1680"/>
            <w:shd w:val="clear" w:color="auto" w:fill="EBF3FB"/>
          </w:tcPr>
          <w:p>
            <w:r/>
            <w:r>
              <w:rPr>
                <w:b w:val="0"/>
                <w:sz w:val="18"/>
              </w:rPr>
              <w:t>$0</w:t>
            </w:r>
          </w:p>
        </w:tc>
        <w:tc>
          <w:tcPr>
            <w:tcW w:type="dxa" w:w="1680"/>
            <w:shd w:val="clear" w:color="auto" w:fill="EBF3FB"/>
          </w:tcPr>
          <w:p>
            <w:r/>
            <w:r>
              <w:rPr>
                <w:b w:val="0"/>
                <w:sz w:val="18"/>
              </w:rPr>
              <w:t>0.0%</w:t>
            </w:r>
          </w:p>
        </w:tc>
      </w:tr>
      <w:tr>
        <w:tc>
          <w:tcPr>
            <w:tcW w:type="dxa" w:w="1680"/>
            <w:shd w:val="clear" w:color="auto" w:fill="FFFFFF"/>
          </w:tcPr>
          <w:p>
            <w:r/>
            <w:r>
              <w:rPr>
                <w:b/>
                <w:sz w:val="18"/>
              </w:rPr>
              <w:t>Total Operating Expense</w:t>
            </w:r>
          </w:p>
        </w:tc>
        <w:tc>
          <w:tcPr>
            <w:tcW w:type="dxa" w:w="1680"/>
            <w:shd w:val="clear" w:color="auto" w:fill="FFFFFF"/>
          </w:tcPr>
          <w:p>
            <w:r/>
            <w:r>
              <w:rPr>
                <w:b w:val="0"/>
                <w:sz w:val="18"/>
              </w:rPr>
              <w:t>$26,000</w:t>
            </w:r>
          </w:p>
        </w:tc>
        <w:tc>
          <w:tcPr>
            <w:tcW w:type="dxa" w:w="1680"/>
            <w:shd w:val="clear" w:color="auto" w:fill="FFFFFF"/>
          </w:tcPr>
          <w:p>
            <w:r/>
            <w:r>
              <w:rPr>
                <w:b w:val="0"/>
                <w:sz w:val="18"/>
              </w:rPr>
              <w:t>$25,200</w:t>
            </w:r>
          </w:p>
        </w:tc>
        <w:tc>
          <w:tcPr>
            <w:tcW w:type="dxa" w:w="1680"/>
            <w:shd w:val="clear" w:color="auto" w:fill="FFFFFF"/>
          </w:tcPr>
          <w:p>
            <w:r/>
            <w:r>
              <w:rPr>
                <w:b w:val="0"/>
                <w:sz w:val="18"/>
              </w:rPr>
              <w:t>$24,000</w:t>
            </w:r>
          </w:p>
        </w:tc>
        <w:tc>
          <w:tcPr>
            <w:tcW w:type="dxa" w:w="1680"/>
            <w:shd w:val="clear" w:color="auto" w:fill="FFFFFF"/>
          </w:tcPr>
          <w:p>
            <w:r/>
            <w:r>
              <w:rPr>
                <w:b w:val="0"/>
                <w:sz w:val="18"/>
              </w:rPr>
              <w:t>($1,200)</w:t>
            </w:r>
          </w:p>
        </w:tc>
        <w:tc>
          <w:tcPr>
            <w:tcW w:type="dxa" w:w="1680"/>
            <w:shd w:val="clear" w:color="auto" w:fill="FFFFFF"/>
          </w:tcPr>
          <w:p>
            <w:r/>
            <w:r>
              <w:rPr>
                <w:b w:val="0"/>
                <w:sz w:val="18"/>
              </w:rPr>
              <w:t>-4.6%</w:t>
            </w:r>
          </w:p>
        </w:tc>
      </w:tr>
      <w:tr>
        <w:tc>
          <w:tcPr>
            <w:tcW w:type="dxa" w:w="1680"/>
            <w:shd w:val="clear" w:color="auto" w:fill="EBF3FB"/>
          </w:tcPr>
          <w:p>
            <w:r/>
            <w:r>
              <w:rPr>
                <w:b/>
                <w:sz w:val="18"/>
              </w:rPr>
              <w:t>Net Operating Income</w:t>
            </w:r>
          </w:p>
        </w:tc>
        <w:tc>
          <w:tcPr>
            <w:tcW w:type="dxa" w:w="1680"/>
            <w:shd w:val="clear" w:color="auto" w:fill="EBF3FB"/>
          </w:tcPr>
          <w:p>
            <w:r/>
            <w:r>
              <w:rPr>
                <w:b w:val="0"/>
                <w:sz w:val="18"/>
              </w:rPr>
              <w:t>$15,000</w:t>
            </w:r>
          </w:p>
        </w:tc>
        <w:tc>
          <w:tcPr>
            <w:tcW w:type="dxa" w:w="1680"/>
            <w:shd w:val="clear" w:color="auto" w:fill="EBF3FB"/>
          </w:tcPr>
          <w:p>
            <w:r/>
            <w:r>
              <w:rPr>
                <w:b w:val="0"/>
                <w:sz w:val="18"/>
              </w:rPr>
              <w:t>$15,600</w:t>
            </w:r>
          </w:p>
        </w:tc>
        <w:tc>
          <w:tcPr>
            <w:tcW w:type="dxa" w:w="1680"/>
            <w:shd w:val="clear" w:color="auto" w:fill="EBF3FB"/>
          </w:tcPr>
          <w:p>
            <w:r/>
            <w:r>
              <w:rPr>
                <w:b w:val="0"/>
                <w:sz w:val="18"/>
              </w:rPr>
              <w:t>$15,200</w:t>
            </w:r>
          </w:p>
        </w:tc>
        <w:tc>
          <w:tcPr>
            <w:tcW w:type="dxa" w:w="1680"/>
            <w:shd w:val="clear" w:color="auto" w:fill="EBF3FB"/>
          </w:tcPr>
          <w:p>
            <w:r/>
            <w:r>
              <w:rPr>
                <w:b w:val="0"/>
                <w:sz w:val="18"/>
              </w:rPr>
              <w:t>+$2,700</w:t>
            </w:r>
          </w:p>
        </w:tc>
        <w:tc>
          <w:tcPr>
            <w:tcW w:type="dxa" w:w="1680"/>
            <w:shd w:val="clear" w:color="auto" w:fill="EBF3FB"/>
          </w:tcPr>
          <w:p>
            <w:r/>
            <w:r>
              <w:rPr>
                <w:b w:val="0"/>
                <w:sz w:val="18"/>
              </w:rPr>
              <w:t>+18.0%</w:t>
            </w:r>
          </w:p>
        </w:tc>
      </w:tr>
    </w:tbl>
    <w:p>
      <w:pPr>
        <w:spacing w:before="120" w:after="80"/>
        <w:shd w:val="clear" w:color="auto" w:fill="1F3864"/>
      </w:pPr>
      <w:r>
        <w:rPr>
          <w:b/>
          <w:color w:val="FFFFFF"/>
          <w:sz w:val="22"/>
        </w:rPr>
        <w:t xml:space="preserve">  PROPERTY VALUATION — INCOME APPROACH</w:t>
      </w:r>
    </w:p>
    <w:p>
      <w:r>
        <w:rPr>
          <w:sz w:val="22"/>
        </w:rPr>
        <w:t xml:space="preserve">Estimated property value is calculated as </w:t>
      </w:r>
      <w:r>
        <w:rPr>
          <w:b/>
          <w:sz w:val="22"/>
        </w:rPr>
        <w:t>Adjusted NOI ÷ Cap Rate</w:t>
      </w:r>
      <w:r>
        <w:rPr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8"/>
              </w:rPr>
              <w:t>$177,188</w:t>
              <w:br/>
            </w:r>
            <w:r>
              <w:rPr>
                <w:color w:val="595959"/>
                <w:sz w:val="16"/>
              </w:rPr>
              <w:t>Adjusted Annual NOI</w:t>
            </w:r>
          </w:p>
        </w:tc>
        <w:tc>
          <w:tcPr>
            <w:tcW w:type="dxa" w:w="201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8"/>
              </w:rPr>
              <w:t>7.50%</w:t>
              <w:br/>
            </w:r>
            <w:r>
              <w:rPr>
                <w:color w:val="595959"/>
                <w:sz w:val="16"/>
              </w:rPr>
              <w:t>Cap Rate</w:t>
            </w:r>
          </w:p>
        </w:tc>
        <w:tc>
          <w:tcPr>
            <w:tcW w:type="dxa" w:w="201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8"/>
              </w:rPr>
              <w:t>$2,362,500</w:t>
              <w:br/>
            </w:r>
            <w:r>
              <w:rPr>
                <w:color w:val="595959"/>
                <w:sz w:val="16"/>
              </w:rPr>
              <w:t>Est. Property Value</w:t>
            </w:r>
          </w:p>
        </w:tc>
        <w:tc>
          <w:tcPr>
            <w:tcW w:type="dxa" w:w="201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8"/>
              </w:rPr>
              <w:t>$1,250,000</w:t>
              <w:br/>
            </w:r>
            <w:r>
              <w:rPr>
                <w:color w:val="595959"/>
                <w:sz w:val="16"/>
              </w:rPr>
              <w:t>Less: Mortgage Debt</w:t>
            </w:r>
          </w:p>
        </w:tc>
        <w:tc>
          <w:tcPr>
            <w:tcW w:type="dxa" w:w="201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8"/>
              </w:rPr>
              <w:t>$1,112,500</w:t>
              <w:br/>
            </w:r>
            <w:r>
              <w:rPr>
                <w:color w:val="595959"/>
                <w:sz w:val="16"/>
              </w:rPr>
              <w:t>Est. Equity Residual</w:t>
            </w:r>
          </w:p>
        </w:tc>
      </w:tr>
    </w:tbl>
    <w:p>
      <w:r>
        <w:rPr>
          <w:b/>
          <w:color w:val="2E75B6"/>
          <w:sz w:val="21"/>
        </w:rPr>
        <w:t>Sensitivity: Equity Residual by Cap Rate (Budget NOI of $177,188)</w:t>
      </w:r>
    </w:p>
    <w:p>
      <w:r>
        <w:rPr>
          <w:color w:val="595959"/>
          <w:sz w:val="16"/>
        </w:rPr>
        <w:t>Green = equity &gt; $3.0M  |  Red = equity &lt; $1.5M  |  Gold = base case budget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NOI Scenario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6.0%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6.5%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7.0%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7.5%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8.0%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8.5%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Stress −10%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$1,407,820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$1,203,372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$1,028,131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$876,256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$743,365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$626,108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Base −5%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$1,555,477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$1,339,671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$1,154,694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$994,381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$854,108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$730,336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$1,703,133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$1,475,969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$1,281,257</w:t>
            </w:r>
          </w:p>
        </w:tc>
        <w:tc>
          <w:tcPr>
            <w:tcW w:type="dxa" w:w="1440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$1,112,507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$964,850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$834,565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Upside +5%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$1,850,790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$1,612,268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$1,407,820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$1,230,632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$1,075,592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$938,793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Upside +10%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$1,998,447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$1,748,566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$1,534,383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$1,348,757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$1,186,335</w:t>
            </w:r>
          </w:p>
        </w:tc>
        <w:tc>
          <w:tcPr>
            <w:tcW w:type="dxa" w:w="1440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$1,043,021</w:t>
            </w:r>
          </w:p>
        </w:tc>
      </w:tr>
    </w:tbl>
    <w:p>
      <w:r>
        <w:rPr>
          <w:b/>
          <w:color w:val="2E75B6"/>
          <w:sz w:val="21"/>
        </w:rPr>
        <w:t>Valuation Considerations</w:t>
      </w:r>
    </w:p>
    <w:p>
      <w:pPr>
        <w:pStyle w:val="ListBullet"/>
      </w:pPr>
      <w:r>
        <w:t>Cap rate of 7.50% is based on comparable multifamily transactions in the local market over the trailing 12 months.</w:t>
      </w:r>
    </w:p>
    <w:p>
      <w:pPr>
        <w:pStyle w:val="ListBullet"/>
      </w:pPr>
      <w:r>
        <w:t>Outstanding mortgage debt of $1,250,000 carries a fixed rate of 5.25%; refinancing opportunity exists if rates decline below 5.00%.</w:t>
      </w:r>
    </w:p>
    <w:p>
      <w:pPr>
        <w:pStyle w:val="ListBullet"/>
      </w:pPr>
      <w:r>
        <w:t>Sensitivity analysis shows equity remains positive across all tested scenarios; stress case at 8.5% cap rate still yields ~$625K equity.</w:t>
      </w:r>
    </w:p>
    <w:p>
      <w:pPr>
        <w:spacing w:before="120" w:after="80"/>
        <w:shd w:val="clear" w:color="auto" w:fill="1F3864"/>
      </w:pPr>
      <w:r>
        <w:rPr>
          <w:b/>
          <w:color w:val="FFFFFF"/>
          <w:sz w:val="22"/>
        </w:rPr>
        <w:t xml:space="preserve">  2026 ANNUAL CASH FLOW OUTLOOK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Line Item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Budgeted Operating Income</w:t>
            </w:r>
          </w:p>
        </w:tc>
        <w:tc>
          <w:tcPr>
            <w:tcW w:type="dxa" w:w="504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$492,000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b w:val="0"/>
                <w:sz w:val="18"/>
              </w:rPr>
              <w:t>Budgeted Operating Expense</w:t>
            </w:r>
          </w:p>
        </w:tc>
        <w:tc>
          <w:tcPr>
            <w:tcW w:type="dxa" w:w="5040"/>
            <w:shd w:val="clear" w:color="auto" w:fill="EBF3FB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($314,813)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Net Operating Income (Adj.)</w:t>
            </w:r>
          </w:p>
        </w:tc>
        <w:tc>
          <w:tcPr>
            <w:tcW w:type="dxa" w:w="504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$177,188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b w:val="0"/>
                <w:sz w:val="18"/>
              </w:rPr>
              <w:t>Less: Mortgage Interest</w:t>
            </w:r>
          </w:p>
        </w:tc>
        <w:tc>
          <w:tcPr>
            <w:tcW w:type="dxa" w:w="5040"/>
            <w:shd w:val="clear" w:color="auto" w:fill="EBF3FB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($65,625)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Less: Principal Reduction</w:t>
            </w:r>
          </w:p>
        </w:tc>
        <w:tc>
          <w:tcPr>
            <w:tcW w:type="dxa" w:w="504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($18,750)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b/>
                <w:sz w:val="18"/>
              </w:rPr>
              <w:t>Cash Flow Before CapEx</w:t>
            </w:r>
          </w:p>
        </w:tc>
        <w:tc>
          <w:tcPr>
            <w:tcW w:type="dxa" w:w="5040"/>
            <w:shd w:val="clear" w:color="auto" w:fill="EBF3FB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$92,813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Capital Expenditures</w:t>
            </w:r>
          </w:p>
        </w:tc>
        <w:tc>
          <w:tcPr>
            <w:tcW w:type="dxa" w:w="504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($35,000)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/>
            <w:r>
              <w:rPr>
                <w:b/>
                <w:sz w:val="18"/>
              </w:rPr>
              <w:t>Cash Flow After CapEx</w:t>
            </w:r>
          </w:p>
        </w:tc>
        <w:tc>
          <w:tcPr>
            <w:tcW w:type="dxa" w:w="5040"/>
            <w:shd w:val="clear" w:color="auto" w:fill="EBF3FB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$57,813</w:t>
            </w:r>
          </w:p>
        </w:tc>
      </w:tr>
    </w:tbl>
    <w:p>
      <w:r>
        <w:rPr>
          <w:color w:val="595959"/>
          <w:sz w:val="16"/>
        </w:rPr>
        <w:t>Note: CapEx timing assumes $35,000 HVAC replacement in Q2 2026. Actual timing may shift based on vendor availability.</w:t>
      </w:r>
    </w:p>
    <w:p>
      <w:pPr>
        <w:spacing w:before="120" w:after="80"/>
        <w:shd w:val="clear" w:color="auto" w:fill="1F3864"/>
      </w:pPr>
      <w:r>
        <w:rPr>
          <w:b/>
          <w:color w:val="FFFFFF"/>
          <w:sz w:val="22"/>
        </w:rPr>
        <w:t xml:space="preserve">  MD&amp;A — MANAGEMENT DISCUSSION &amp; ANALYSIS</w:t>
      </w:r>
    </w:p>
    <w:p>
      <w:r>
        <w:rPr>
          <w:b/>
          <w:color w:val="2E75B6"/>
          <w:sz w:val="21"/>
        </w:rPr>
        <w:t>Revenue Analysis</w:t>
      </w:r>
    </w:p>
    <w:p>
      <w:r>
        <w:rPr>
          <w:sz w:val="22"/>
        </w:rPr>
        <w:t>Rental income of $38,000 for March 2026 reflects a 4.1% year-over-year increase, driven by a $50/unit average rent increase effective January 2026 across all 12 units. Occupancy remains at 100% for the third consecutive month. Fee income of $2,000 includes two late payment fees and one application fee for a unit turnover expected in April. Utility reimbursements of $2,500 tracked slightly above budget due to higher winter heating costs passed through to tenants.</w:t>
      </w:r>
    </w:p>
    <w:p>
      <w:r>
        <w:rPr>
          <w:b/>
          <w:color w:val="2E75B6"/>
          <w:sz w:val="21"/>
        </w:rPr>
        <w:t>Expense Analysis</w:t>
      </w:r>
    </w:p>
    <w:p>
      <w:r>
        <w:rPr>
          <w:sz w:val="22"/>
        </w:rPr>
        <w:t>Total operating expenses of $24,800 came in $1,200 (4.6%) below the monthly budget of $26,000. The primary driver was Repairs &amp; Maintenance at $4,100, which was $900 under budget due to deferral of non-critical landscaping work to Q2. Payroll held steady at $8,200, $300 below budget with no overtime charges. Insurance and property taxes tracked exactly to budget at $6,500. Management fees and administrative expenses combined at $6,000, consistent with expectations.</w:t>
      </w:r>
    </w:p>
    <w:p>
      <w:r>
        <w:rPr>
          <w:b/>
          <w:color w:val="2E75B6"/>
          <w:sz w:val="21"/>
        </w:rPr>
        <w:t>Operational Highlights</w:t>
      </w:r>
    </w:p>
    <w:p>
      <w:pPr>
        <w:pStyle w:val="ListBullet"/>
      </w:pPr>
      <w:r>
        <w:t>Occupancy: 12/12 units occupied (100%) — third consecutive month at full occupancy.</w:t>
      </w:r>
    </w:p>
    <w:p>
      <w:pPr>
        <w:pStyle w:val="ListBullet"/>
      </w:pPr>
      <w:r>
        <w:t>Lease Renewals: 3 leases renewing in Q2 2026; proposed 3.5% increase under review.</w:t>
      </w:r>
    </w:p>
    <w:p>
      <w:pPr>
        <w:pStyle w:val="ListBullet"/>
      </w:pPr>
      <w:r>
        <w:t>Maintenance: Emergency plumbing repair in Unit 4B completed for $1,200 (within budget).</w:t>
      </w:r>
    </w:p>
    <w:p>
      <w:pPr>
        <w:pStyle w:val="ListBullet"/>
      </w:pPr>
      <w:r>
        <w:t>Tenant Relations: Zero complaints filed in March; satisfaction survey scheduled for April.</w:t>
      </w:r>
    </w:p>
    <w:p>
      <w:pPr>
        <w:pStyle w:val="ListBullet"/>
      </w:pPr>
      <w:r>
        <w:t>Energy Efficiency: LED retrofit in common areas completed; expected $200/month utility savings.</w:t>
      </w:r>
    </w:p>
    <w:p>
      <w:r>
        <w:rPr>
          <w:b/>
          <w:color w:val="2E75B6"/>
          <w:sz w:val="21"/>
        </w:rPr>
        <w:t>Risks &amp; Opportunities</w:t>
      </w:r>
    </w:p>
    <w:p>
      <w:r>
        <w:rPr>
          <w:b/>
          <w:sz w:val="22"/>
        </w:rPr>
        <w:t>Risks:</w:t>
      </w:r>
    </w:p>
    <w:p>
      <w:pPr>
        <w:pStyle w:val="ListBullet"/>
      </w:pPr>
      <w:r>
        <w:t>HVAC system in Building A is 18 years old; failure risk increases operating exposure by est. $15,000 if emergency replacement is required.</w:t>
      </w:r>
    </w:p>
    <w:p>
      <w:pPr>
        <w:pStyle w:val="ListBullet"/>
      </w:pPr>
      <w:r>
        <w:t>Property tax reassessment scheduled for Q3 2026 could increase annual tax burden by 5–8%.</w:t>
      </w:r>
    </w:p>
    <w:p>
      <w:pPr>
        <w:pStyle w:val="ListBullet"/>
      </w:pPr>
      <w:r>
        <w:t>One tenant (Unit 7A) has indicated potential early lease termination; 60-day notice period applies.</w:t>
      </w:r>
    </w:p>
    <w:p>
      <w:r>
        <w:rPr>
          <w:b/>
          <w:sz w:val="22"/>
        </w:rPr>
        <w:t>Opportunities:</w:t>
      </w:r>
    </w:p>
    <w:p>
      <w:pPr>
        <w:pStyle w:val="ListBullet"/>
      </w:pPr>
      <w:r>
        <w:t>Rent increase of 3.5% on Q2 renewals would add approximately $4,800 in annual revenue.</w:t>
      </w:r>
    </w:p>
    <w:p>
      <w:pPr>
        <w:pStyle w:val="ListBullet"/>
      </w:pPr>
      <w:r>
        <w:t>Solar panel installation grant application pending; if approved, could reduce utility expense by $3,600/year.</w:t>
      </w:r>
    </w:p>
    <w:p>
      <w:pPr>
        <w:pStyle w:val="ListBullet"/>
      </w:pPr>
      <w:r>
        <w:t>Adjacent parcel available for purchase — potential expansion opportunity worth preliminary due diligence.</w:t>
      </w:r>
    </w:p>
    <w:p>
      <w:r>
        <w:rPr>
          <w:b/>
          <w:color w:val="2E75B6"/>
          <w:sz w:val="21"/>
        </w:rPr>
        <w:t>Outlook</w:t>
      </w:r>
    </w:p>
    <w:p>
      <w:r>
        <w:rPr>
          <w:sz w:val="22"/>
        </w:rPr>
        <w:t>Looking ahead to Q2 2026, management expects continued strong occupancy with 3 lease renewals providing an opportunity to capture market-rate increases. The HVAC replacement project represents the largest capital decision on the horizon and should be approved by mid-April to secure favorable contractor pricing. If rent increases and expense controls hold, full-year NOI is projected to exceed budget by approximately 5–8%, which would further strengthen the property's valuation position.</w:t>
      </w:r>
    </w:p>
    <w:p>
      <w:pPr>
        <w:spacing w:before="120" w:after="80"/>
        <w:shd w:val="clear" w:color="auto" w:fill="1F3864"/>
      </w:pPr>
      <w:r>
        <w:rPr>
          <w:b/>
          <w:color w:val="FFFFFF"/>
          <w:sz w:val="22"/>
        </w:rPr>
        <w:t xml:space="preserve">  ACTION ITEMS FOR CFO REVIEW</w:t>
      </w:r>
    </w:p>
    <w:p>
      <w:r>
        <w:rPr>
          <w:sz w:val="22"/>
        </w:rPr>
        <w:t>The following items require your decision or sign-off.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 Item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Deadline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Approve $35,000 HVAC replacement CapEx for Building 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CFO / Property Mgr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April 15, 2026</w:t>
            </w:r>
          </w:p>
        </w:tc>
        <w:tc>
          <w:tcPr>
            <w:tcW w:type="dxa" w:w="2016"/>
            <w:shd w:val="clear" w:color="auto" w:fill="FFC7CE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Review and approve Q2 lease renewal terms (3.5% increase)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CFO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April 10, 2026</w:t>
            </w:r>
          </w:p>
        </w:tc>
        <w:tc>
          <w:tcPr>
            <w:tcW w:type="dxa" w:w="2016"/>
            <w:shd w:val="clear" w:color="auto" w:fill="FFC7CE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Evaluate refinancing options for mortgage (current 5.25%)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CFO / Treasurer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May 1, 2026</w:t>
            </w:r>
          </w:p>
        </w:tc>
        <w:tc>
          <w:tcPr>
            <w:tcW w:type="dxa" w:w="2016"/>
            <w:shd w:val="clear" w:color="auto" w:fill="FFEB9C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Review solar panel grant application before submission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CFO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April 30, 2026</w:t>
            </w:r>
          </w:p>
        </w:tc>
        <w:tc>
          <w:tcPr>
            <w:tcW w:type="dxa" w:w="2016"/>
            <w:shd w:val="clear" w:color="auto" w:fill="FFEB9C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Assess adjacent parcel acquisition opportunity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CFO / VP Development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June 1, 2026</w:t>
            </w:r>
          </w:p>
        </w:tc>
        <w:tc>
          <w:tcPr>
            <w:tcW w:type="dxa" w:w="2016"/>
            <w:shd w:val="clear" w:color="auto" w:fill="C6EFCE"/>
          </w:tcPr>
          <w:p>
            <w:r/>
            <w:r>
              <w:rPr>
                <w:b w:val="0"/>
                <w:sz w:val="18"/>
              </w:rPr>
              <w:t>Low</w:t>
            </w:r>
          </w:p>
        </w:tc>
      </w:tr>
    </w:tbl>
    <w:p>
      <w:pPr>
        <w:spacing w:before="240"/>
      </w:pPr>
      <w:r>
        <w:rPr>
          <w:b/>
          <w:color w:val="1F4E79"/>
          <w:sz w:val="22"/>
        </w:rPr>
        <w:t>CFO Sign-Off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Comments / Directives</w:t>
            </w:r>
          </w:p>
        </w:tc>
      </w:tr>
      <w:tr>
        <w:trPr>
          <w:trHeight w:val="1134"/>
        </w:trP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color w:val="595959"/>
          <w:sz w:val="16"/>
        </w:rPr>
        <w:t>Supporting detail available in the attached Excel workbook: TestProperty_Financial_Analysis_March2026.xlsx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