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i w:val="0"/>
          <w:color w:val="2C3E50"/>
          <w:sz w:val="36"/>
        </w:rPr>
        <w:t>EDUPULSE: AN INTEGRATED ACADEMIC PORTAL AND CRM</w:t>
        <w:br/>
        <w:t>WITH HYBRID RECOMMENDATIONS AND AI SUPPORT</w:t>
      </w:r>
    </w:p>
    <w:p>
      <w:pPr>
        <w:spacing w:after="720"/>
        <w:jc w:val="center"/>
      </w:pPr>
      <w:r>
        <w:rPr>
          <w:rFonts w:ascii="Arial" w:hAnsi="Arial"/>
          <w:b w:val="0"/>
          <w:i/>
          <w:color w:val="7F878F"/>
          <w:sz w:val="24"/>
        </w:rPr>
        <w:t>Technical Documentation &amp; Thesis Write-up for MTech Degree Project</w:t>
      </w:r>
    </w:p>
    <w:p>
      <w:r>
        <w:br w:type="page"/>
      </w:r>
    </w:p>
    <w:p>
      <w:pPr>
        <w:keepNext/>
        <w:spacing w:before="360" w:after="120"/>
      </w:pPr>
      <w:r>
        <w:rPr>
          <w:rFonts w:ascii="Arial" w:hAnsi="Arial"/>
          <w:b/>
          <w:i w:val="0"/>
          <w:color w:val="2C3E50"/>
          <w:sz w:val="32"/>
        </w:rPr>
        <w:t>1. Executive Summary / Abstract</w:t>
      </w:r>
    </w:p>
    <w:p>
      <w:pPr>
        <w:spacing w:after="120" w:line="276" w:lineRule="auto"/>
      </w:pPr>
      <w:r>
        <w:rPr>
          <w:rFonts w:ascii="Calibri" w:hAnsi="Calibri"/>
          <w:b w:val="0"/>
          <w:i w:val="0"/>
          <w:color w:val="000000"/>
          <w:sz w:val="22"/>
        </w:rPr>
        <w:t>Modern higher education systems frequently suffer from administrative fragmentation, delays in support ticketing, and an inability to deliver customized academic assistance. This project presents EduPulse, an integrated, full-stack Academic Portal and CRM solution optimized for universities. Built using modern web technologies—Next.js 16, React 19, and Tailwind CSS—along with a backend MySQL database facilitated by Prisma ORM, EduPulse addresses critical system bottlenecks. Crucially, the platform includes a Python AI Subsystem powered by FastAPI, featuring an SVD (Singular Value Decomposition) and XGBoost hybrid recommendation model alongside an LLM-driven intelligent support chatbot. The resultant system delivers personalized study resources to students based on collaborative interactions, provides automated real-time database queries and web searches to resolve academic support ticket queries, and streamlines administrative workflows for campus registrars.</w:t>
      </w:r>
    </w:p>
    <w:p>
      <w:pPr>
        <w:keepNext/>
        <w:spacing w:before="360" w:after="120"/>
      </w:pPr>
      <w:r>
        <w:rPr>
          <w:rFonts w:ascii="Arial" w:hAnsi="Arial"/>
          <w:b/>
          <w:i w:val="0"/>
          <w:color w:val="2C3E50"/>
          <w:sz w:val="32"/>
        </w:rPr>
        <w:t>2. Introduction</w:t>
      </w:r>
    </w:p>
    <w:p>
      <w:pPr>
        <w:spacing w:after="120" w:line="276" w:lineRule="auto"/>
      </w:pPr>
      <w:r>
        <w:rPr>
          <w:rFonts w:ascii="Calibri" w:hAnsi="Calibri"/>
          <w:b w:val="0"/>
          <w:i w:val="0"/>
          <w:color w:val="000000"/>
          <w:sz w:val="22"/>
        </w:rPr>
        <w:t>Higher education environments manage massive student cohorts and extensive resource repositories. Students need direct access to study materials, clearance statuses, and technical query support. Administrators require comprehensive dashboards tracking finance and medical clearances, campaign broadcasters, and instant support ticket desks. Traditional systems lack the intelligence to bridge resources and students dynamically, leading to poor resource utilization and high support overhead. The objectives of the EduPulse system are to:</w:t>
      </w:r>
    </w:p>
    <w:p>
      <w:pPr>
        <w:pStyle w:val="ListBullet"/>
        <w:spacing w:after="60"/>
      </w:pPr>
      <w:r>
        <w:rPr>
          <w:rFonts w:ascii="Calibri" w:hAnsi="Calibri"/>
          <w:b w:val="0"/>
          <w:i w:val="0"/>
          <w:color w:val="000000"/>
          <w:sz w:val="22"/>
        </w:rPr>
        <w:t>Provide a responsive academic workspace for student resource browsing and real-time support tickets.</w:t>
      </w:r>
    </w:p>
    <w:p>
      <w:pPr>
        <w:pStyle w:val="ListBullet"/>
        <w:spacing w:after="60"/>
      </w:pPr>
      <w:r>
        <w:rPr>
          <w:rFonts w:ascii="Calibri" w:hAnsi="Calibri"/>
          <w:b w:val="0"/>
          <w:i w:val="0"/>
          <w:color w:val="000000"/>
          <w:sz w:val="22"/>
        </w:rPr>
        <w:t>Empower administrative staff with an educational CRM tracking tuition clearance and campaign dispatch.</w:t>
      </w:r>
    </w:p>
    <w:p>
      <w:pPr>
        <w:pStyle w:val="ListBullet"/>
        <w:spacing w:after="60"/>
      </w:pPr>
      <w:r>
        <w:rPr>
          <w:rFonts w:ascii="Calibri" w:hAnsi="Calibri"/>
          <w:b w:val="0"/>
          <w:i w:val="0"/>
          <w:color w:val="000000"/>
          <w:sz w:val="22"/>
        </w:rPr>
        <w:t>Introduce hybrid machine learning (SVD + XGBoost) to predict resource relevance per student profile.</w:t>
      </w:r>
    </w:p>
    <w:p>
      <w:pPr>
        <w:pStyle w:val="ListBullet"/>
        <w:spacing w:after="60"/>
      </w:pPr>
      <w:r>
        <w:rPr>
          <w:rFonts w:ascii="Calibri" w:hAnsi="Calibri"/>
          <w:b w:val="0"/>
          <w:i w:val="0"/>
          <w:color w:val="000000"/>
          <w:sz w:val="22"/>
        </w:rPr>
        <w:t>Integrate LLMs with real-time database extraction and web search to support ticket automation.</w:t>
      </w:r>
    </w:p>
    <w:p>
      <w:pPr>
        <w:keepNext/>
        <w:spacing w:before="360" w:after="120"/>
      </w:pPr>
      <w:r>
        <w:rPr>
          <w:rFonts w:ascii="Arial" w:hAnsi="Arial"/>
          <w:b/>
          <w:i w:val="0"/>
          <w:color w:val="2C3E50"/>
          <w:sz w:val="32"/>
        </w:rPr>
        <w:t>3. System Architecture &amp; Tech Stack</w:t>
      </w:r>
    </w:p>
    <w:p>
      <w:pPr>
        <w:spacing w:after="120" w:line="276" w:lineRule="auto"/>
      </w:pPr>
      <w:r>
        <w:rPr>
          <w:rFonts w:ascii="Calibri" w:hAnsi="Calibri"/>
          <w:b w:val="0"/>
          <w:i w:val="0"/>
          <w:color w:val="000000"/>
          <w:sz w:val="22"/>
        </w:rPr>
        <w:t>EduPulse employs a decoupled, multi-tier system architecture partitioned into three distinct operational layers:</w:t>
      </w:r>
    </w:p>
    <w:p>
      <w:pPr>
        <w:spacing w:after="120" w:line="276" w:lineRule="auto"/>
      </w:pPr>
      <w:r>
        <w:rPr>
          <w:rFonts w:ascii="Calibri" w:hAnsi="Calibri"/>
          <w:b/>
          <w:i w:val="0"/>
          <w:color w:val="000000"/>
          <w:sz w:val="22"/>
        </w:rPr>
        <w:t xml:space="preserve">Presentation Tier: </w:t>
      </w:r>
      <w:r>
        <w:rPr>
          <w:rFonts w:ascii="Calibri" w:hAnsi="Calibri"/>
          <w:b w:val="0"/>
          <w:i w:val="0"/>
          <w:color w:val="000000"/>
          <w:sz w:val="22"/>
        </w:rPr>
        <w:t>Responsible for rendering the student dashboard and admin interface. Next.js 16 utilizes the App Router architecture to ensure optimal page loads and caching, while Tailwind CSS v4 provides responsive grids. State propagation is coordinated through React context Providers.</w:t>
      </w:r>
    </w:p>
    <w:p>
      <w:pPr>
        <w:spacing w:after="120" w:line="276" w:lineRule="auto"/>
      </w:pPr>
      <w:r>
        <w:rPr>
          <w:rFonts w:ascii="Calibri" w:hAnsi="Calibri"/>
          <w:b/>
          <w:i w:val="0"/>
          <w:color w:val="000000"/>
          <w:sz w:val="22"/>
        </w:rPr>
        <w:t xml:space="preserve">Application / API Tier: </w:t>
      </w:r>
      <w:r>
        <w:rPr>
          <w:rFonts w:ascii="Calibri" w:hAnsi="Calibri"/>
          <w:b w:val="0"/>
          <w:i w:val="0"/>
          <w:color w:val="000000"/>
          <w:sz w:val="22"/>
        </w:rPr>
        <w:t>Node.js API routes under the Next.js server handle endpoint requests, secure JWT (jose) verification contained in HTTP-only cookies, and implement Server-Sent Events (SSE) to broadcast tickets and campaign state changes.</w:t>
      </w:r>
    </w:p>
    <w:p>
      <w:pPr>
        <w:spacing w:after="120" w:line="276" w:lineRule="auto"/>
      </w:pPr>
      <w:r>
        <w:rPr>
          <w:rFonts w:ascii="Calibri" w:hAnsi="Calibri"/>
          <w:b/>
          <w:i w:val="0"/>
          <w:color w:val="000000"/>
          <w:sz w:val="22"/>
        </w:rPr>
        <w:t xml:space="preserve">Data &amp; Model Integration Tier: </w:t>
      </w:r>
      <w:r>
        <w:rPr>
          <w:rFonts w:ascii="Calibri" w:hAnsi="Calibri"/>
          <w:b w:val="0"/>
          <w:i w:val="0"/>
          <w:color w:val="000000"/>
          <w:sz w:val="22"/>
        </w:rPr>
        <w:t>Composed of a MySQL database accessed via Prisma ORM for relational CRUD, and a FastAPI (Python) server hosting machine learning models and LLM wrappers to fulfill real-time recommendation and chatbot requests.</w:t>
      </w:r>
    </w:p>
    <w:p>
      <w:pPr>
        <w:keepNext/>
        <w:spacing w:before="360" w:after="120"/>
      </w:pPr>
      <w:r>
        <w:rPr>
          <w:rFonts w:ascii="Arial" w:hAnsi="Arial"/>
          <w:b/>
          <w:i w:val="0"/>
          <w:color w:val="2C3E50"/>
          <w:sz w:val="32"/>
        </w:rPr>
        <w:t>4. Database Design &amp; Data Dictionary</w:t>
      </w:r>
    </w:p>
    <w:p>
      <w:pPr>
        <w:spacing w:after="120" w:line="276" w:lineRule="auto"/>
      </w:pPr>
      <w:r>
        <w:rPr>
          <w:rFonts w:ascii="Calibri" w:hAnsi="Calibri"/>
          <w:b w:val="0"/>
          <w:i w:val="0"/>
          <w:color w:val="000000"/>
          <w:sz w:val="22"/>
        </w:rPr>
        <w:t>The application leverages a relational MySQL schema. Below is the data dictionary of the primary tables:</w:t>
      </w:r>
    </w:p>
    <w:p>
      <w:pPr>
        <w:keepNext/>
        <w:spacing w:before="240" w:after="80"/>
      </w:pPr>
      <w:r>
        <w:rPr>
          <w:rFonts w:ascii="Arial" w:hAnsi="Arial"/>
          <w:b/>
          <w:i w:val="0"/>
          <w:color w:val="34495E"/>
          <w:sz w:val="26"/>
        </w:rPr>
        <w:t>Table: Student</w:t>
      </w:r>
    </w:p>
    <w:tbl>
      <w:tblPr>
        <w:tblW w:type="auto" w:w="0"/>
        <w:jc w:val="center"/>
        <w:tblLook w:firstColumn="1" w:firstRow="1" w:lastColumn="0" w:lastRow="0" w:noHBand="0" w:noVBand="1" w:val="04A0"/>
      </w:tblPr>
      <w:tblGrid>
        <w:gridCol w:w="2340"/>
        <w:gridCol w:w="2340"/>
        <w:gridCol w:w="2340"/>
        <w:gridCol w:w="2340"/>
      </w:tblGrid>
      <w:tr>
        <w:tc>
          <w:tcPr>
            <w:tcW w:type="dxa" w:w="2340"/>
            <w:shd w:fill="2c3e50"/>
          </w:tcPr>
          <w:p>
            <w:pPr>
              <w:spacing w:after="40"/>
              <w:jc w:val="left"/>
            </w:pPr>
            <w:r>
              <w:rPr>
                <w:rFonts w:ascii="Arial" w:hAnsi="Arial"/>
                <w:b/>
                <w:i w:val="0"/>
                <w:color w:val="FFFFFF"/>
                <w:sz w:val="19"/>
              </w:rPr>
              <w:t>Column Name</w:t>
            </w:r>
          </w:p>
        </w:tc>
        <w:tc>
          <w:tcPr>
            <w:tcW w:type="dxa" w:w="2340"/>
            <w:shd w:fill="2c3e50"/>
          </w:tcPr>
          <w:p>
            <w:pPr>
              <w:spacing w:after="40"/>
              <w:jc w:val="left"/>
            </w:pPr>
            <w:r>
              <w:rPr>
                <w:rFonts w:ascii="Arial" w:hAnsi="Arial"/>
                <w:b/>
                <w:i w:val="0"/>
                <w:color w:val="FFFFFF"/>
                <w:sz w:val="19"/>
              </w:rPr>
              <w:t>Type</w:t>
            </w:r>
          </w:p>
        </w:tc>
        <w:tc>
          <w:tcPr>
            <w:tcW w:type="dxa" w:w="2340"/>
            <w:shd w:fill="2c3e50"/>
          </w:tcPr>
          <w:p>
            <w:pPr>
              <w:spacing w:after="40"/>
              <w:jc w:val="left"/>
            </w:pPr>
            <w:r>
              <w:rPr>
                <w:rFonts w:ascii="Arial" w:hAnsi="Arial"/>
                <w:b/>
                <w:i w:val="0"/>
                <w:color w:val="FFFFFF"/>
                <w:sz w:val="19"/>
              </w:rPr>
              <w:t>Constraints</w:t>
            </w:r>
          </w:p>
        </w:tc>
        <w:tc>
          <w:tcPr>
            <w:tcW w:type="dxa" w:w="2340"/>
            <w:shd w:fill="2c3e50"/>
          </w:tcPr>
          <w:p>
            <w:pPr>
              <w:spacing w:after="40"/>
              <w:jc w:val="left"/>
            </w:pPr>
            <w:r>
              <w:rPr>
                <w:rFonts w:ascii="Arial" w:hAnsi="Arial"/>
                <w:b/>
                <w:i w:val="0"/>
                <w:color w:val="FFFFFF"/>
                <w:sz w:val="19"/>
              </w:rPr>
              <w:t>Description</w:t>
            </w:r>
          </w:p>
        </w:tc>
      </w:tr>
      <w:tr>
        <w:tc>
          <w:tcPr>
            <w:tcW w:type="dxa" w:w="2340"/>
          </w:tcPr>
          <w:p>
            <w:pPr>
              <w:spacing w:after="40"/>
            </w:pPr>
            <w:r>
              <w:rPr>
                <w:rFonts w:ascii="Calibri" w:hAnsi="Calibri"/>
                <w:b w:val="0"/>
                <w:i w:val="0"/>
                <w:color w:val="000000"/>
                <w:sz w:val="19"/>
              </w:rPr>
              <w:t>id</w:t>
            </w:r>
          </w:p>
        </w:tc>
        <w:tc>
          <w:tcPr>
            <w:tcW w:type="dxa" w:w="2340"/>
          </w:tcPr>
          <w:p>
            <w:pPr>
              <w:spacing w:after="40"/>
            </w:pPr>
            <w:r>
              <w:rPr>
                <w:rFonts w:ascii="Calibri" w:hAnsi="Calibri"/>
                <w:b w:val="0"/>
                <w:i w:val="0"/>
                <w:color w:val="000000"/>
                <w:sz w:val="19"/>
              </w:rPr>
              <w:t>String</w:t>
            </w:r>
          </w:p>
        </w:tc>
        <w:tc>
          <w:tcPr>
            <w:tcW w:type="dxa" w:w="2340"/>
          </w:tcPr>
          <w:p>
            <w:pPr>
              <w:spacing w:after="40"/>
            </w:pPr>
            <w:r>
              <w:rPr>
                <w:rFonts w:ascii="Calibri" w:hAnsi="Calibri"/>
                <w:b w:val="0"/>
                <w:i w:val="0"/>
                <w:color w:val="000000"/>
                <w:sz w:val="19"/>
              </w:rPr>
              <w:t>PK, UUID</w:t>
            </w:r>
          </w:p>
        </w:tc>
        <w:tc>
          <w:tcPr>
            <w:tcW w:type="dxa" w:w="2340"/>
          </w:tcPr>
          <w:p>
            <w:pPr>
              <w:spacing w:after="40"/>
            </w:pPr>
            <w:r>
              <w:rPr>
                <w:rFonts w:ascii="Calibri" w:hAnsi="Calibri"/>
                <w:b w:val="0"/>
                <w:i w:val="0"/>
                <w:color w:val="000000"/>
                <w:sz w:val="19"/>
              </w:rPr>
              <w:t>Unique primary identifier for the student record.</w:t>
            </w:r>
          </w:p>
        </w:tc>
      </w:tr>
      <w:tr>
        <w:tc>
          <w:tcPr>
            <w:tcW w:type="dxa" w:w="2340"/>
          </w:tcPr>
          <w:p>
            <w:pPr>
              <w:spacing w:after="40"/>
            </w:pPr>
            <w:r>
              <w:rPr>
                <w:rFonts w:ascii="Calibri" w:hAnsi="Calibri"/>
                <w:b w:val="0"/>
                <w:i w:val="0"/>
                <w:color w:val="000000"/>
                <w:sz w:val="19"/>
              </w:rPr>
              <w:t>name</w:t>
            </w:r>
          </w:p>
        </w:tc>
        <w:tc>
          <w:tcPr>
            <w:tcW w:type="dxa" w:w="2340"/>
          </w:tcPr>
          <w:p>
            <w:pPr>
              <w:spacing w:after="40"/>
            </w:pPr>
            <w:r>
              <w:rPr>
                <w:rFonts w:ascii="Calibri" w:hAnsi="Calibri"/>
                <w:b w:val="0"/>
                <w:i w:val="0"/>
                <w:color w:val="000000"/>
                <w:sz w:val="19"/>
              </w:rPr>
              <w:t>String</w:t>
            </w:r>
          </w:p>
        </w:tc>
        <w:tc>
          <w:tcPr>
            <w:tcW w:type="dxa" w:w="2340"/>
          </w:tcPr>
          <w:p>
            <w:pPr>
              <w:spacing w:after="40"/>
            </w:pPr>
            <w:r>
              <w:rPr>
                <w:rFonts w:ascii="Calibri" w:hAnsi="Calibri"/>
                <w:b w:val="0"/>
                <w:i w:val="0"/>
                <w:color w:val="000000"/>
                <w:sz w:val="19"/>
              </w:rPr>
              <w:t>Required</w:t>
            </w:r>
          </w:p>
        </w:tc>
        <w:tc>
          <w:tcPr>
            <w:tcW w:type="dxa" w:w="2340"/>
          </w:tcPr>
          <w:p>
            <w:pPr>
              <w:spacing w:after="40"/>
            </w:pPr>
            <w:r>
              <w:rPr>
                <w:rFonts w:ascii="Calibri" w:hAnsi="Calibri"/>
                <w:b w:val="0"/>
                <w:i w:val="0"/>
                <w:color w:val="000000"/>
                <w:sz w:val="19"/>
              </w:rPr>
              <w:t>Full legal name of the student.</w:t>
            </w:r>
          </w:p>
        </w:tc>
      </w:tr>
      <w:tr>
        <w:tc>
          <w:tcPr>
            <w:tcW w:type="dxa" w:w="2340"/>
          </w:tcPr>
          <w:p>
            <w:pPr>
              <w:spacing w:after="40"/>
            </w:pPr>
            <w:r>
              <w:rPr>
                <w:rFonts w:ascii="Calibri" w:hAnsi="Calibri"/>
                <w:b w:val="0"/>
                <w:i w:val="0"/>
                <w:color w:val="000000"/>
                <w:sz w:val="19"/>
              </w:rPr>
              <w:t>matricule</w:t>
            </w:r>
          </w:p>
        </w:tc>
        <w:tc>
          <w:tcPr>
            <w:tcW w:type="dxa" w:w="2340"/>
          </w:tcPr>
          <w:p>
            <w:pPr>
              <w:spacing w:after="40"/>
            </w:pPr>
            <w:r>
              <w:rPr>
                <w:rFonts w:ascii="Calibri" w:hAnsi="Calibri"/>
                <w:b w:val="0"/>
                <w:i w:val="0"/>
                <w:color w:val="000000"/>
                <w:sz w:val="19"/>
              </w:rPr>
              <w:t>String</w:t>
            </w:r>
          </w:p>
        </w:tc>
        <w:tc>
          <w:tcPr>
            <w:tcW w:type="dxa" w:w="2340"/>
          </w:tcPr>
          <w:p>
            <w:pPr>
              <w:spacing w:after="40"/>
            </w:pPr>
            <w:r>
              <w:rPr>
                <w:rFonts w:ascii="Calibri" w:hAnsi="Calibri"/>
                <w:b w:val="0"/>
                <w:i w:val="0"/>
                <w:color w:val="000000"/>
                <w:sz w:val="19"/>
              </w:rPr>
              <w:t>Unique</w:t>
            </w:r>
          </w:p>
        </w:tc>
        <w:tc>
          <w:tcPr>
            <w:tcW w:type="dxa" w:w="2340"/>
          </w:tcPr>
          <w:p>
            <w:pPr>
              <w:spacing w:after="40"/>
            </w:pPr>
            <w:r>
              <w:rPr>
                <w:rFonts w:ascii="Calibri" w:hAnsi="Calibri"/>
                <w:b w:val="0"/>
                <w:i w:val="0"/>
                <w:color w:val="000000"/>
                <w:sz w:val="19"/>
              </w:rPr>
              <w:t>University matriculation number used for credentials.</w:t>
            </w:r>
          </w:p>
        </w:tc>
      </w:tr>
      <w:tr>
        <w:tc>
          <w:tcPr>
            <w:tcW w:type="dxa" w:w="2340"/>
          </w:tcPr>
          <w:p>
            <w:pPr>
              <w:spacing w:after="40"/>
            </w:pPr>
            <w:r>
              <w:rPr>
                <w:rFonts w:ascii="Calibri" w:hAnsi="Calibri"/>
                <w:b w:val="0"/>
                <w:i w:val="0"/>
                <w:color w:val="000000"/>
                <w:sz w:val="19"/>
              </w:rPr>
              <w:t>instEmail</w:t>
            </w:r>
          </w:p>
        </w:tc>
        <w:tc>
          <w:tcPr>
            <w:tcW w:type="dxa" w:w="2340"/>
          </w:tcPr>
          <w:p>
            <w:pPr>
              <w:spacing w:after="40"/>
            </w:pPr>
            <w:r>
              <w:rPr>
                <w:rFonts w:ascii="Calibri" w:hAnsi="Calibri"/>
                <w:b w:val="0"/>
                <w:i w:val="0"/>
                <w:color w:val="000000"/>
                <w:sz w:val="19"/>
              </w:rPr>
              <w:t>String</w:t>
            </w:r>
          </w:p>
        </w:tc>
        <w:tc>
          <w:tcPr>
            <w:tcW w:type="dxa" w:w="2340"/>
          </w:tcPr>
          <w:p>
            <w:pPr>
              <w:spacing w:after="40"/>
            </w:pPr>
            <w:r>
              <w:rPr>
                <w:rFonts w:ascii="Calibri" w:hAnsi="Calibri"/>
                <w:b w:val="0"/>
                <w:i w:val="0"/>
                <w:color w:val="000000"/>
                <w:sz w:val="19"/>
              </w:rPr>
              <w:t>Required</w:t>
            </w:r>
          </w:p>
        </w:tc>
        <w:tc>
          <w:tcPr>
            <w:tcW w:type="dxa" w:w="2340"/>
          </w:tcPr>
          <w:p>
            <w:pPr>
              <w:spacing w:after="40"/>
            </w:pPr>
            <w:r>
              <w:rPr>
                <w:rFonts w:ascii="Calibri" w:hAnsi="Calibri"/>
                <w:b w:val="0"/>
                <w:i w:val="0"/>
                <w:color w:val="000000"/>
                <w:sz w:val="19"/>
              </w:rPr>
              <w:t>Institutional email address.</w:t>
            </w:r>
          </w:p>
        </w:tc>
      </w:tr>
      <w:tr>
        <w:tc>
          <w:tcPr>
            <w:tcW w:type="dxa" w:w="2340"/>
          </w:tcPr>
          <w:p>
            <w:pPr>
              <w:spacing w:after="40"/>
            </w:pPr>
            <w:r>
              <w:rPr>
                <w:rFonts w:ascii="Calibri" w:hAnsi="Calibri"/>
                <w:b w:val="0"/>
                <w:i w:val="0"/>
                <w:color w:val="000000"/>
                <w:sz w:val="19"/>
              </w:rPr>
              <w:t>personalEmail</w:t>
            </w:r>
          </w:p>
        </w:tc>
        <w:tc>
          <w:tcPr>
            <w:tcW w:type="dxa" w:w="2340"/>
          </w:tcPr>
          <w:p>
            <w:pPr>
              <w:spacing w:after="40"/>
            </w:pPr>
            <w:r>
              <w:rPr>
                <w:rFonts w:ascii="Calibri" w:hAnsi="Calibri"/>
                <w:b w:val="0"/>
                <w:i w:val="0"/>
                <w:color w:val="000000"/>
                <w:sz w:val="19"/>
              </w:rPr>
              <w:t>String</w:t>
            </w:r>
          </w:p>
        </w:tc>
        <w:tc>
          <w:tcPr>
            <w:tcW w:type="dxa" w:w="2340"/>
          </w:tcPr>
          <w:p>
            <w:pPr>
              <w:spacing w:after="40"/>
            </w:pPr>
            <w:r>
              <w:rPr>
                <w:rFonts w:ascii="Calibri" w:hAnsi="Calibri"/>
                <w:b w:val="0"/>
                <w:i w:val="0"/>
                <w:color w:val="000000"/>
                <w:sz w:val="19"/>
              </w:rPr>
              <w:t>Required</w:t>
            </w:r>
          </w:p>
        </w:tc>
        <w:tc>
          <w:tcPr>
            <w:tcW w:type="dxa" w:w="2340"/>
          </w:tcPr>
          <w:p>
            <w:pPr>
              <w:spacing w:after="40"/>
            </w:pPr>
            <w:r>
              <w:rPr>
                <w:rFonts w:ascii="Calibri" w:hAnsi="Calibri"/>
                <w:b w:val="0"/>
                <w:i w:val="0"/>
                <w:color w:val="000000"/>
                <w:sz w:val="19"/>
              </w:rPr>
              <w:t>Personal contact email address.</w:t>
            </w:r>
          </w:p>
        </w:tc>
      </w:tr>
      <w:tr>
        <w:tc>
          <w:tcPr>
            <w:tcW w:type="dxa" w:w="2340"/>
          </w:tcPr>
          <w:p>
            <w:pPr>
              <w:spacing w:after="40"/>
            </w:pPr>
            <w:r>
              <w:rPr>
                <w:rFonts w:ascii="Calibri" w:hAnsi="Calibri"/>
                <w:b w:val="0"/>
                <w:i w:val="0"/>
                <w:color w:val="000000"/>
                <w:sz w:val="19"/>
              </w:rPr>
              <w:t>faculty / dept</w:t>
            </w:r>
          </w:p>
        </w:tc>
        <w:tc>
          <w:tcPr>
            <w:tcW w:type="dxa" w:w="2340"/>
          </w:tcPr>
          <w:p>
            <w:pPr>
              <w:spacing w:after="40"/>
            </w:pPr>
            <w:r>
              <w:rPr>
                <w:rFonts w:ascii="Calibri" w:hAnsi="Calibri"/>
                <w:b w:val="0"/>
                <w:i w:val="0"/>
                <w:color w:val="000000"/>
                <w:sz w:val="19"/>
              </w:rPr>
              <w:t>String</w:t>
            </w:r>
          </w:p>
        </w:tc>
        <w:tc>
          <w:tcPr>
            <w:tcW w:type="dxa" w:w="2340"/>
          </w:tcPr>
          <w:p>
            <w:pPr>
              <w:spacing w:after="40"/>
            </w:pPr>
            <w:r>
              <w:rPr>
                <w:rFonts w:ascii="Calibri" w:hAnsi="Calibri"/>
                <w:b w:val="0"/>
                <w:i w:val="0"/>
                <w:color w:val="000000"/>
                <w:sz w:val="19"/>
              </w:rPr>
              <w:t>Required</w:t>
            </w:r>
          </w:p>
        </w:tc>
        <w:tc>
          <w:tcPr>
            <w:tcW w:type="dxa" w:w="2340"/>
          </w:tcPr>
          <w:p>
            <w:pPr>
              <w:spacing w:after="40"/>
            </w:pPr>
            <w:r>
              <w:rPr>
                <w:rFonts w:ascii="Calibri" w:hAnsi="Calibri"/>
                <w:b w:val="0"/>
                <w:i w:val="0"/>
                <w:color w:val="000000"/>
                <w:sz w:val="19"/>
              </w:rPr>
              <w:t>Target faculty and department names.</w:t>
            </w:r>
          </w:p>
        </w:tc>
      </w:tr>
      <w:tr>
        <w:tc>
          <w:tcPr>
            <w:tcW w:type="dxa" w:w="2340"/>
          </w:tcPr>
          <w:p>
            <w:pPr>
              <w:spacing w:after="40"/>
            </w:pPr>
            <w:r>
              <w:rPr>
                <w:rFonts w:ascii="Calibri" w:hAnsi="Calibri"/>
                <w:b w:val="0"/>
                <w:i w:val="0"/>
                <w:color w:val="000000"/>
                <w:sz w:val="19"/>
              </w:rPr>
              <w:t>level</w:t>
            </w:r>
          </w:p>
        </w:tc>
        <w:tc>
          <w:tcPr>
            <w:tcW w:type="dxa" w:w="2340"/>
          </w:tcPr>
          <w:p>
            <w:pPr>
              <w:spacing w:after="40"/>
            </w:pPr>
            <w:r>
              <w:rPr>
                <w:rFonts w:ascii="Calibri" w:hAnsi="Calibri"/>
                <w:b w:val="0"/>
                <w:i w:val="0"/>
                <w:color w:val="000000"/>
                <w:sz w:val="19"/>
              </w:rPr>
              <w:t>Int</w:t>
            </w:r>
          </w:p>
        </w:tc>
        <w:tc>
          <w:tcPr>
            <w:tcW w:type="dxa" w:w="2340"/>
          </w:tcPr>
          <w:p>
            <w:pPr>
              <w:spacing w:after="40"/>
            </w:pPr>
            <w:r>
              <w:rPr>
                <w:rFonts w:ascii="Calibri" w:hAnsi="Calibri"/>
                <w:b w:val="0"/>
                <w:i w:val="0"/>
                <w:color w:val="000000"/>
                <w:sz w:val="19"/>
              </w:rPr>
              <w:t>Required</w:t>
            </w:r>
          </w:p>
        </w:tc>
        <w:tc>
          <w:tcPr>
            <w:tcW w:type="dxa" w:w="2340"/>
          </w:tcPr>
          <w:p>
            <w:pPr>
              <w:spacing w:after="40"/>
            </w:pPr>
            <w:r>
              <w:rPr>
                <w:rFonts w:ascii="Calibri" w:hAnsi="Calibri"/>
                <w:b w:val="0"/>
                <w:i w:val="0"/>
                <w:color w:val="000000"/>
                <w:sz w:val="19"/>
              </w:rPr>
              <w:t>Academic year (e.g. 100, 200, 300, 400).</w:t>
            </w:r>
          </w:p>
        </w:tc>
      </w:tr>
      <w:tr>
        <w:tc>
          <w:tcPr>
            <w:tcW w:type="dxa" w:w="2340"/>
          </w:tcPr>
          <w:p>
            <w:pPr>
              <w:spacing w:after="40"/>
            </w:pPr>
            <w:r>
              <w:rPr>
                <w:rFonts w:ascii="Calibri" w:hAnsi="Calibri"/>
                <w:b w:val="0"/>
                <w:i w:val="0"/>
                <w:color w:val="000000"/>
                <w:sz w:val="19"/>
              </w:rPr>
              <w:t>tuitionStatus</w:t>
            </w:r>
          </w:p>
        </w:tc>
        <w:tc>
          <w:tcPr>
            <w:tcW w:type="dxa" w:w="2340"/>
          </w:tcPr>
          <w:p>
            <w:pPr>
              <w:spacing w:after="40"/>
            </w:pPr>
            <w:r>
              <w:rPr>
                <w:rFonts w:ascii="Calibri" w:hAnsi="Calibri"/>
                <w:b w:val="0"/>
                <w:i w:val="0"/>
                <w:color w:val="000000"/>
                <w:sz w:val="19"/>
              </w:rPr>
              <w:t>String</w:t>
            </w:r>
          </w:p>
        </w:tc>
        <w:tc>
          <w:tcPr>
            <w:tcW w:type="dxa" w:w="2340"/>
          </w:tcPr>
          <w:p>
            <w:pPr>
              <w:spacing w:after="40"/>
            </w:pPr>
            <w:r>
              <w:rPr>
                <w:rFonts w:ascii="Calibri" w:hAnsi="Calibri"/>
                <w:b w:val="0"/>
                <w:i w:val="0"/>
                <w:color w:val="000000"/>
                <w:sz w:val="19"/>
              </w:rPr>
              <w:t>Required</w:t>
            </w:r>
          </w:p>
        </w:tc>
        <w:tc>
          <w:tcPr>
            <w:tcW w:type="dxa" w:w="2340"/>
          </w:tcPr>
          <w:p>
            <w:pPr>
              <w:spacing w:after="40"/>
            </w:pPr>
            <w:r>
              <w:rPr>
                <w:rFonts w:ascii="Calibri" w:hAnsi="Calibri"/>
                <w:b w:val="0"/>
                <w:i w:val="0"/>
                <w:color w:val="000000"/>
                <w:sz w:val="19"/>
              </w:rPr>
              <w:t>Status representing financial clearance ('Paid', 'Overdue').</w:t>
            </w:r>
          </w:p>
        </w:tc>
      </w:tr>
      <w:tr>
        <w:tc>
          <w:tcPr>
            <w:tcW w:type="dxa" w:w="2340"/>
          </w:tcPr>
          <w:p>
            <w:pPr>
              <w:spacing w:after="40"/>
            </w:pPr>
            <w:r>
              <w:rPr>
                <w:rFonts w:ascii="Calibri" w:hAnsi="Calibri"/>
                <w:b w:val="0"/>
                <w:i w:val="0"/>
                <w:color w:val="000000"/>
                <w:sz w:val="19"/>
              </w:rPr>
              <w:t>medicalStatus</w:t>
            </w:r>
          </w:p>
        </w:tc>
        <w:tc>
          <w:tcPr>
            <w:tcW w:type="dxa" w:w="2340"/>
          </w:tcPr>
          <w:p>
            <w:pPr>
              <w:spacing w:after="40"/>
            </w:pPr>
            <w:r>
              <w:rPr>
                <w:rFonts w:ascii="Calibri" w:hAnsi="Calibri"/>
                <w:b w:val="0"/>
                <w:i w:val="0"/>
                <w:color w:val="000000"/>
                <w:sz w:val="19"/>
              </w:rPr>
              <w:t>String</w:t>
            </w:r>
          </w:p>
        </w:tc>
        <w:tc>
          <w:tcPr>
            <w:tcW w:type="dxa" w:w="2340"/>
          </w:tcPr>
          <w:p>
            <w:pPr>
              <w:spacing w:after="40"/>
            </w:pPr>
            <w:r>
              <w:rPr>
                <w:rFonts w:ascii="Calibri" w:hAnsi="Calibri"/>
                <w:b w:val="0"/>
                <w:i w:val="0"/>
                <w:color w:val="000000"/>
                <w:sz w:val="19"/>
              </w:rPr>
              <w:t>Required</w:t>
            </w:r>
          </w:p>
        </w:tc>
        <w:tc>
          <w:tcPr>
            <w:tcW w:type="dxa" w:w="2340"/>
          </w:tcPr>
          <w:p>
            <w:pPr>
              <w:spacing w:after="40"/>
            </w:pPr>
            <w:r>
              <w:rPr>
                <w:rFonts w:ascii="Calibri" w:hAnsi="Calibri"/>
                <w:b w:val="0"/>
                <w:i w:val="0"/>
                <w:color w:val="000000"/>
                <w:sz w:val="19"/>
              </w:rPr>
              <w:t>Status representing clinical clearance ('Cleared', 'Pending').</w:t>
            </w:r>
          </w:p>
        </w:tc>
      </w:tr>
    </w:tbl>
    <w:p>
      <w:pPr>
        <w:spacing w:after="240"/>
      </w:pPr>
    </w:p>
    <w:p>
      <w:pPr>
        <w:keepNext/>
        <w:spacing w:before="240" w:after="80"/>
      </w:pPr>
      <w:r>
        <w:rPr>
          <w:rFonts w:ascii="Arial" w:hAnsi="Arial"/>
          <w:b/>
          <w:i w:val="0"/>
          <w:color w:val="34495E"/>
          <w:sz w:val="26"/>
        </w:rPr>
        <w:t>Table: Resource</w:t>
      </w:r>
    </w:p>
    <w:tbl>
      <w:tblPr>
        <w:tblW w:type="auto" w:w="0"/>
        <w:jc w:val="center"/>
        <w:tblLook w:firstColumn="1" w:firstRow="1" w:lastColumn="0" w:lastRow="0" w:noHBand="0" w:noVBand="1" w:val="04A0"/>
      </w:tblPr>
      <w:tblGrid>
        <w:gridCol w:w="2340"/>
        <w:gridCol w:w="2340"/>
        <w:gridCol w:w="2340"/>
        <w:gridCol w:w="2340"/>
      </w:tblGrid>
      <w:tr>
        <w:tc>
          <w:tcPr>
            <w:tcW w:type="dxa" w:w="2340"/>
            <w:shd w:fill="2c3e50"/>
          </w:tcPr>
          <w:p>
            <w:pPr>
              <w:spacing w:after="40"/>
              <w:jc w:val="left"/>
            </w:pPr>
            <w:r>
              <w:rPr>
                <w:rFonts w:ascii="Arial" w:hAnsi="Arial"/>
                <w:b/>
                <w:i w:val="0"/>
                <w:color w:val="FFFFFF"/>
                <w:sz w:val="19"/>
              </w:rPr>
              <w:t>Column Name</w:t>
            </w:r>
          </w:p>
        </w:tc>
        <w:tc>
          <w:tcPr>
            <w:tcW w:type="dxa" w:w="2340"/>
            <w:shd w:fill="2c3e50"/>
          </w:tcPr>
          <w:p>
            <w:pPr>
              <w:spacing w:after="40"/>
              <w:jc w:val="left"/>
            </w:pPr>
            <w:r>
              <w:rPr>
                <w:rFonts w:ascii="Arial" w:hAnsi="Arial"/>
                <w:b/>
                <w:i w:val="0"/>
                <w:color w:val="FFFFFF"/>
                <w:sz w:val="19"/>
              </w:rPr>
              <w:t>Type</w:t>
            </w:r>
          </w:p>
        </w:tc>
        <w:tc>
          <w:tcPr>
            <w:tcW w:type="dxa" w:w="2340"/>
            <w:shd w:fill="2c3e50"/>
          </w:tcPr>
          <w:p>
            <w:pPr>
              <w:spacing w:after="40"/>
              <w:jc w:val="left"/>
            </w:pPr>
            <w:r>
              <w:rPr>
                <w:rFonts w:ascii="Arial" w:hAnsi="Arial"/>
                <w:b/>
                <w:i w:val="0"/>
                <w:color w:val="FFFFFF"/>
                <w:sz w:val="19"/>
              </w:rPr>
              <w:t>Constraints</w:t>
            </w:r>
          </w:p>
        </w:tc>
        <w:tc>
          <w:tcPr>
            <w:tcW w:type="dxa" w:w="2340"/>
            <w:shd w:fill="2c3e50"/>
          </w:tcPr>
          <w:p>
            <w:pPr>
              <w:spacing w:after="40"/>
              <w:jc w:val="left"/>
            </w:pPr>
            <w:r>
              <w:rPr>
                <w:rFonts w:ascii="Arial" w:hAnsi="Arial"/>
                <w:b/>
                <w:i w:val="0"/>
                <w:color w:val="FFFFFF"/>
                <w:sz w:val="19"/>
              </w:rPr>
              <w:t>Description</w:t>
            </w:r>
          </w:p>
        </w:tc>
      </w:tr>
      <w:tr>
        <w:tc>
          <w:tcPr>
            <w:tcW w:type="dxa" w:w="2340"/>
          </w:tcPr>
          <w:p>
            <w:pPr>
              <w:spacing w:after="40"/>
            </w:pPr>
            <w:r>
              <w:rPr>
                <w:rFonts w:ascii="Calibri" w:hAnsi="Calibri"/>
                <w:b w:val="0"/>
                <w:i w:val="0"/>
                <w:color w:val="000000"/>
                <w:sz w:val="19"/>
              </w:rPr>
              <w:t>id</w:t>
            </w:r>
          </w:p>
        </w:tc>
        <w:tc>
          <w:tcPr>
            <w:tcW w:type="dxa" w:w="2340"/>
          </w:tcPr>
          <w:p>
            <w:pPr>
              <w:spacing w:after="40"/>
            </w:pPr>
            <w:r>
              <w:rPr>
                <w:rFonts w:ascii="Calibri" w:hAnsi="Calibri"/>
                <w:b w:val="0"/>
                <w:i w:val="0"/>
                <w:color w:val="000000"/>
                <w:sz w:val="19"/>
              </w:rPr>
              <w:t>String</w:t>
            </w:r>
          </w:p>
        </w:tc>
        <w:tc>
          <w:tcPr>
            <w:tcW w:type="dxa" w:w="2340"/>
          </w:tcPr>
          <w:p>
            <w:pPr>
              <w:spacing w:after="40"/>
            </w:pPr>
            <w:r>
              <w:rPr>
                <w:rFonts w:ascii="Calibri" w:hAnsi="Calibri"/>
                <w:b w:val="0"/>
                <w:i w:val="0"/>
                <w:color w:val="000000"/>
                <w:sz w:val="19"/>
              </w:rPr>
              <w:t>PK, UUID</w:t>
            </w:r>
          </w:p>
        </w:tc>
        <w:tc>
          <w:tcPr>
            <w:tcW w:type="dxa" w:w="2340"/>
          </w:tcPr>
          <w:p>
            <w:pPr>
              <w:spacing w:after="40"/>
            </w:pPr>
            <w:r>
              <w:rPr>
                <w:rFonts w:ascii="Calibri" w:hAnsi="Calibri"/>
                <w:b w:val="0"/>
                <w:i w:val="0"/>
                <w:color w:val="000000"/>
                <w:sz w:val="19"/>
              </w:rPr>
              <w:t>Unique identifier for study material.</w:t>
            </w:r>
          </w:p>
        </w:tc>
      </w:tr>
      <w:tr>
        <w:tc>
          <w:tcPr>
            <w:tcW w:type="dxa" w:w="2340"/>
          </w:tcPr>
          <w:p>
            <w:pPr>
              <w:spacing w:after="40"/>
            </w:pPr>
            <w:r>
              <w:rPr>
                <w:rFonts w:ascii="Calibri" w:hAnsi="Calibri"/>
                <w:b w:val="0"/>
                <w:i w:val="0"/>
                <w:color w:val="000000"/>
                <w:sz w:val="19"/>
              </w:rPr>
              <w:t>title / url</w:t>
            </w:r>
          </w:p>
        </w:tc>
        <w:tc>
          <w:tcPr>
            <w:tcW w:type="dxa" w:w="2340"/>
          </w:tcPr>
          <w:p>
            <w:pPr>
              <w:spacing w:after="40"/>
            </w:pPr>
            <w:r>
              <w:rPr>
                <w:rFonts w:ascii="Calibri" w:hAnsi="Calibri"/>
                <w:b w:val="0"/>
                <w:i w:val="0"/>
                <w:color w:val="000000"/>
                <w:sz w:val="19"/>
              </w:rPr>
              <w:t>String</w:t>
            </w:r>
          </w:p>
        </w:tc>
        <w:tc>
          <w:tcPr>
            <w:tcW w:type="dxa" w:w="2340"/>
          </w:tcPr>
          <w:p>
            <w:pPr>
              <w:spacing w:after="40"/>
            </w:pPr>
            <w:r>
              <w:rPr>
                <w:rFonts w:ascii="Calibri" w:hAnsi="Calibri"/>
                <w:b w:val="0"/>
                <w:i w:val="0"/>
                <w:color w:val="000000"/>
                <w:sz w:val="19"/>
              </w:rPr>
              <w:t>Required</w:t>
            </w:r>
          </w:p>
        </w:tc>
        <w:tc>
          <w:tcPr>
            <w:tcW w:type="dxa" w:w="2340"/>
          </w:tcPr>
          <w:p>
            <w:pPr>
              <w:spacing w:after="40"/>
            </w:pPr>
            <w:r>
              <w:rPr>
                <w:rFonts w:ascii="Calibri" w:hAnsi="Calibri"/>
                <w:b w:val="0"/>
                <w:i w:val="0"/>
                <w:color w:val="000000"/>
                <w:sz w:val="19"/>
              </w:rPr>
              <w:t>Resource title and path to the document/video file.</w:t>
            </w:r>
          </w:p>
        </w:tc>
      </w:tr>
      <w:tr>
        <w:tc>
          <w:tcPr>
            <w:tcW w:type="dxa" w:w="2340"/>
          </w:tcPr>
          <w:p>
            <w:pPr>
              <w:spacing w:after="40"/>
            </w:pPr>
            <w:r>
              <w:rPr>
                <w:rFonts w:ascii="Calibri" w:hAnsi="Calibri"/>
                <w:b w:val="0"/>
                <w:i w:val="0"/>
                <w:color w:val="000000"/>
                <w:sz w:val="19"/>
              </w:rPr>
              <w:t>type</w:t>
            </w:r>
          </w:p>
        </w:tc>
        <w:tc>
          <w:tcPr>
            <w:tcW w:type="dxa" w:w="2340"/>
          </w:tcPr>
          <w:p>
            <w:pPr>
              <w:spacing w:after="40"/>
            </w:pPr>
            <w:r>
              <w:rPr>
                <w:rFonts w:ascii="Calibri" w:hAnsi="Calibri"/>
                <w:b w:val="0"/>
                <w:i w:val="0"/>
                <w:color w:val="000000"/>
                <w:sz w:val="19"/>
              </w:rPr>
              <w:t>String</w:t>
            </w:r>
          </w:p>
        </w:tc>
        <w:tc>
          <w:tcPr>
            <w:tcW w:type="dxa" w:w="2340"/>
          </w:tcPr>
          <w:p>
            <w:pPr>
              <w:spacing w:after="40"/>
            </w:pPr>
            <w:r>
              <w:rPr>
                <w:rFonts w:ascii="Calibri" w:hAnsi="Calibri"/>
                <w:b w:val="0"/>
                <w:i w:val="0"/>
                <w:color w:val="000000"/>
                <w:sz w:val="19"/>
              </w:rPr>
              <w:t>Required</w:t>
            </w:r>
          </w:p>
        </w:tc>
        <w:tc>
          <w:tcPr>
            <w:tcW w:type="dxa" w:w="2340"/>
          </w:tcPr>
          <w:p>
            <w:pPr>
              <w:spacing w:after="40"/>
            </w:pPr>
            <w:r>
              <w:rPr>
                <w:rFonts w:ascii="Calibri" w:hAnsi="Calibri"/>
                <w:b w:val="0"/>
                <w:i w:val="0"/>
                <w:color w:val="000000"/>
                <w:sz w:val="19"/>
              </w:rPr>
              <w:t>Material categorisation ('pastpaper', 'notes', 'youtube').</w:t>
            </w:r>
          </w:p>
        </w:tc>
      </w:tr>
      <w:tr>
        <w:tc>
          <w:tcPr>
            <w:tcW w:type="dxa" w:w="2340"/>
          </w:tcPr>
          <w:p>
            <w:pPr>
              <w:spacing w:after="40"/>
            </w:pPr>
            <w:r>
              <w:rPr>
                <w:rFonts w:ascii="Calibri" w:hAnsi="Calibri"/>
                <w:b w:val="0"/>
                <w:i w:val="0"/>
                <w:color w:val="000000"/>
                <w:sz w:val="19"/>
              </w:rPr>
              <w:t>faculty / dept</w:t>
            </w:r>
          </w:p>
        </w:tc>
        <w:tc>
          <w:tcPr>
            <w:tcW w:type="dxa" w:w="2340"/>
          </w:tcPr>
          <w:p>
            <w:pPr>
              <w:spacing w:after="40"/>
            </w:pPr>
            <w:r>
              <w:rPr>
                <w:rFonts w:ascii="Calibri" w:hAnsi="Calibri"/>
                <w:b w:val="0"/>
                <w:i w:val="0"/>
                <w:color w:val="000000"/>
                <w:sz w:val="19"/>
              </w:rPr>
              <w:t>String</w:t>
            </w:r>
          </w:p>
        </w:tc>
        <w:tc>
          <w:tcPr>
            <w:tcW w:type="dxa" w:w="2340"/>
          </w:tcPr>
          <w:p>
            <w:pPr>
              <w:spacing w:after="40"/>
            </w:pPr>
            <w:r>
              <w:rPr>
                <w:rFonts w:ascii="Calibri" w:hAnsi="Calibri"/>
                <w:b w:val="0"/>
                <w:i w:val="0"/>
                <w:color w:val="000000"/>
                <w:sz w:val="19"/>
              </w:rPr>
              <w:t>Required</w:t>
            </w:r>
          </w:p>
        </w:tc>
        <w:tc>
          <w:tcPr>
            <w:tcW w:type="dxa" w:w="2340"/>
          </w:tcPr>
          <w:p>
            <w:pPr>
              <w:spacing w:after="40"/>
            </w:pPr>
            <w:r>
              <w:rPr>
                <w:rFonts w:ascii="Calibri" w:hAnsi="Calibri"/>
                <w:b w:val="0"/>
                <w:i w:val="0"/>
                <w:color w:val="000000"/>
                <w:sz w:val="19"/>
              </w:rPr>
              <w:t>Filters matching target audience academic departments.</w:t>
            </w:r>
          </w:p>
        </w:tc>
      </w:tr>
      <w:tr>
        <w:tc>
          <w:tcPr>
            <w:tcW w:type="dxa" w:w="2340"/>
          </w:tcPr>
          <w:p>
            <w:pPr>
              <w:spacing w:after="40"/>
            </w:pPr>
            <w:r>
              <w:rPr>
                <w:rFonts w:ascii="Calibri" w:hAnsi="Calibri"/>
                <w:b w:val="0"/>
                <w:i w:val="0"/>
                <w:color w:val="000000"/>
                <w:sz w:val="19"/>
              </w:rPr>
              <w:t>level</w:t>
            </w:r>
          </w:p>
        </w:tc>
        <w:tc>
          <w:tcPr>
            <w:tcW w:type="dxa" w:w="2340"/>
          </w:tcPr>
          <w:p>
            <w:pPr>
              <w:spacing w:after="40"/>
            </w:pPr>
            <w:r>
              <w:rPr>
                <w:rFonts w:ascii="Calibri" w:hAnsi="Calibri"/>
                <w:b w:val="0"/>
                <w:i w:val="0"/>
                <w:color w:val="000000"/>
                <w:sz w:val="19"/>
              </w:rPr>
              <w:t>Int</w:t>
            </w:r>
          </w:p>
        </w:tc>
        <w:tc>
          <w:tcPr>
            <w:tcW w:type="dxa" w:w="2340"/>
          </w:tcPr>
          <w:p>
            <w:pPr>
              <w:spacing w:after="40"/>
            </w:pPr>
            <w:r>
              <w:rPr>
                <w:rFonts w:ascii="Calibri" w:hAnsi="Calibri"/>
                <w:b w:val="0"/>
                <w:i w:val="0"/>
                <w:color w:val="000000"/>
                <w:sz w:val="19"/>
              </w:rPr>
              <w:t>Required</w:t>
            </w:r>
          </w:p>
        </w:tc>
        <w:tc>
          <w:tcPr>
            <w:tcW w:type="dxa" w:w="2340"/>
          </w:tcPr>
          <w:p>
            <w:pPr>
              <w:spacing w:after="40"/>
            </w:pPr>
            <w:r>
              <w:rPr>
                <w:rFonts w:ascii="Calibri" w:hAnsi="Calibri"/>
                <w:b w:val="0"/>
                <w:i w:val="0"/>
                <w:color w:val="000000"/>
                <w:sz w:val="19"/>
              </w:rPr>
              <w:t>Target academic level for recommendation.</w:t>
            </w:r>
          </w:p>
        </w:tc>
      </w:tr>
    </w:tbl>
    <w:p>
      <w:pPr>
        <w:spacing w:after="240"/>
      </w:pPr>
    </w:p>
    <w:p>
      <w:pPr>
        <w:keepNext/>
        <w:spacing w:before="240" w:after="80"/>
      </w:pPr>
      <w:r>
        <w:rPr>
          <w:rFonts w:ascii="Arial" w:hAnsi="Arial"/>
          <w:b/>
          <w:i w:val="0"/>
          <w:color w:val="34495E"/>
          <w:sz w:val="26"/>
        </w:rPr>
        <w:t>Table: StudentInteraction</w:t>
      </w:r>
    </w:p>
    <w:tbl>
      <w:tblPr>
        <w:tblW w:type="auto" w:w="0"/>
        <w:jc w:val="center"/>
        <w:tblLook w:firstColumn="1" w:firstRow="1" w:lastColumn="0" w:lastRow="0" w:noHBand="0" w:noVBand="1" w:val="04A0"/>
      </w:tblPr>
      <w:tblGrid>
        <w:gridCol w:w="2340"/>
        <w:gridCol w:w="2340"/>
        <w:gridCol w:w="2340"/>
        <w:gridCol w:w="2340"/>
      </w:tblGrid>
      <w:tr>
        <w:tc>
          <w:tcPr>
            <w:tcW w:type="dxa" w:w="2340"/>
            <w:shd w:fill="2c3e50"/>
          </w:tcPr>
          <w:p>
            <w:pPr>
              <w:spacing w:after="40"/>
              <w:jc w:val="left"/>
            </w:pPr>
            <w:r>
              <w:rPr>
                <w:rFonts w:ascii="Arial" w:hAnsi="Arial"/>
                <w:b/>
                <w:i w:val="0"/>
                <w:color w:val="FFFFFF"/>
                <w:sz w:val="19"/>
              </w:rPr>
              <w:t>Column Name</w:t>
            </w:r>
          </w:p>
        </w:tc>
        <w:tc>
          <w:tcPr>
            <w:tcW w:type="dxa" w:w="2340"/>
            <w:shd w:fill="2c3e50"/>
          </w:tcPr>
          <w:p>
            <w:pPr>
              <w:spacing w:after="40"/>
              <w:jc w:val="left"/>
            </w:pPr>
            <w:r>
              <w:rPr>
                <w:rFonts w:ascii="Arial" w:hAnsi="Arial"/>
                <w:b/>
                <w:i w:val="0"/>
                <w:color w:val="FFFFFF"/>
                <w:sz w:val="19"/>
              </w:rPr>
              <w:t>Type</w:t>
            </w:r>
          </w:p>
        </w:tc>
        <w:tc>
          <w:tcPr>
            <w:tcW w:type="dxa" w:w="2340"/>
            <w:shd w:fill="2c3e50"/>
          </w:tcPr>
          <w:p>
            <w:pPr>
              <w:spacing w:after="40"/>
              <w:jc w:val="left"/>
            </w:pPr>
            <w:r>
              <w:rPr>
                <w:rFonts w:ascii="Arial" w:hAnsi="Arial"/>
                <w:b/>
                <w:i w:val="0"/>
                <w:color w:val="FFFFFF"/>
                <w:sz w:val="19"/>
              </w:rPr>
              <w:t>Constraints</w:t>
            </w:r>
          </w:p>
        </w:tc>
        <w:tc>
          <w:tcPr>
            <w:tcW w:type="dxa" w:w="2340"/>
            <w:shd w:fill="2c3e50"/>
          </w:tcPr>
          <w:p>
            <w:pPr>
              <w:spacing w:after="40"/>
              <w:jc w:val="left"/>
            </w:pPr>
            <w:r>
              <w:rPr>
                <w:rFonts w:ascii="Arial" w:hAnsi="Arial"/>
                <w:b/>
                <w:i w:val="0"/>
                <w:color w:val="FFFFFF"/>
                <w:sz w:val="19"/>
              </w:rPr>
              <w:t>Description</w:t>
            </w:r>
          </w:p>
        </w:tc>
      </w:tr>
      <w:tr>
        <w:tc>
          <w:tcPr>
            <w:tcW w:type="dxa" w:w="2340"/>
          </w:tcPr>
          <w:p>
            <w:pPr>
              <w:spacing w:after="40"/>
            </w:pPr>
            <w:r>
              <w:rPr>
                <w:rFonts w:ascii="Calibri" w:hAnsi="Calibri"/>
                <w:b w:val="0"/>
                <w:i w:val="0"/>
                <w:color w:val="000000"/>
                <w:sz w:val="19"/>
              </w:rPr>
              <w:t>id</w:t>
            </w:r>
          </w:p>
        </w:tc>
        <w:tc>
          <w:tcPr>
            <w:tcW w:type="dxa" w:w="2340"/>
          </w:tcPr>
          <w:p>
            <w:pPr>
              <w:spacing w:after="40"/>
            </w:pPr>
            <w:r>
              <w:rPr>
                <w:rFonts w:ascii="Calibri" w:hAnsi="Calibri"/>
                <w:b w:val="0"/>
                <w:i w:val="0"/>
                <w:color w:val="000000"/>
                <w:sz w:val="19"/>
              </w:rPr>
              <w:t>String</w:t>
            </w:r>
          </w:p>
        </w:tc>
        <w:tc>
          <w:tcPr>
            <w:tcW w:type="dxa" w:w="2340"/>
          </w:tcPr>
          <w:p>
            <w:pPr>
              <w:spacing w:after="40"/>
            </w:pPr>
            <w:r>
              <w:rPr>
                <w:rFonts w:ascii="Calibri" w:hAnsi="Calibri"/>
                <w:b w:val="0"/>
                <w:i w:val="0"/>
                <w:color w:val="000000"/>
                <w:sz w:val="19"/>
              </w:rPr>
              <w:t>PK, UUID</w:t>
            </w:r>
          </w:p>
        </w:tc>
        <w:tc>
          <w:tcPr>
            <w:tcW w:type="dxa" w:w="2340"/>
          </w:tcPr>
          <w:p>
            <w:pPr>
              <w:spacing w:after="40"/>
            </w:pPr>
            <w:r>
              <w:rPr>
                <w:rFonts w:ascii="Calibri" w:hAnsi="Calibri"/>
                <w:b w:val="0"/>
                <w:i w:val="0"/>
                <w:color w:val="000000"/>
                <w:sz w:val="19"/>
              </w:rPr>
              <w:t>Unique primary identifier for the interaction.</w:t>
            </w:r>
          </w:p>
        </w:tc>
      </w:tr>
      <w:tr>
        <w:tc>
          <w:tcPr>
            <w:tcW w:type="dxa" w:w="2340"/>
          </w:tcPr>
          <w:p>
            <w:pPr>
              <w:spacing w:after="40"/>
            </w:pPr>
            <w:r>
              <w:rPr>
                <w:rFonts w:ascii="Calibri" w:hAnsi="Calibri"/>
                <w:b w:val="0"/>
                <w:i w:val="0"/>
                <w:color w:val="000000"/>
                <w:sz w:val="19"/>
              </w:rPr>
              <w:t>studentId</w:t>
            </w:r>
          </w:p>
        </w:tc>
        <w:tc>
          <w:tcPr>
            <w:tcW w:type="dxa" w:w="2340"/>
          </w:tcPr>
          <w:p>
            <w:pPr>
              <w:spacing w:after="40"/>
            </w:pPr>
            <w:r>
              <w:rPr>
                <w:rFonts w:ascii="Calibri" w:hAnsi="Calibri"/>
                <w:b w:val="0"/>
                <w:i w:val="0"/>
                <w:color w:val="000000"/>
                <w:sz w:val="19"/>
              </w:rPr>
              <w:t>String</w:t>
            </w:r>
          </w:p>
        </w:tc>
        <w:tc>
          <w:tcPr>
            <w:tcW w:type="dxa" w:w="2340"/>
          </w:tcPr>
          <w:p>
            <w:pPr>
              <w:spacing w:after="40"/>
            </w:pPr>
            <w:r>
              <w:rPr>
                <w:rFonts w:ascii="Calibri" w:hAnsi="Calibri"/>
                <w:b w:val="0"/>
                <w:i w:val="0"/>
                <w:color w:val="000000"/>
                <w:sz w:val="19"/>
              </w:rPr>
              <w:t>FK -&gt; Student.id</w:t>
            </w:r>
          </w:p>
        </w:tc>
        <w:tc>
          <w:tcPr>
            <w:tcW w:type="dxa" w:w="2340"/>
          </w:tcPr>
          <w:p>
            <w:pPr>
              <w:spacing w:after="40"/>
            </w:pPr>
            <w:r>
              <w:rPr>
                <w:rFonts w:ascii="Calibri" w:hAnsi="Calibri"/>
                <w:b w:val="0"/>
                <w:i w:val="0"/>
                <w:color w:val="000000"/>
                <w:sz w:val="19"/>
              </w:rPr>
              <w:t>Reference to the student performing the action.</w:t>
            </w:r>
          </w:p>
        </w:tc>
      </w:tr>
      <w:tr>
        <w:tc>
          <w:tcPr>
            <w:tcW w:type="dxa" w:w="2340"/>
          </w:tcPr>
          <w:p>
            <w:pPr>
              <w:spacing w:after="40"/>
            </w:pPr>
            <w:r>
              <w:rPr>
                <w:rFonts w:ascii="Calibri" w:hAnsi="Calibri"/>
                <w:b w:val="0"/>
                <w:i w:val="0"/>
                <w:color w:val="000000"/>
                <w:sz w:val="19"/>
              </w:rPr>
              <w:t>resourceId</w:t>
            </w:r>
          </w:p>
        </w:tc>
        <w:tc>
          <w:tcPr>
            <w:tcW w:type="dxa" w:w="2340"/>
          </w:tcPr>
          <w:p>
            <w:pPr>
              <w:spacing w:after="40"/>
            </w:pPr>
            <w:r>
              <w:rPr>
                <w:rFonts w:ascii="Calibri" w:hAnsi="Calibri"/>
                <w:b w:val="0"/>
                <w:i w:val="0"/>
                <w:color w:val="000000"/>
                <w:sz w:val="19"/>
              </w:rPr>
              <w:t>String</w:t>
            </w:r>
          </w:p>
        </w:tc>
        <w:tc>
          <w:tcPr>
            <w:tcW w:type="dxa" w:w="2340"/>
          </w:tcPr>
          <w:p>
            <w:pPr>
              <w:spacing w:after="40"/>
            </w:pPr>
            <w:r>
              <w:rPr>
                <w:rFonts w:ascii="Calibri" w:hAnsi="Calibri"/>
                <w:b w:val="0"/>
                <w:i w:val="0"/>
                <w:color w:val="000000"/>
                <w:sz w:val="19"/>
              </w:rPr>
              <w:t>FK -&gt; Resource.id</w:t>
            </w:r>
          </w:p>
        </w:tc>
        <w:tc>
          <w:tcPr>
            <w:tcW w:type="dxa" w:w="2340"/>
          </w:tcPr>
          <w:p>
            <w:pPr>
              <w:spacing w:after="40"/>
            </w:pPr>
            <w:r>
              <w:rPr>
                <w:rFonts w:ascii="Calibri" w:hAnsi="Calibri"/>
                <w:b w:val="0"/>
                <w:i w:val="0"/>
                <w:color w:val="000000"/>
                <w:sz w:val="19"/>
              </w:rPr>
              <w:t>Reference to the target academic resource.</w:t>
            </w:r>
          </w:p>
        </w:tc>
      </w:tr>
      <w:tr>
        <w:tc>
          <w:tcPr>
            <w:tcW w:type="dxa" w:w="2340"/>
          </w:tcPr>
          <w:p>
            <w:pPr>
              <w:spacing w:after="40"/>
            </w:pPr>
            <w:r>
              <w:rPr>
                <w:rFonts w:ascii="Calibri" w:hAnsi="Calibri"/>
                <w:b w:val="0"/>
                <w:i w:val="0"/>
                <w:color w:val="000000"/>
                <w:sz w:val="19"/>
              </w:rPr>
              <w:t>action</w:t>
            </w:r>
          </w:p>
        </w:tc>
        <w:tc>
          <w:tcPr>
            <w:tcW w:type="dxa" w:w="2340"/>
          </w:tcPr>
          <w:p>
            <w:pPr>
              <w:spacing w:after="40"/>
            </w:pPr>
            <w:r>
              <w:rPr>
                <w:rFonts w:ascii="Calibri" w:hAnsi="Calibri"/>
                <w:b w:val="0"/>
                <w:i w:val="0"/>
                <w:color w:val="000000"/>
                <w:sz w:val="19"/>
              </w:rPr>
              <w:t>String</w:t>
            </w:r>
          </w:p>
        </w:tc>
        <w:tc>
          <w:tcPr>
            <w:tcW w:type="dxa" w:w="2340"/>
          </w:tcPr>
          <w:p>
            <w:pPr>
              <w:spacing w:after="40"/>
            </w:pPr>
            <w:r>
              <w:rPr>
                <w:rFonts w:ascii="Calibri" w:hAnsi="Calibri"/>
                <w:b w:val="0"/>
                <w:i w:val="0"/>
                <w:color w:val="000000"/>
                <w:sz w:val="19"/>
              </w:rPr>
              <w:t>Required</w:t>
            </w:r>
          </w:p>
        </w:tc>
        <w:tc>
          <w:tcPr>
            <w:tcW w:type="dxa" w:w="2340"/>
          </w:tcPr>
          <w:p>
            <w:pPr>
              <w:spacing w:after="40"/>
            </w:pPr>
            <w:r>
              <w:rPr>
                <w:rFonts w:ascii="Calibri" w:hAnsi="Calibri"/>
                <w:b w:val="0"/>
                <w:i w:val="0"/>
                <w:color w:val="000000"/>
                <w:sz w:val="19"/>
              </w:rPr>
              <w:t>Type of action ('view', 'click', 'download', 'complete').</w:t>
            </w:r>
          </w:p>
        </w:tc>
      </w:tr>
      <w:tr>
        <w:tc>
          <w:tcPr>
            <w:tcW w:type="dxa" w:w="2340"/>
          </w:tcPr>
          <w:p>
            <w:pPr>
              <w:spacing w:after="40"/>
            </w:pPr>
            <w:r>
              <w:rPr>
                <w:rFonts w:ascii="Calibri" w:hAnsi="Calibri"/>
                <w:b w:val="0"/>
                <w:i w:val="0"/>
                <w:color w:val="000000"/>
                <w:sz w:val="19"/>
              </w:rPr>
              <w:t>duration</w:t>
            </w:r>
          </w:p>
        </w:tc>
        <w:tc>
          <w:tcPr>
            <w:tcW w:type="dxa" w:w="2340"/>
          </w:tcPr>
          <w:p>
            <w:pPr>
              <w:spacing w:after="40"/>
            </w:pPr>
            <w:r>
              <w:rPr>
                <w:rFonts w:ascii="Calibri" w:hAnsi="Calibri"/>
                <w:b w:val="0"/>
                <w:i w:val="0"/>
                <w:color w:val="000000"/>
                <w:sz w:val="19"/>
              </w:rPr>
              <w:t>Int?</w:t>
            </w:r>
          </w:p>
        </w:tc>
        <w:tc>
          <w:tcPr>
            <w:tcW w:type="dxa" w:w="2340"/>
          </w:tcPr>
          <w:p>
            <w:pPr>
              <w:spacing w:after="40"/>
            </w:pPr>
            <w:r>
              <w:rPr>
                <w:rFonts w:ascii="Calibri" w:hAnsi="Calibri"/>
                <w:b w:val="0"/>
                <w:i w:val="0"/>
                <w:color w:val="000000"/>
                <w:sz w:val="19"/>
              </w:rPr>
              <w:t>Optional</w:t>
            </w:r>
          </w:p>
        </w:tc>
        <w:tc>
          <w:tcPr>
            <w:tcW w:type="dxa" w:w="2340"/>
          </w:tcPr>
          <w:p>
            <w:pPr>
              <w:spacing w:after="40"/>
            </w:pPr>
            <w:r>
              <w:rPr>
                <w:rFonts w:ascii="Calibri" w:hAnsi="Calibri"/>
                <w:b w:val="0"/>
                <w:i w:val="0"/>
                <w:color w:val="000000"/>
                <w:sz w:val="19"/>
              </w:rPr>
              <w:t>Time spent reading/watching in seconds.</w:t>
            </w:r>
          </w:p>
        </w:tc>
      </w:tr>
    </w:tbl>
    <w:p>
      <w:pPr>
        <w:spacing w:after="240"/>
      </w:pPr>
    </w:p>
    <w:p>
      <w:pPr>
        <w:keepNext/>
        <w:spacing w:before="360" w:after="120"/>
      </w:pPr>
      <w:r>
        <w:rPr>
          <w:rFonts w:ascii="Arial" w:hAnsi="Arial"/>
          <w:b/>
          <w:i w:val="0"/>
          <w:color w:val="2C3E50"/>
          <w:sz w:val="32"/>
        </w:rPr>
        <w:t>5. AI Recommendation Engine</w:t>
      </w:r>
    </w:p>
    <w:p>
      <w:pPr>
        <w:spacing w:after="120" w:line="276" w:lineRule="auto"/>
      </w:pPr>
      <w:r>
        <w:rPr>
          <w:rFonts w:ascii="Calibri" w:hAnsi="Calibri"/>
          <w:b w:val="0"/>
          <w:i w:val="0"/>
          <w:color w:val="000000"/>
          <w:sz w:val="22"/>
        </w:rPr>
        <w:t>To address information overload and enhance resource discovery, the FastAPI server exposes a `/recommend` endpoint driven by a hybrid collaborative-filtering model. The scoring pipeline consists of:</w:t>
      </w:r>
    </w:p>
    <w:p>
      <w:pPr>
        <w:spacing w:after="120" w:line="276" w:lineRule="auto"/>
      </w:pPr>
      <w:r>
        <w:rPr>
          <w:rFonts w:ascii="Calibri" w:hAnsi="Calibri"/>
          <w:b/>
          <w:i w:val="0"/>
          <w:color w:val="000000"/>
          <w:sz w:val="22"/>
        </w:rPr>
        <w:t xml:space="preserve">Collaborative Model (SVD): </w:t>
      </w:r>
      <w:r>
        <w:rPr>
          <w:rFonts w:ascii="Calibri" w:hAnsi="Calibri"/>
          <w:b w:val="0"/>
          <w:i w:val="0"/>
          <w:color w:val="000000"/>
          <w:sz w:val="22"/>
        </w:rPr>
        <w:t>Singular Value Decomposition (SVD) collaborative-filtering models, trained on interaction histories, compute latent factor embeddings that score resource suitability for a student ID.</w:t>
      </w:r>
    </w:p>
    <w:p>
      <w:pPr>
        <w:spacing w:after="120" w:line="276" w:lineRule="auto"/>
      </w:pPr>
      <w:r>
        <w:rPr>
          <w:rFonts w:ascii="Calibri" w:hAnsi="Calibri"/>
          <w:b/>
          <w:i w:val="0"/>
          <w:color w:val="000000"/>
          <w:sz w:val="22"/>
        </w:rPr>
        <w:t xml:space="preserve">Content/Demographic Model (XGBoost): </w:t>
      </w:r>
      <w:r>
        <w:rPr>
          <w:rFonts w:ascii="Calibri" w:hAnsi="Calibri"/>
          <w:b w:val="0"/>
          <w:i w:val="0"/>
          <w:color w:val="000000"/>
          <w:sz w:val="22"/>
        </w:rPr>
        <w:t>XGBoost is used to rank resources by taking student attributes (level, faculty, department) and resource features, outputting the probability that a student will engage with the resource. The final model features are encoded using categorical LabelEncoders saved in joblib format.</w:t>
      </w:r>
    </w:p>
    <w:p>
      <w:pPr>
        <w:spacing w:after="120" w:line="276" w:lineRule="auto"/>
      </w:pPr>
      <w:r>
        <w:rPr>
          <w:rFonts w:ascii="Calibri" w:hAnsi="Calibri"/>
          <w:b/>
          <w:i w:val="0"/>
          <w:color w:val="000000"/>
          <w:sz w:val="22"/>
        </w:rPr>
        <w:t xml:space="preserve">LLM Explainer: </w:t>
      </w:r>
      <w:r>
        <w:rPr>
          <w:rFonts w:ascii="Calibri" w:hAnsi="Calibri"/>
          <w:b w:val="0"/>
          <w:i w:val="0"/>
          <w:color w:val="000000"/>
          <w:sz w:val="22"/>
        </w:rPr>
        <w:t>If API credentials are present, a one-sentence descriptive justification explaining why these particular resources are suitable is generated via GPT-4o-mini, providing context to the student UI.</w:t>
      </w:r>
    </w:p>
    <w:p>
      <w:pPr>
        <w:keepNext/>
        <w:spacing w:before="360" w:after="120"/>
      </w:pPr>
      <w:r>
        <w:rPr>
          <w:rFonts w:ascii="Arial" w:hAnsi="Arial"/>
          <w:b/>
          <w:i w:val="0"/>
          <w:color w:val="2C3E50"/>
          <w:sz w:val="32"/>
        </w:rPr>
        <w:t>6. Intelligent Chatbot Subsystem</w:t>
      </w:r>
    </w:p>
    <w:p>
      <w:pPr>
        <w:spacing w:after="120" w:line="276" w:lineRule="auto"/>
      </w:pPr>
      <w:r>
        <w:rPr>
          <w:rFonts w:ascii="Calibri" w:hAnsi="Calibri"/>
          <w:b w:val="0"/>
          <w:i w:val="0"/>
          <w:color w:val="000000"/>
          <w:sz w:val="22"/>
        </w:rPr>
        <w:t>The chatbot is designed to handle support requests. The `/chat` endpoint accepts the user message and a message history list, execution flows as follows:</w:t>
      </w:r>
    </w:p>
    <w:p>
      <w:pPr>
        <w:pStyle w:val="ListBullet"/>
        <w:spacing w:after="60"/>
      </w:pPr>
      <w:r>
        <w:rPr>
          <w:rFonts w:ascii="Calibri" w:hAnsi="Calibri"/>
          <w:b w:val="0"/>
          <w:i w:val="0"/>
          <w:color w:val="000000"/>
          <w:sz w:val="22"/>
        </w:rPr>
        <w:t>Extraction of database context: The server executes SQL queries to extract overall registration numbers, tuition balance metrics, pending clearances, and open support tickets.</w:t>
      </w:r>
    </w:p>
    <w:p>
      <w:pPr>
        <w:pStyle w:val="ListBullet"/>
        <w:spacing w:after="60"/>
      </w:pPr>
      <w:r>
        <w:rPr>
          <w:rFonts w:ascii="Calibri" w:hAnsi="Calibri"/>
          <w:b w:val="0"/>
          <w:i w:val="0"/>
          <w:color w:val="000000"/>
          <w:sz w:val="22"/>
        </w:rPr>
        <w:t>Web Search Augmentation: A keyword routing module inspects incoming queries. If search keywords are matched (e.g., 'latest', 'research', 'recommend'), the DuckDuckGo Search API is triggered to pull auxiliary facts.</w:t>
      </w:r>
    </w:p>
    <w:p>
      <w:pPr>
        <w:pStyle w:val="ListBullet"/>
        <w:spacing w:after="60"/>
      </w:pPr>
      <w:r>
        <w:rPr>
          <w:rFonts w:ascii="Calibri" w:hAnsi="Calibri"/>
          <w:b w:val="0"/>
          <w:i w:val="0"/>
          <w:color w:val="000000"/>
          <w:sz w:val="22"/>
        </w:rPr>
        <w:t>Prompt Synthesis: A system instruction prompt is built, injecting the database stats, search context, and student metadata.</w:t>
      </w:r>
    </w:p>
    <w:p>
      <w:pPr>
        <w:pStyle w:val="ListBullet"/>
        <w:spacing w:after="60"/>
      </w:pPr>
      <w:r>
        <w:rPr>
          <w:rFonts w:ascii="Calibri" w:hAnsi="Calibri"/>
          <w:b w:val="0"/>
          <w:i w:val="0"/>
          <w:color w:val="000000"/>
          <w:sz w:val="22"/>
        </w:rPr>
        <w:t>SSE Streaming Response: The unified payload is forwarded to OpenRouter. Tokens generated by gpt-4o-mini are asynchronously piped back using FastAPI's StreamingResponse as SSE chunks.</w:t>
      </w:r>
    </w:p>
    <w:p>
      <w:pPr>
        <w:keepNext/>
        <w:spacing w:before="360" w:after="120"/>
      </w:pPr>
      <w:r>
        <w:rPr>
          <w:rFonts w:ascii="Arial" w:hAnsi="Arial"/>
          <w:b/>
          <w:i w:val="0"/>
          <w:color w:val="2C3E50"/>
          <w:sz w:val="32"/>
        </w:rPr>
        <w:t>7. Conclusion &amp; Future Scope</w:t>
      </w:r>
    </w:p>
    <w:p>
      <w:pPr>
        <w:spacing w:after="120" w:line="276" w:lineRule="auto"/>
      </w:pPr>
      <w:r>
        <w:rPr>
          <w:rFonts w:ascii="Calibri" w:hAnsi="Calibri"/>
          <w:b w:val="0"/>
          <w:i w:val="0"/>
          <w:color w:val="000000"/>
          <w:sz w:val="22"/>
        </w:rPr>
        <w:t>EduPulse represents a cohesive solution integrating a full-stack academic CRM portal with machine learning and large language models. The hybrid recommender ensures students find relevant study guides efficiently. The database-aware support chatbot reduces administrative support ticket workloads. Future iterations will include automated model retraining pipelines triggered by interaction thresholds, support for multi-modal ticketing attachments, and deeper integration of predictive analytics on student retention and academic performance.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