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v9glmri9m8g" w:id="0"/>
      <w:bookmarkEnd w:id="0"/>
      <w:r w:rsidDel="00000000" w:rsidR="00000000" w:rsidRPr="00000000">
        <w:rPr>
          <w:b w:val="1"/>
          <w:sz w:val="46"/>
          <w:szCs w:val="46"/>
          <w:rtl w:val="0"/>
        </w:rPr>
        <w:t xml:space="preserve">Lesson 5: Discussion</w:t>
      </w:r>
    </w:p>
    <w:p w:rsidR="00000000" w:rsidDel="00000000" w:rsidP="00000000" w:rsidRDefault="00000000" w:rsidRPr="00000000" w14:paraId="00000002">
      <w:pPr>
        <w:rPr/>
      </w:pPr>
      <w:r w:rsidDel="00000000" w:rsidR="00000000" w:rsidRPr="00000000">
        <w:rPr>
          <w:rtl w:val="0"/>
        </w:rPr>
        <w:t xml:space="preserve">No unread replies. No replies.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Discuss the role of high-level data modeling in a database application.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Compare/contrast if the conceptual and logical models are equivalent. In reflecting on the diagrams presented in Module 5, did the designer introduce any other errors beyond the issues explained in the lesson?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Please, respond to the initial post and respond to at least two of your classmates. The initial discussion question (DQ) response message is due by 11:59 PM on Thursday, and at least two (2) responses to other peers are due by 11:59 PM EST on Sunday.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It would not be accurate to say that conceptual and logical models are equivalent. You can make the argument that they are similar. They both show the entities and their relationships. However, this is about it. They are different in the message that they convey, as well as the details that they contain. For example, a conceptual model shows how the data is related to each other within the domain context.  A logical model shows how these relationships can be implemented, such as primary and foreign keys. A logical model will also contain the attributes that belong to each entity while a conceptual model may not. Entities may also be broken down into smaller entities that are easier to implement and maintain, whereas the conceptual model may represent them in a single entity.  </w:t>
      </w:r>
    </w:p>
    <w:p w:rsidR="00000000" w:rsidDel="00000000" w:rsidP="00000000" w:rsidRDefault="00000000" w:rsidRPr="00000000" w14:paraId="0000000A">
      <w:pPr>
        <w:spacing w:after="240" w:before="240" w:lineRule="auto"/>
        <w:rPr/>
      </w:pPr>
      <w:r w:rsidDel="00000000" w:rsidR="00000000" w:rsidRPr="00000000">
        <w:rPr>
          <w:rtl w:val="0"/>
        </w:rPr>
        <w:t xml:space="preserve">One error I think I have spotted in the final logical model is for the prerequisiteto entity. The only primary key is the isprerequiste integer. Since both attributes are not in the functional dependencies, they should both be part of the key. However, they are not - as shown in the diagram. Also, probably a small detail, but the key for enrollto is spelled incorrectly. It says “stidentid” when it should probaly say “studentid”. This kind of error can cause confusion during implementation.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