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C04</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29-year-old woman arrives from a restaurant with a spreading rash, a swollen face and noisy breathing. She is anxious and speaks in short phrases.</w:t>
      </w:r>
    </w:p>
    <w:p>
      <w:pPr>
        <w:spacing w:after="120"/>
      </w:pPr>
      <w:r>
        <w:t xml:space="preserve">My face and throat feel like they are closing and my whole body is itching. It began about fifteen minutes into the meal and has worsened since.</w:t>
      </w:r>
    </w:p>
    <w:p>
      <w:pPr>
        <w:spacing w:after="120"/>
      </w:pPr>
      <w:r>
        <w:t xml:space="preserve">Monitor on arrival: HR 126/min · SpO₂ 91% · BP 84/46 mmHg · RR 28/min</w:t>
      </w:r>
    </w:p>
    <w:p>
      <w:pPr>
        <w:spacing w:after="200"/>
      </w:pPr>
      <w:r>
        <w:t xml:space="preserve">Chart: Weight 73 kg (reported by the patient) · Height 1.65 m (reported by the patient)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