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C06</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27-year-old man arrives by ambulance after a machinery injury to the right thigh. A soaked dressing is in place and blood is running off the trolley.</w:t>
      </w:r>
    </w:p>
    <w:p>
      <w:pPr>
        <w:spacing w:after="120"/>
      </w:pPr>
      <w:r>
        <w:t xml:space="preserve">My leg is bleeding and I feel like I am going to pass out. The injury was about twenty minutes ago at work.</w:t>
      </w:r>
    </w:p>
    <w:p>
      <w:pPr>
        <w:spacing w:after="120"/>
      </w:pPr>
      <w:r>
        <w:t xml:space="preserve">Monitor on arrival: HR 132/min · SpO₂ 97% · BP 96/54 mmHg · RR 26/min</w:t>
      </w:r>
    </w:p>
    <w:p>
      <w:pPr>
        <w:spacing w:after="200"/>
      </w:pPr>
      <w:r>
        <w:t xml:space="preserve">Chart: Weight 74 kg (reported by the patient) · Height 1.66 m (reported by the patient)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