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29 años llega desde un restaurante con una erupción que se extiende, la cara hinchada y respiración ruidosa. Está ansiosa y habla con frases cortas.</w:t>
      </w:r>
    </w:p>
    <w:p>
      <w:pPr>
        <w:spacing w:after="120"/>
      </w:pPr>
      <w:r>
        <w:t xml:space="preserve">Siento como si la cara y la garganta se me estuvieran cerrando, y me pica todo el cuerpo. Comenzó unos quince minutos después de empezar a comer y ha empeorado desde entonces.</w:t>
      </w:r>
    </w:p>
    <w:p>
      <w:pPr>
        <w:spacing w:after="120"/>
      </w:pPr>
      <w:r>
        <w:t xml:space="preserve">Monitor al llegar: FC 126/min · SpO₂ 91 % · PA 84/46 mmHg · FR 28/min</w:t>
      </w:r>
    </w:p>
    <w:p>
      <w:pPr>
        <w:spacing w:after="200"/>
      </w:pPr>
      <w:r>
        <w:t xml:space="preserve">Ficha: Peso 73 kg (referido por el paciente) · Talla 1.65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