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EM03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C05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34 años llega con dolor intenso en el flanco derecho, que se presenta en oleadas. No logra quedarse quieto en la camilla.</w:t>
      </w:r>
    </w:p>
    <w:p>
      <w:pPr>
        <w:spacing w:after="120"/>
      </w:pPr>
      <w:r>
        <w:t xml:space="preserve">El dolor me aprieta el lado derecho y me baja hacia la ingle, en oleadas. El dolor empezó de golpe hace cuatro horas y va y viene cada pocos minutos.</w:t>
      </w:r>
    </w:p>
    <w:p>
      <w:pPr>
        <w:spacing w:after="120"/>
      </w:pPr>
      <w:r>
        <w:t xml:space="preserve">Monitor al llegar: FC 94/min · SpO₂ 98 % · PA 142/84 mmHg · FR 18/min</w:t>
      </w:r>
    </w:p>
    <w:p>
      <w:pPr>
        <w:spacing w:after="200"/>
      </w:pPr>
      <w:r>
        <w:t xml:space="preserve">Ficha: Peso 109 kg (medido en el triage) · Talla 1.68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