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1314" w:rsidRDefault="00F0304D">
      <w:pPr>
        <w:jc w:val="right"/>
        <w:rPr>
          <w:rFonts w:hint="eastAsia"/>
        </w:rPr>
      </w:pPr>
      <w:bookmarkStart w:id="0" w:name="_GoBack"/>
      <w:bookmarkEnd w:id="0"/>
      <w:r>
        <w:rPr>
          <w:noProof/>
          <w:lang w:val="pt-BR" w:eastAsia="pt-BR"/>
        </w:rPr>
        <w:drawing>
          <wp:inline distT="0" distB="0" distL="0" distR="0">
            <wp:extent cx="1508760" cy="269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cacao_logo.png"/>
                    <pic:cNvPicPr/>
                  </pic:nvPicPr>
                  <pic:blipFill>
                    <a:blip r:embed="rId8"/>
                    <a:stretch>
                      <a:fillRect/>
                    </a:stretch>
                  </pic:blipFill>
                  <pic:spPr>
                    <a:xfrm>
                      <a:off x="0" y="0"/>
                      <a:ext cx="1508760" cy="269860"/>
                    </a:xfrm>
                    <a:prstGeom prst="rect">
                      <a:avLst/>
                    </a:prstGeom>
                  </pic:spPr>
                </pic:pic>
              </a:graphicData>
            </a:graphic>
          </wp:inline>
        </w:drawing>
      </w:r>
    </w:p>
    <w:p w:rsidR="00081314" w:rsidRDefault="00081314">
      <w:pPr>
        <w:rPr>
          <w:rFonts w:hint="eastAsia"/>
        </w:rPr>
      </w:pPr>
    </w:p>
    <w:p w:rsidR="00081314" w:rsidRDefault="00081314">
      <w:pPr>
        <w:rPr>
          <w:rFonts w:hint="eastAsia"/>
        </w:rPr>
      </w:pPr>
    </w:p>
    <w:p w:rsidR="00081314" w:rsidRDefault="00F0304D">
      <w:pPr>
        <w:spacing w:after="0"/>
        <w:rPr>
          <w:rFonts w:hint="eastAsia"/>
        </w:rPr>
      </w:pPr>
      <w:r>
        <w:rPr>
          <w:b/>
          <w:color w:val="00A9C8"/>
          <w:sz w:val="30"/>
        </w:rPr>
        <w:t>POLÍTICA INTEGRADA</w:t>
      </w:r>
    </w:p>
    <w:p w:rsidR="00081314" w:rsidRDefault="00F0304D">
      <w:pPr>
        <w:spacing w:after="20"/>
        <w:rPr>
          <w:rFonts w:hint="eastAsia"/>
        </w:rPr>
      </w:pPr>
      <w:r>
        <w:rPr>
          <w:b/>
          <w:color w:val="173B4D"/>
          <w:sz w:val="58"/>
        </w:rPr>
        <w:t>COMISSIONAMENTO E</w:t>
      </w:r>
      <w:r>
        <w:rPr>
          <w:b/>
          <w:color w:val="173B4D"/>
          <w:sz w:val="58"/>
        </w:rPr>
        <w:br/>
        <w:t>BONIFICAÇÃO</w:t>
      </w:r>
    </w:p>
    <w:p w:rsidR="00081314" w:rsidRDefault="00F0304D">
      <w:pPr>
        <w:spacing w:after="360"/>
        <w:rPr>
          <w:rFonts w:hint="eastAsia"/>
        </w:rPr>
      </w:pPr>
      <w:r>
        <w:rPr>
          <w:color w:val="5E6B73"/>
          <w:sz w:val="30"/>
        </w:rPr>
        <w:t>Programa Nota Fiscal Paulista</w:t>
      </w:r>
    </w:p>
    <w:tbl>
      <w:tblPr>
        <w:tblW w:w="0" w:type="auto"/>
        <w:jc w:val="center"/>
        <w:tblLayout w:type="fixed"/>
        <w:tblLook w:val="04A0" w:firstRow="1" w:lastRow="0" w:firstColumn="1" w:lastColumn="0" w:noHBand="0" w:noVBand="1"/>
      </w:tblPr>
      <w:tblGrid>
        <w:gridCol w:w="4997"/>
        <w:gridCol w:w="4997"/>
      </w:tblGrid>
      <w:tr w:rsidR="00081314">
        <w:trPr>
          <w:jc w:val="center"/>
        </w:trPr>
        <w:tc>
          <w:tcPr>
            <w:tcW w:w="4997" w:type="dxa"/>
            <w:shd w:val="clear" w:color="auto" w:fill="E83E8C"/>
            <w:tcMar>
              <w:top w:w="80" w:type="dxa"/>
              <w:left w:w="20" w:type="dxa"/>
              <w:bottom w:w="80" w:type="dxa"/>
              <w:right w:w="20" w:type="dxa"/>
            </w:tcMar>
          </w:tcPr>
          <w:p w:rsidR="00081314" w:rsidRDefault="00081314">
            <w:pPr>
              <w:rPr>
                <w:rFonts w:hint="eastAsia"/>
              </w:rPr>
            </w:pPr>
          </w:p>
        </w:tc>
        <w:tc>
          <w:tcPr>
            <w:tcW w:w="4997" w:type="dxa"/>
            <w:shd w:val="clear" w:color="auto" w:fill="F5F7F8"/>
            <w:tcMar>
              <w:top w:w="90" w:type="dxa"/>
              <w:left w:w="110" w:type="dxa"/>
              <w:bottom w:w="90" w:type="dxa"/>
              <w:right w:w="110" w:type="dxa"/>
            </w:tcMar>
            <w:vAlign w:val="center"/>
          </w:tcPr>
          <w:p w:rsidR="00081314" w:rsidRDefault="00F0304D">
            <w:pPr>
              <w:spacing w:after="0"/>
              <w:rPr>
                <w:rFonts w:hint="eastAsia"/>
              </w:rPr>
            </w:pPr>
            <w:r>
              <w:rPr>
                <w:color w:val="243746"/>
                <w:sz w:val="18"/>
              </w:rPr>
              <w:t>ESCOPO</w:t>
            </w:r>
            <w:r>
              <w:rPr>
                <w:color w:val="243746"/>
                <w:sz w:val="18"/>
              </w:rPr>
              <w:br/>
              <w:t xml:space="preserve">Regras de remuneração variável para Automatização Individual, Automatização Institucional, Coordenação do Programa NFP e Captação/Manutenção de Estabelecimentos </w:t>
            </w:r>
            <w:r>
              <w:rPr>
                <w:color w:val="243746"/>
                <w:sz w:val="18"/>
              </w:rPr>
              <w:t>(Frente Cadastro), com critérios de apuração, controle, pagamento e ciência.</w:t>
            </w:r>
          </w:p>
        </w:tc>
      </w:tr>
    </w:tbl>
    <w:p w:rsidR="00081314" w:rsidRDefault="00081314">
      <w:pPr>
        <w:spacing w:after="20"/>
        <w:rPr>
          <w:rFonts w:hint="eastAsia"/>
        </w:rPr>
      </w:pPr>
    </w:p>
    <w:p w:rsidR="00081314" w:rsidRDefault="00081314">
      <w:pPr>
        <w:rPr>
          <w:rFonts w:hint="eastAsia"/>
        </w:rPr>
      </w:pPr>
    </w:p>
    <w:p w:rsidR="00081314" w:rsidRDefault="00081314">
      <w:pPr>
        <w:rPr>
          <w:rFonts w:hint="eastAsia"/>
        </w:rPr>
      </w:pPr>
    </w:p>
    <w:p w:rsidR="00081314" w:rsidRDefault="00F0304D">
      <w:pPr>
        <w:jc w:val="center"/>
        <w:rPr>
          <w:rFonts w:hint="eastAsia"/>
        </w:rPr>
      </w:pPr>
      <w:r>
        <w:rPr>
          <w:color w:val="243746"/>
        </w:rPr>
        <w:t>Versão 1</w:t>
      </w:r>
    </w:p>
    <w:p w:rsidR="00081314" w:rsidRDefault="00F0304D">
      <w:pPr>
        <w:jc w:val="center"/>
        <w:rPr>
          <w:rFonts w:hint="eastAsia"/>
        </w:rPr>
      </w:pPr>
      <w:r>
        <w:rPr>
          <w:color w:val="5E6B73"/>
          <w:sz w:val="20"/>
        </w:rPr>
        <w:t>Vigência: 1º de outubro de 2026</w:t>
      </w:r>
    </w:p>
    <w:p w:rsidR="00081314" w:rsidRDefault="00F0304D">
      <w:pPr>
        <w:spacing w:before="320"/>
        <w:jc w:val="center"/>
        <w:rPr>
          <w:rFonts w:hint="eastAsia"/>
        </w:rPr>
      </w:pPr>
      <w:r>
        <w:rPr>
          <w:b/>
          <w:color w:val="E83E8C"/>
          <w:sz w:val="20"/>
        </w:rPr>
        <w:t>Onde potencial encontra caminho</w:t>
      </w:r>
    </w:p>
    <w:p w:rsidR="00081314" w:rsidRDefault="00F0304D">
      <w:pPr>
        <w:rPr>
          <w:rFonts w:hint="eastAsia"/>
        </w:rPr>
      </w:pPr>
      <w:r>
        <w:br w:type="page"/>
      </w:r>
    </w:p>
    <w:p w:rsidR="00081314" w:rsidRDefault="00F0304D">
      <w:pPr>
        <w:keepNext/>
        <w:spacing w:before="200" w:after="80"/>
        <w:rPr>
          <w:rFonts w:hint="eastAsia"/>
        </w:rPr>
      </w:pPr>
      <w:r>
        <w:rPr>
          <w:b/>
          <w:color w:val="173B4D"/>
          <w:sz w:val="30"/>
        </w:rPr>
        <w:lastRenderedPageBreak/>
        <w:t>1. Finalidade, abrangência e conceitos</w:t>
      </w:r>
    </w:p>
    <w:p w:rsidR="00081314" w:rsidRDefault="00F0304D">
      <w:pPr>
        <w:rPr>
          <w:rFonts w:hint="eastAsia"/>
        </w:rPr>
      </w:pPr>
      <w:r>
        <w:rPr>
          <w:color w:val="243746"/>
        </w:rPr>
        <w:t xml:space="preserve">Esta Política estabelece critérios objetivos para apuração e </w:t>
      </w:r>
      <w:r>
        <w:rPr>
          <w:color w:val="243746"/>
        </w:rPr>
        <w:t>pagamento de comissões e bonificações relacionadas ao Programa Nota Fiscal Paulista (NFP) da Vocação. Aplica-se exclusivamente aos colaboradores da Vocação contratados sob o regime da CLT e formalmente elegíveis às modalidades previstas neste documento, be</w:t>
      </w:r>
      <w:r>
        <w:rPr>
          <w:color w:val="243746"/>
        </w:rPr>
        <w:t>m como aos responsáveis pelos respectivos controles e pagamentos. Profissionais freelancers ou outros prestadores temporários contratados para eventos ou ações específicas não estão abrangidos por esta Política e receberão remuneração fixa previamente acor</w:t>
      </w:r>
      <w:r>
        <w:rPr>
          <w:color w:val="243746"/>
        </w:rPr>
        <w:t>dada com o responsável pela organização do evento, observados os procedimentos internos de contratação e aprovação da Vocação.</w:t>
      </w:r>
    </w:p>
    <w:p w:rsidR="00081314" w:rsidRDefault="00F0304D">
      <w:pPr>
        <w:rPr>
          <w:rFonts w:hint="eastAsia"/>
        </w:rPr>
      </w:pPr>
      <w:r>
        <w:rPr>
          <w:color w:val="243746"/>
        </w:rPr>
        <w:t>A exclusão de freelancers e prestadores temporários desta Política não altera a natureza jurídica de cada contratação. Essas cont</w:t>
      </w:r>
      <w:r>
        <w:rPr>
          <w:color w:val="243746"/>
        </w:rPr>
        <w:t>ratações deverão ser formalizadas por instrumento próprio e conduzidas de acordo com a legislação aplicável, sem utilização desta Política para afastar eventual vínculo de emprego quando presentes, na realidade da prestação, os requisitos legais correspond</w:t>
      </w:r>
      <w:r>
        <w:rPr>
          <w:color w:val="243746"/>
        </w:rPr>
        <w:t>entes.</w:t>
      </w:r>
    </w:p>
    <w:tbl>
      <w:tblPr>
        <w:tblW w:w="0" w:type="auto"/>
        <w:jc w:val="center"/>
        <w:tblLayout w:type="fixed"/>
        <w:tblLook w:val="04A0" w:firstRow="1" w:lastRow="0" w:firstColumn="1" w:lastColumn="0" w:noHBand="0" w:noVBand="1"/>
      </w:tblPr>
      <w:tblGrid>
        <w:gridCol w:w="4997"/>
        <w:gridCol w:w="4997"/>
      </w:tblGrid>
      <w:tr w:rsidR="00081314">
        <w:trPr>
          <w:jc w:val="center"/>
        </w:trPr>
        <w:tc>
          <w:tcPr>
            <w:tcW w:w="4997" w:type="dxa"/>
            <w:shd w:val="clear" w:color="auto" w:fill="00A9C8"/>
            <w:tcMar>
              <w:top w:w="80" w:type="dxa"/>
              <w:left w:w="20" w:type="dxa"/>
              <w:bottom w:w="80" w:type="dxa"/>
              <w:right w:w="20" w:type="dxa"/>
            </w:tcMar>
          </w:tcPr>
          <w:p w:rsidR="00081314" w:rsidRDefault="00081314">
            <w:pPr>
              <w:rPr>
                <w:rFonts w:hint="eastAsia"/>
              </w:rPr>
            </w:pPr>
          </w:p>
        </w:tc>
        <w:tc>
          <w:tcPr>
            <w:tcW w:w="4997" w:type="dxa"/>
            <w:shd w:val="clear" w:color="auto" w:fill="EAF5F7"/>
            <w:tcMar>
              <w:top w:w="100" w:type="dxa"/>
              <w:left w:w="140" w:type="dxa"/>
              <w:bottom w:w="100" w:type="dxa"/>
              <w:right w:w="140" w:type="dxa"/>
            </w:tcMar>
          </w:tcPr>
          <w:p w:rsidR="00081314" w:rsidRDefault="00F0304D">
            <w:pPr>
              <w:spacing w:after="40"/>
              <w:rPr>
                <w:rFonts w:hint="eastAsia"/>
              </w:rPr>
            </w:pPr>
            <w:r>
              <w:rPr>
                <w:b/>
                <w:color w:val="173B4D"/>
                <w:sz w:val="17"/>
              </w:rPr>
              <w:t>REGRA CENTRAL</w:t>
            </w:r>
          </w:p>
          <w:p w:rsidR="00081314" w:rsidRDefault="00F0304D">
            <w:pPr>
              <w:spacing w:after="0" w:line="247" w:lineRule="auto"/>
              <w:rPr>
                <w:rFonts w:hint="eastAsia"/>
              </w:rPr>
            </w:pPr>
            <w:r>
              <w:rPr>
                <w:sz w:val="19"/>
              </w:rPr>
              <w:t>Somente resultados registrados, conciliados, validados e enquadrados nesta Política podem gerar remuneração variável. É vedada a dupla contagem do mesmo resultado.</w:t>
            </w:r>
          </w:p>
        </w:tc>
      </w:tr>
    </w:tbl>
    <w:p w:rsidR="00081314" w:rsidRDefault="00081314">
      <w:pPr>
        <w:spacing w:after="20"/>
        <w:rPr>
          <w:rFonts w:hint="eastAsia"/>
        </w:rPr>
      </w:pPr>
    </w:p>
    <w:p w:rsidR="00081314" w:rsidRDefault="00F0304D">
      <w:pPr>
        <w:keepNext/>
        <w:spacing w:before="120" w:after="80"/>
        <w:rPr>
          <w:rFonts w:hint="eastAsia"/>
        </w:rPr>
      </w:pPr>
      <w:r>
        <w:rPr>
          <w:b/>
          <w:color w:val="173B4D"/>
          <w:sz w:val="23"/>
        </w:rPr>
        <w:t>1.1 Conceitos operacionais</w:t>
      </w:r>
    </w:p>
    <w:tbl>
      <w:tblPr>
        <w:tblW w:w="0" w:type="auto"/>
        <w:jc w:val="center"/>
        <w:tblLayout w:type="fixed"/>
        <w:tblLook w:val="04A0" w:firstRow="1" w:lastRow="0" w:firstColumn="1" w:lastColumn="0" w:noHBand="0" w:noVBand="1"/>
      </w:tblPr>
      <w:tblGrid>
        <w:gridCol w:w="2232"/>
        <w:gridCol w:w="7272"/>
      </w:tblGrid>
      <w:tr w:rsidR="00081314">
        <w:trPr>
          <w:cantSplit/>
          <w:tblHeader/>
          <w:jc w:val="center"/>
        </w:trPr>
        <w:tc>
          <w:tcPr>
            <w:tcW w:w="2232" w:type="dxa"/>
            <w:shd w:val="clear" w:color="auto" w:fill="173B4D"/>
            <w:tcMar>
              <w:top w:w="90" w:type="dxa"/>
              <w:left w:w="110" w:type="dxa"/>
              <w:bottom w:w="90" w:type="dxa"/>
              <w:right w:w="110" w:type="dxa"/>
            </w:tcMar>
            <w:vAlign w:val="center"/>
          </w:tcPr>
          <w:p w:rsidR="00081314" w:rsidRDefault="00F0304D">
            <w:pPr>
              <w:spacing w:after="0"/>
              <w:jc w:val="center"/>
              <w:rPr>
                <w:rFonts w:hint="eastAsia"/>
              </w:rPr>
            </w:pPr>
            <w:r>
              <w:rPr>
                <w:b/>
                <w:color w:val="FFFFFF"/>
                <w:sz w:val="18"/>
              </w:rPr>
              <w:t>Termo</w:t>
            </w:r>
          </w:p>
        </w:tc>
        <w:tc>
          <w:tcPr>
            <w:tcW w:w="7272" w:type="dxa"/>
            <w:shd w:val="clear" w:color="auto" w:fill="173B4D"/>
            <w:tcMar>
              <w:top w:w="90" w:type="dxa"/>
              <w:left w:w="110" w:type="dxa"/>
              <w:bottom w:w="90" w:type="dxa"/>
              <w:right w:w="110" w:type="dxa"/>
            </w:tcMar>
            <w:vAlign w:val="center"/>
          </w:tcPr>
          <w:p w:rsidR="00081314" w:rsidRDefault="00F0304D">
            <w:pPr>
              <w:spacing w:after="0"/>
              <w:jc w:val="center"/>
              <w:rPr>
                <w:rFonts w:hint="eastAsia"/>
              </w:rPr>
            </w:pPr>
            <w:r>
              <w:rPr>
                <w:b/>
                <w:color w:val="FFFFFF"/>
                <w:sz w:val="18"/>
              </w:rPr>
              <w:t>Definição</w:t>
            </w:r>
          </w:p>
        </w:tc>
      </w:tr>
      <w:tr w:rsidR="00081314">
        <w:trPr>
          <w:cantSplit/>
          <w:jc w:val="center"/>
        </w:trPr>
        <w:tc>
          <w:tcPr>
            <w:tcW w:w="2232" w:type="dxa"/>
            <w:shd w:val="clear" w:color="auto" w:fill="FFFFFF"/>
            <w:tcMar>
              <w:top w:w="90" w:type="dxa"/>
              <w:left w:w="110" w:type="dxa"/>
              <w:bottom w:w="90" w:type="dxa"/>
              <w:right w:w="110" w:type="dxa"/>
            </w:tcMar>
            <w:vAlign w:val="center"/>
          </w:tcPr>
          <w:p w:rsidR="00081314" w:rsidRDefault="00F0304D">
            <w:pPr>
              <w:spacing w:after="0" w:line="240" w:lineRule="auto"/>
              <w:rPr>
                <w:rFonts w:hint="eastAsia"/>
              </w:rPr>
            </w:pPr>
            <w:r>
              <w:rPr>
                <w:color w:val="243746"/>
                <w:sz w:val="18"/>
              </w:rPr>
              <w:t>Automatização Individual</w:t>
            </w:r>
          </w:p>
        </w:tc>
        <w:tc>
          <w:tcPr>
            <w:tcW w:w="7272" w:type="dxa"/>
            <w:shd w:val="clear" w:color="auto" w:fill="FFFFFF"/>
            <w:tcMar>
              <w:top w:w="90" w:type="dxa"/>
              <w:left w:w="110" w:type="dxa"/>
              <w:bottom w:w="90" w:type="dxa"/>
              <w:right w:w="110" w:type="dxa"/>
            </w:tcMar>
            <w:vAlign w:val="center"/>
          </w:tcPr>
          <w:p w:rsidR="00081314" w:rsidRDefault="00F0304D">
            <w:pPr>
              <w:spacing w:after="0" w:line="240" w:lineRule="auto"/>
              <w:rPr>
                <w:rFonts w:hint="eastAsia"/>
              </w:rPr>
            </w:pPr>
            <w:r>
              <w:rPr>
                <w:color w:val="243746"/>
                <w:sz w:val="18"/>
              </w:rPr>
              <w:t>Automatização atribuível a um colaborador, identificável e rastreável, elegível somente após validação e confirmação de geração efetiva de crédito.</w:t>
            </w:r>
          </w:p>
        </w:tc>
      </w:tr>
      <w:tr w:rsidR="00081314">
        <w:trPr>
          <w:cantSplit/>
          <w:jc w:val="center"/>
        </w:trPr>
        <w:tc>
          <w:tcPr>
            <w:tcW w:w="2232" w:type="dxa"/>
            <w:shd w:val="clear" w:color="auto" w:fill="FFFFFF"/>
            <w:tcMar>
              <w:top w:w="90" w:type="dxa"/>
              <w:left w:w="110" w:type="dxa"/>
              <w:bottom w:w="90" w:type="dxa"/>
              <w:right w:w="110" w:type="dxa"/>
            </w:tcMar>
            <w:vAlign w:val="center"/>
          </w:tcPr>
          <w:p w:rsidR="00081314" w:rsidRDefault="00F0304D">
            <w:pPr>
              <w:spacing w:after="0" w:line="240" w:lineRule="auto"/>
              <w:rPr>
                <w:rFonts w:hint="eastAsia"/>
              </w:rPr>
            </w:pPr>
            <w:r>
              <w:rPr>
                <w:color w:val="243746"/>
                <w:sz w:val="18"/>
              </w:rPr>
              <w:t>Automatização Institucional</w:t>
            </w:r>
          </w:p>
        </w:tc>
        <w:tc>
          <w:tcPr>
            <w:tcW w:w="7272" w:type="dxa"/>
            <w:shd w:val="clear" w:color="auto" w:fill="FFFFFF"/>
            <w:tcMar>
              <w:top w:w="90" w:type="dxa"/>
              <w:left w:w="110" w:type="dxa"/>
              <w:bottom w:w="90" w:type="dxa"/>
              <w:right w:w="110" w:type="dxa"/>
            </w:tcMar>
            <w:vAlign w:val="center"/>
          </w:tcPr>
          <w:p w:rsidR="00081314" w:rsidRDefault="00F0304D">
            <w:pPr>
              <w:spacing w:after="0" w:line="240" w:lineRule="auto"/>
              <w:rPr>
                <w:rFonts w:hint="eastAsia"/>
              </w:rPr>
            </w:pPr>
            <w:r>
              <w:rPr>
                <w:color w:val="243746"/>
                <w:sz w:val="18"/>
              </w:rPr>
              <w:t>Automatizações originadas de eventos, feiras, campanhas, parcerias ou iniciati</w:t>
            </w:r>
            <w:r>
              <w:rPr>
                <w:color w:val="243746"/>
                <w:sz w:val="18"/>
              </w:rPr>
              <w:t>vas promovidas, articuladas ou viabilizadas institucionalmente pela Vocação, inclusive por áreas internas, Gestão Executiva, Conselho ou parceiros.</w:t>
            </w:r>
          </w:p>
        </w:tc>
      </w:tr>
      <w:tr w:rsidR="00081314">
        <w:trPr>
          <w:cantSplit/>
          <w:jc w:val="center"/>
        </w:trPr>
        <w:tc>
          <w:tcPr>
            <w:tcW w:w="2232" w:type="dxa"/>
            <w:shd w:val="clear" w:color="auto" w:fill="FFFFFF"/>
            <w:tcMar>
              <w:top w:w="90" w:type="dxa"/>
              <w:left w:w="110" w:type="dxa"/>
              <w:bottom w:w="90" w:type="dxa"/>
              <w:right w:w="110" w:type="dxa"/>
            </w:tcMar>
            <w:vAlign w:val="center"/>
          </w:tcPr>
          <w:p w:rsidR="00081314" w:rsidRDefault="00F0304D">
            <w:pPr>
              <w:spacing w:after="0"/>
              <w:rPr>
                <w:rFonts w:hint="eastAsia"/>
              </w:rPr>
            </w:pPr>
            <w:r>
              <w:rPr>
                <w:color w:val="243746"/>
                <w:sz w:val="18"/>
              </w:rPr>
              <w:t>Captação de Novos Estabelecimentos (Frente Cadastro)</w:t>
            </w:r>
          </w:p>
        </w:tc>
        <w:tc>
          <w:tcPr>
            <w:tcW w:w="7272" w:type="dxa"/>
            <w:shd w:val="clear" w:color="auto" w:fill="FFFFFF"/>
            <w:tcMar>
              <w:top w:w="90" w:type="dxa"/>
              <w:left w:w="110" w:type="dxa"/>
              <w:bottom w:w="90" w:type="dxa"/>
              <w:right w:w="110" w:type="dxa"/>
            </w:tcMar>
            <w:vAlign w:val="center"/>
          </w:tcPr>
          <w:p w:rsidR="00081314" w:rsidRDefault="00F0304D">
            <w:pPr>
              <w:spacing w:after="0"/>
              <w:rPr>
                <w:rFonts w:hint="eastAsia"/>
              </w:rPr>
            </w:pPr>
            <w:r>
              <w:rPr>
                <w:color w:val="243746"/>
                <w:sz w:val="18"/>
              </w:rPr>
              <w:t>Atividade de prospecção, abordagem, cadastramento e at</w:t>
            </w:r>
            <w:r>
              <w:rPr>
                <w:color w:val="243746"/>
                <w:sz w:val="18"/>
              </w:rPr>
              <w:t>ivação de novos estabelecimentos para participação na operação da Vocação no NFP, com disponibilização e coleta de cupons/notas fiscais em benefício da instituição. A frente também contempla, quando formalmente atribuída, a manutenção e o relacionamento co</w:t>
            </w:r>
            <w:r>
              <w:rPr>
                <w:color w:val="243746"/>
                <w:sz w:val="18"/>
              </w:rPr>
              <w:t>m estabelecimentos já ativos.</w:t>
            </w:r>
          </w:p>
        </w:tc>
      </w:tr>
      <w:tr w:rsidR="00081314">
        <w:trPr>
          <w:cantSplit/>
          <w:jc w:val="center"/>
        </w:trPr>
        <w:tc>
          <w:tcPr>
            <w:tcW w:w="2232" w:type="dxa"/>
            <w:shd w:val="clear" w:color="auto" w:fill="FFFFFF"/>
            <w:tcMar>
              <w:top w:w="90" w:type="dxa"/>
              <w:left w:w="110" w:type="dxa"/>
              <w:bottom w:w="90" w:type="dxa"/>
              <w:right w:w="110" w:type="dxa"/>
            </w:tcMar>
            <w:vAlign w:val="center"/>
          </w:tcPr>
          <w:p w:rsidR="00081314" w:rsidRDefault="00F0304D">
            <w:pPr>
              <w:spacing w:after="0" w:line="240" w:lineRule="auto"/>
              <w:rPr>
                <w:rFonts w:hint="eastAsia"/>
              </w:rPr>
            </w:pPr>
            <w:r>
              <w:rPr>
                <w:color w:val="243746"/>
                <w:sz w:val="18"/>
              </w:rPr>
              <w:t>Doação</w:t>
            </w:r>
          </w:p>
        </w:tc>
        <w:tc>
          <w:tcPr>
            <w:tcW w:w="7272" w:type="dxa"/>
            <w:shd w:val="clear" w:color="auto" w:fill="FFFFFF"/>
            <w:tcMar>
              <w:top w:w="90" w:type="dxa"/>
              <w:left w:w="110" w:type="dxa"/>
              <w:bottom w:w="90" w:type="dxa"/>
              <w:right w:w="110" w:type="dxa"/>
            </w:tcMar>
            <w:vAlign w:val="center"/>
          </w:tcPr>
          <w:p w:rsidR="00081314" w:rsidRDefault="00F0304D">
            <w:pPr>
              <w:spacing w:after="0" w:line="240" w:lineRule="auto"/>
              <w:rPr>
                <w:rFonts w:hint="eastAsia"/>
              </w:rPr>
            </w:pPr>
            <w:r>
              <w:rPr>
                <w:color w:val="243746"/>
                <w:sz w:val="18"/>
              </w:rPr>
              <w:t>Créditos provenientes de cupons doados por pessoas físicas à Vocação por meio do aplicativo/sistema do NFP, inclusive quando não houver identificação ou relacionamento direto com o doador.</w:t>
            </w:r>
          </w:p>
        </w:tc>
      </w:tr>
    </w:tbl>
    <w:p w:rsidR="00081314" w:rsidRDefault="00081314">
      <w:pPr>
        <w:spacing w:after="20"/>
        <w:rPr>
          <w:rFonts w:hint="eastAsia"/>
        </w:rPr>
      </w:pPr>
    </w:p>
    <w:p w:rsidR="00081314" w:rsidRDefault="00F0304D">
      <w:pPr>
        <w:keepNext/>
        <w:spacing w:before="120" w:after="80"/>
        <w:rPr>
          <w:rFonts w:hint="eastAsia"/>
        </w:rPr>
      </w:pPr>
      <w:r>
        <w:rPr>
          <w:b/>
          <w:color w:val="173B4D"/>
          <w:sz w:val="23"/>
        </w:rPr>
        <w:t>1.2 Princípios</w:t>
      </w:r>
    </w:p>
    <w:p w:rsidR="00081314" w:rsidRDefault="00F0304D">
      <w:pPr>
        <w:rPr>
          <w:rFonts w:hint="eastAsia"/>
        </w:rPr>
      </w:pPr>
      <w:r>
        <w:t xml:space="preserve">A aplicação </w:t>
      </w:r>
      <w:r>
        <w:t>desta Política observará rastreabilidade, validação, proporcionalidade, previsibilidade, integridade, sustentabilidade financeira e aderência às regras do NFP, às normas internas da Vocação e à legislação aplicável.</w:t>
      </w:r>
    </w:p>
    <w:p w:rsidR="00081314" w:rsidRDefault="00F0304D">
      <w:pPr>
        <w:rPr>
          <w:rFonts w:hint="eastAsia"/>
        </w:rPr>
      </w:pPr>
      <w:r>
        <w:br w:type="page"/>
      </w:r>
    </w:p>
    <w:p w:rsidR="00081314" w:rsidRDefault="00F0304D">
      <w:pPr>
        <w:keepNext/>
        <w:spacing w:before="200" w:after="80"/>
        <w:rPr>
          <w:rFonts w:hint="eastAsia"/>
        </w:rPr>
      </w:pPr>
      <w:r>
        <w:rPr>
          <w:b/>
          <w:color w:val="173B4D"/>
          <w:sz w:val="30"/>
        </w:rPr>
        <w:lastRenderedPageBreak/>
        <w:t>2. Automatização: comissão e bonificaç</w:t>
      </w:r>
      <w:r>
        <w:rPr>
          <w:b/>
          <w:color w:val="173B4D"/>
          <w:sz w:val="30"/>
        </w:rPr>
        <w:t>ão</w:t>
      </w:r>
    </w:p>
    <w:p w:rsidR="00081314" w:rsidRDefault="00F0304D">
      <w:pPr>
        <w:keepNext/>
        <w:spacing w:before="120" w:after="80"/>
        <w:rPr>
          <w:rFonts w:hint="eastAsia"/>
        </w:rPr>
      </w:pPr>
      <w:r>
        <w:rPr>
          <w:b/>
          <w:color w:val="173B4D"/>
          <w:sz w:val="23"/>
        </w:rPr>
        <w:t>2.1 Automatização Individual</w:t>
      </w:r>
    </w:p>
    <w:p w:rsidR="00081314" w:rsidRDefault="00F0304D">
      <w:pPr>
        <w:rPr>
          <w:rFonts w:hint="eastAsia"/>
        </w:rPr>
      </w:pPr>
      <w:r>
        <w:t>A comissão individual é progressiva e incide sobre a quantidade de automatizações atribuídas ao colaborador que, após o ciclo de apuração, sejam identificáveis, conciliadas e confirmadas como geradoras de crédito para a Voca</w:t>
      </w:r>
      <w:r>
        <w:t>ção.</w:t>
      </w:r>
    </w:p>
    <w:tbl>
      <w:tblPr>
        <w:tblW w:w="0" w:type="auto"/>
        <w:jc w:val="center"/>
        <w:tblLayout w:type="fixed"/>
        <w:tblLook w:val="04A0" w:firstRow="1" w:lastRow="0" w:firstColumn="1" w:lastColumn="0" w:noHBand="0" w:noVBand="1"/>
      </w:tblPr>
      <w:tblGrid>
        <w:gridCol w:w="4608"/>
        <w:gridCol w:w="4896"/>
      </w:tblGrid>
      <w:tr w:rsidR="00081314">
        <w:trPr>
          <w:cantSplit/>
          <w:tblHeader/>
          <w:jc w:val="center"/>
        </w:trPr>
        <w:tc>
          <w:tcPr>
            <w:tcW w:w="4608" w:type="dxa"/>
            <w:shd w:val="clear" w:color="auto" w:fill="173B4D"/>
            <w:tcMar>
              <w:top w:w="90" w:type="dxa"/>
              <w:left w:w="110" w:type="dxa"/>
              <w:bottom w:w="90" w:type="dxa"/>
              <w:right w:w="110" w:type="dxa"/>
            </w:tcMar>
            <w:vAlign w:val="center"/>
          </w:tcPr>
          <w:p w:rsidR="00081314" w:rsidRDefault="00F0304D">
            <w:pPr>
              <w:spacing w:after="0"/>
              <w:jc w:val="center"/>
              <w:rPr>
                <w:rFonts w:hint="eastAsia"/>
              </w:rPr>
            </w:pPr>
            <w:r>
              <w:rPr>
                <w:b/>
                <w:color w:val="FFFFFF"/>
                <w:sz w:val="18"/>
              </w:rPr>
              <w:t>Faixa</w:t>
            </w:r>
          </w:p>
        </w:tc>
        <w:tc>
          <w:tcPr>
            <w:tcW w:w="4896" w:type="dxa"/>
            <w:shd w:val="clear" w:color="auto" w:fill="173B4D"/>
            <w:tcMar>
              <w:top w:w="90" w:type="dxa"/>
              <w:left w:w="110" w:type="dxa"/>
              <w:bottom w:w="90" w:type="dxa"/>
              <w:right w:w="110" w:type="dxa"/>
            </w:tcMar>
            <w:vAlign w:val="center"/>
          </w:tcPr>
          <w:p w:rsidR="00081314" w:rsidRDefault="00F0304D">
            <w:pPr>
              <w:spacing w:after="0"/>
              <w:jc w:val="center"/>
              <w:rPr>
                <w:rFonts w:hint="eastAsia"/>
              </w:rPr>
            </w:pPr>
            <w:r>
              <w:rPr>
                <w:b/>
                <w:color w:val="FFFFFF"/>
                <w:sz w:val="18"/>
              </w:rPr>
              <w:t>Valor por automatização na faixa</w:t>
            </w:r>
          </w:p>
        </w:tc>
      </w:tr>
      <w:tr w:rsidR="00081314">
        <w:trPr>
          <w:cantSplit/>
          <w:jc w:val="center"/>
        </w:trPr>
        <w:tc>
          <w:tcPr>
            <w:tcW w:w="4608"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8"/>
              </w:rPr>
              <w:t>1 a 10</w:t>
            </w:r>
          </w:p>
        </w:tc>
        <w:tc>
          <w:tcPr>
            <w:tcW w:w="4896" w:type="dxa"/>
            <w:shd w:val="clear" w:color="auto" w:fill="FFFFFF"/>
            <w:tcMar>
              <w:top w:w="85" w:type="dxa"/>
              <w:left w:w="110" w:type="dxa"/>
              <w:bottom w:w="85" w:type="dxa"/>
              <w:right w:w="110" w:type="dxa"/>
            </w:tcMar>
            <w:vAlign w:val="center"/>
          </w:tcPr>
          <w:p w:rsidR="00081314" w:rsidRDefault="00F0304D">
            <w:pPr>
              <w:spacing w:after="0" w:line="240" w:lineRule="auto"/>
              <w:jc w:val="center"/>
              <w:rPr>
                <w:rFonts w:hint="eastAsia"/>
              </w:rPr>
            </w:pPr>
            <w:r>
              <w:rPr>
                <w:sz w:val="18"/>
              </w:rPr>
              <w:t>R$ 30,00</w:t>
            </w:r>
          </w:p>
        </w:tc>
      </w:tr>
      <w:tr w:rsidR="00081314">
        <w:trPr>
          <w:cantSplit/>
          <w:jc w:val="center"/>
        </w:trPr>
        <w:tc>
          <w:tcPr>
            <w:tcW w:w="4608"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8"/>
              </w:rPr>
              <w:t>11 a 20</w:t>
            </w:r>
          </w:p>
        </w:tc>
        <w:tc>
          <w:tcPr>
            <w:tcW w:w="4896" w:type="dxa"/>
            <w:shd w:val="clear" w:color="auto" w:fill="FFFFFF"/>
            <w:tcMar>
              <w:top w:w="85" w:type="dxa"/>
              <w:left w:w="110" w:type="dxa"/>
              <w:bottom w:w="85" w:type="dxa"/>
              <w:right w:w="110" w:type="dxa"/>
            </w:tcMar>
            <w:vAlign w:val="center"/>
          </w:tcPr>
          <w:p w:rsidR="00081314" w:rsidRDefault="00F0304D">
            <w:pPr>
              <w:spacing w:after="0" w:line="240" w:lineRule="auto"/>
              <w:jc w:val="center"/>
              <w:rPr>
                <w:rFonts w:hint="eastAsia"/>
              </w:rPr>
            </w:pPr>
            <w:r>
              <w:rPr>
                <w:sz w:val="18"/>
              </w:rPr>
              <w:t>R$ 25,00</w:t>
            </w:r>
          </w:p>
        </w:tc>
      </w:tr>
      <w:tr w:rsidR="00081314">
        <w:trPr>
          <w:cantSplit/>
          <w:jc w:val="center"/>
        </w:trPr>
        <w:tc>
          <w:tcPr>
            <w:tcW w:w="4608"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8"/>
              </w:rPr>
              <w:t>21 a 30</w:t>
            </w:r>
          </w:p>
        </w:tc>
        <w:tc>
          <w:tcPr>
            <w:tcW w:w="4896" w:type="dxa"/>
            <w:shd w:val="clear" w:color="auto" w:fill="FFFFFF"/>
            <w:tcMar>
              <w:top w:w="85" w:type="dxa"/>
              <w:left w:w="110" w:type="dxa"/>
              <w:bottom w:w="85" w:type="dxa"/>
              <w:right w:w="110" w:type="dxa"/>
            </w:tcMar>
            <w:vAlign w:val="center"/>
          </w:tcPr>
          <w:p w:rsidR="00081314" w:rsidRDefault="00F0304D">
            <w:pPr>
              <w:spacing w:after="0" w:line="240" w:lineRule="auto"/>
              <w:jc w:val="center"/>
              <w:rPr>
                <w:rFonts w:hint="eastAsia"/>
              </w:rPr>
            </w:pPr>
            <w:r>
              <w:rPr>
                <w:sz w:val="18"/>
              </w:rPr>
              <w:t>R$ 20,00</w:t>
            </w:r>
          </w:p>
        </w:tc>
      </w:tr>
      <w:tr w:rsidR="00081314">
        <w:trPr>
          <w:cantSplit/>
          <w:jc w:val="center"/>
        </w:trPr>
        <w:tc>
          <w:tcPr>
            <w:tcW w:w="4608"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8"/>
              </w:rPr>
              <w:t>31 a 50</w:t>
            </w:r>
          </w:p>
        </w:tc>
        <w:tc>
          <w:tcPr>
            <w:tcW w:w="4896" w:type="dxa"/>
            <w:shd w:val="clear" w:color="auto" w:fill="FFFFFF"/>
            <w:tcMar>
              <w:top w:w="85" w:type="dxa"/>
              <w:left w:w="110" w:type="dxa"/>
              <w:bottom w:w="85" w:type="dxa"/>
              <w:right w:w="110" w:type="dxa"/>
            </w:tcMar>
            <w:vAlign w:val="center"/>
          </w:tcPr>
          <w:p w:rsidR="00081314" w:rsidRDefault="00F0304D">
            <w:pPr>
              <w:spacing w:after="0" w:line="240" w:lineRule="auto"/>
              <w:jc w:val="center"/>
              <w:rPr>
                <w:rFonts w:hint="eastAsia"/>
              </w:rPr>
            </w:pPr>
            <w:r>
              <w:rPr>
                <w:sz w:val="18"/>
              </w:rPr>
              <w:t>R$ 15,00</w:t>
            </w:r>
          </w:p>
        </w:tc>
      </w:tr>
      <w:tr w:rsidR="00081314">
        <w:trPr>
          <w:cantSplit/>
          <w:jc w:val="center"/>
        </w:trPr>
        <w:tc>
          <w:tcPr>
            <w:tcW w:w="4608"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8"/>
              </w:rPr>
              <w:t>51 a 75</w:t>
            </w:r>
          </w:p>
        </w:tc>
        <w:tc>
          <w:tcPr>
            <w:tcW w:w="4896" w:type="dxa"/>
            <w:shd w:val="clear" w:color="auto" w:fill="FFFFFF"/>
            <w:tcMar>
              <w:top w:w="85" w:type="dxa"/>
              <w:left w:w="110" w:type="dxa"/>
              <w:bottom w:w="85" w:type="dxa"/>
              <w:right w:w="110" w:type="dxa"/>
            </w:tcMar>
            <w:vAlign w:val="center"/>
          </w:tcPr>
          <w:p w:rsidR="00081314" w:rsidRDefault="00F0304D">
            <w:pPr>
              <w:spacing w:after="0" w:line="240" w:lineRule="auto"/>
              <w:jc w:val="center"/>
              <w:rPr>
                <w:rFonts w:hint="eastAsia"/>
              </w:rPr>
            </w:pPr>
            <w:r>
              <w:rPr>
                <w:sz w:val="18"/>
              </w:rPr>
              <w:t>R$ 10,00</w:t>
            </w:r>
          </w:p>
        </w:tc>
      </w:tr>
      <w:tr w:rsidR="00081314">
        <w:trPr>
          <w:cantSplit/>
          <w:jc w:val="center"/>
        </w:trPr>
        <w:tc>
          <w:tcPr>
            <w:tcW w:w="4608"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8"/>
              </w:rPr>
              <w:t>76 ou mais</w:t>
            </w:r>
          </w:p>
        </w:tc>
        <w:tc>
          <w:tcPr>
            <w:tcW w:w="4896" w:type="dxa"/>
            <w:shd w:val="clear" w:color="auto" w:fill="FFFFFF"/>
            <w:tcMar>
              <w:top w:w="85" w:type="dxa"/>
              <w:left w:w="110" w:type="dxa"/>
              <w:bottom w:w="85" w:type="dxa"/>
              <w:right w:w="110" w:type="dxa"/>
            </w:tcMar>
            <w:vAlign w:val="center"/>
          </w:tcPr>
          <w:p w:rsidR="00081314" w:rsidRDefault="00F0304D">
            <w:pPr>
              <w:spacing w:after="0" w:line="240" w:lineRule="auto"/>
              <w:jc w:val="center"/>
              <w:rPr>
                <w:rFonts w:hint="eastAsia"/>
              </w:rPr>
            </w:pPr>
            <w:r>
              <w:rPr>
                <w:sz w:val="18"/>
              </w:rPr>
              <w:t>R$ 5,00</w:t>
            </w:r>
          </w:p>
        </w:tc>
      </w:tr>
    </w:tbl>
    <w:p w:rsidR="00081314" w:rsidRDefault="00081314">
      <w:pPr>
        <w:spacing w:after="20"/>
        <w:rPr>
          <w:rFonts w:hint="eastAsia"/>
        </w:rPr>
      </w:pPr>
    </w:p>
    <w:tbl>
      <w:tblPr>
        <w:tblW w:w="0" w:type="auto"/>
        <w:jc w:val="center"/>
        <w:tblLayout w:type="fixed"/>
        <w:tblLook w:val="04A0" w:firstRow="1" w:lastRow="0" w:firstColumn="1" w:lastColumn="0" w:noHBand="0" w:noVBand="1"/>
      </w:tblPr>
      <w:tblGrid>
        <w:gridCol w:w="1944"/>
        <w:gridCol w:w="1800"/>
        <w:gridCol w:w="2232"/>
        <w:gridCol w:w="2232"/>
      </w:tblGrid>
      <w:tr w:rsidR="00081314">
        <w:trPr>
          <w:jc w:val="center"/>
        </w:trPr>
        <w:tc>
          <w:tcPr>
            <w:tcW w:w="1944" w:type="dxa"/>
            <w:shd w:val="clear" w:color="auto" w:fill="173B4D"/>
            <w:tcMar>
              <w:top w:w="90" w:type="dxa"/>
              <w:left w:w="110" w:type="dxa"/>
              <w:bottom w:w="90" w:type="dxa"/>
              <w:right w:w="110" w:type="dxa"/>
            </w:tcMar>
            <w:vAlign w:val="center"/>
          </w:tcPr>
          <w:p w:rsidR="00081314" w:rsidRDefault="00F0304D">
            <w:pPr>
              <w:spacing w:after="0"/>
              <w:jc w:val="center"/>
              <w:rPr>
                <w:rFonts w:hint="eastAsia"/>
              </w:rPr>
            </w:pPr>
            <w:r>
              <w:rPr>
                <w:b/>
                <w:color w:val="FFFFFF"/>
                <w:sz w:val="17"/>
              </w:rPr>
              <w:t>Faixa</w:t>
            </w:r>
          </w:p>
        </w:tc>
        <w:tc>
          <w:tcPr>
            <w:tcW w:w="1800" w:type="dxa"/>
            <w:shd w:val="clear" w:color="auto" w:fill="173B4D"/>
            <w:tcMar>
              <w:top w:w="90" w:type="dxa"/>
              <w:left w:w="110" w:type="dxa"/>
              <w:bottom w:w="90" w:type="dxa"/>
              <w:right w:w="110" w:type="dxa"/>
            </w:tcMar>
            <w:vAlign w:val="center"/>
          </w:tcPr>
          <w:p w:rsidR="00081314" w:rsidRDefault="00F0304D">
            <w:pPr>
              <w:spacing w:after="0"/>
              <w:jc w:val="center"/>
              <w:rPr>
                <w:rFonts w:hint="eastAsia"/>
              </w:rPr>
            </w:pPr>
            <w:r>
              <w:rPr>
                <w:b/>
                <w:color w:val="FFFFFF"/>
                <w:sz w:val="17"/>
              </w:rPr>
              <w:t>Quantidade</w:t>
            </w:r>
          </w:p>
        </w:tc>
        <w:tc>
          <w:tcPr>
            <w:tcW w:w="2232" w:type="dxa"/>
            <w:shd w:val="clear" w:color="auto" w:fill="173B4D"/>
            <w:tcMar>
              <w:top w:w="90" w:type="dxa"/>
              <w:left w:w="110" w:type="dxa"/>
              <w:bottom w:w="90" w:type="dxa"/>
              <w:right w:w="110" w:type="dxa"/>
            </w:tcMar>
            <w:vAlign w:val="center"/>
          </w:tcPr>
          <w:p w:rsidR="00081314" w:rsidRDefault="00F0304D">
            <w:pPr>
              <w:spacing w:after="0"/>
              <w:jc w:val="center"/>
              <w:rPr>
                <w:rFonts w:hint="eastAsia"/>
              </w:rPr>
            </w:pPr>
            <w:r>
              <w:rPr>
                <w:b/>
                <w:color w:val="FFFFFF"/>
                <w:sz w:val="17"/>
              </w:rPr>
              <w:t>Valor unitário</w:t>
            </w:r>
          </w:p>
        </w:tc>
        <w:tc>
          <w:tcPr>
            <w:tcW w:w="2232" w:type="dxa"/>
            <w:shd w:val="clear" w:color="auto" w:fill="173B4D"/>
            <w:tcMar>
              <w:top w:w="90" w:type="dxa"/>
              <w:left w:w="110" w:type="dxa"/>
              <w:bottom w:w="90" w:type="dxa"/>
              <w:right w:w="110" w:type="dxa"/>
            </w:tcMar>
            <w:vAlign w:val="center"/>
          </w:tcPr>
          <w:p w:rsidR="00081314" w:rsidRDefault="00F0304D">
            <w:pPr>
              <w:spacing w:after="0"/>
              <w:jc w:val="center"/>
              <w:rPr>
                <w:rFonts w:hint="eastAsia"/>
              </w:rPr>
            </w:pPr>
            <w:r>
              <w:rPr>
                <w:b/>
                <w:color w:val="FFFFFF"/>
                <w:sz w:val="17"/>
              </w:rPr>
              <w:t>Comissão</w:t>
            </w:r>
          </w:p>
        </w:tc>
      </w:tr>
      <w:tr w:rsidR="00081314">
        <w:trPr>
          <w:jc w:val="center"/>
        </w:trPr>
        <w:tc>
          <w:tcPr>
            <w:tcW w:w="1944"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7"/>
              </w:rPr>
              <w:t>1 a 10</w:t>
            </w:r>
          </w:p>
        </w:tc>
        <w:tc>
          <w:tcPr>
            <w:tcW w:w="1800"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7"/>
              </w:rPr>
              <w:t>10</w:t>
            </w:r>
          </w:p>
        </w:tc>
        <w:tc>
          <w:tcPr>
            <w:tcW w:w="2232"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7"/>
              </w:rPr>
              <w:t>R$ 30,00</w:t>
            </w:r>
          </w:p>
        </w:tc>
        <w:tc>
          <w:tcPr>
            <w:tcW w:w="2232"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7"/>
              </w:rPr>
              <w:t>R$ 300,00</w:t>
            </w:r>
          </w:p>
        </w:tc>
      </w:tr>
      <w:tr w:rsidR="00081314">
        <w:trPr>
          <w:jc w:val="center"/>
        </w:trPr>
        <w:tc>
          <w:tcPr>
            <w:tcW w:w="1944"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7"/>
              </w:rPr>
              <w:t>11 a 20</w:t>
            </w:r>
          </w:p>
        </w:tc>
        <w:tc>
          <w:tcPr>
            <w:tcW w:w="1800"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7"/>
              </w:rPr>
              <w:t>10</w:t>
            </w:r>
          </w:p>
        </w:tc>
        <w:tc>
          <w:tcPr>
            <w:tcW w:w="2232"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7"/>
              </w:rPr>
              <w:t>R$ 25,00</w:t>
            </w:r>
          </w:p>
        </w:tc>
        <w:tc>
          <w:tcPr>
            <w:tcW w:w="2232"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7"/>
              </w:rPr>
              <w:t>R$ 250,00</w:t>
            </w:r>
          </w:p>
        </w:tc>
      </w:tr>
      <w:tr w:rsidR="00081314">
        <w:trPr>
          <w:jc w:val="center"/>
        </w:trPr>
        <w:tc>
          <w:tcPr>
            <w:tcW w:w="1944"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7"/>
              </w:rPr>
              <w:t>21 a 30</w:t>
            </w:r>
          </w:p>
        </w:tc>
        <w:tc>
          <w:tcPr>
            <w:tcW w:w="1800"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7"/>
              </w:rPr>
              <w:t>10</w:t>
            </w:r>
          </w:p>
        </w:tc>
        <w:tc>
          <w:tcPr>
            <w:tcW w:w="2232"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7"/>
              </w:rPr>
              <w:t>R$ 20,00</w:t>
            </w:r>
          </w:p>
        </w:tc>
        <w:tc>
          <w:tcPr>
            <w:tcW w:w="2232"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7"/>
              </w:rPr>
              <w:t>R$ 200,00</w:t>
            </w:r>
          </w:p>
        </w:tc>
      </w:tr>
      <w:tr w:rsidR="00081314">
        <w:trPr>
          <w:jc w:val="center"/>
        </w:trPr>
        <w:tc>
          <w:tcPr>
            <w:tcW w:w="1944"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7"/>
              </w:rPr>
              <w:t>31 a 50</w:t>
            </w:r>
          </w:p>
        </w:tc>
        <w:tc>
          <w:tcPr>
            <w:tcW w:w="1800"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7"/>
              </w:rPr>
              <w:t>20</w:t>
            </w:r>
          </w:p>
        </w:tc>
        <w:tc>
          <w:tcPr>
            <w:tcW w:w="2232"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7"/>
              </w:rPr>
              <w:t>R$ 15,00</w:t>
            </w:r>
          </w:p>
        </w:tc>
        <w:tc>
          <w:tcPr>
            <w:tcW w:w="2232"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7"/>
              </w:rPr>
              <w:t>R$ 300,00</w:t>
            </w:r>
          </w:p>
        </w:tc>
      </w:tr>
      <w:tr w:rsidR="00081314">
        <w:trPr>
          <w:jc w:val="center"/>
        </w:trPr>
        <w:tc>
          <w:tcPr>
            <w:tcW w:w="1944"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7"/>
              </w:rPr>
              <w:t>51 a 75</w:t>
            </w:r>
          </w:p>
        </w:tc>
        <w:tc>
          <w:tcPr>
            <w:tcW w:w="1800"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7"/>
              </w:rPr>
              <w:t>25</w:t>
            </w:r>
          </w:p>
        </w:tc>
        <w:tc>
          <w:tcPr>
            <w:tcW w:w="2232"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7"/>
              </w:rPr>
              <w:t>R$ 10,00</w:t>
            </w:r>
          </w:p>
        </w:tc>
        <w:tc>
          <w:tcPr>
            <w:tcW w:w="2232"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7"/>
              </w:rPr>
              <w:t>R$ 250,00</w:t>
            </w:r>
          </w:p>
        </w:tc>
      </w:tr>
      <w:tr w:rsidR="00081314">
        <w:trPr>
          <w:jc w:val="center"/>
        </w:trPr>
        <w:tc>
          <w:tcPr>
            <w:tcW w:w="1944"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7"/>
              </w:rPr>
              <w:t>76 a 100</w:t>
            </w:r>
          </w:p>
        </w:tc>
        <w:tc>
          <w:tcPr>
            <w:tcW w:w="1800"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7"/>
              </w:rPr>
              <w:t>25</w:t>
            </w:r>
          </w:p>
        </w:tc>
        <w:tc>
          <w:tcPr>
            <w:tcW w:w="2232"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7"/>
              </w:rPr>
              <w:t>R$ 5,00</w:t>
            </w:r>
          </w:p>
        </w:tc>
        <w:tc>
          <w:tcPr>
            <w:tcW w:w="2232"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7"/>
              </w:rPr>
              <w:t>R$ 125,00</w:t>
            </w:r>
          </w:p>
        </w:tc>
      </w:tr>
      <w:tr w:rsidR="00081314">
        <w:trPr>
          <w:jc w:val="center"/>
        </w:trPr>
        <w:tc>
          <w:tcPr>
            <w:tcW w:w="1944" w:type="dxa"/>
            <w:shd w:val="clear" w:color="auto" w:fill="EAF5F7"/>
            <w:tcMar>
              <w:top w:w="90" w:type="dxa"/>
              <w:left w:w="110" w:type="dxa"/>
              <w:bottom w:w="90" w:type="dxa"/>
              <w:right w:w="110" w:type="dxa"/>
            </w:tcMar>
            <w:vAlign w:val="center"/>
          </w:tcPr>
          <w:p w:rsidR="00081314" w:rsidRDefault="00F0304D">
            <w:pPr>
              <w:spacing w:after="0"/>
              <w:jc w:val="center"/>
              <w:rPr>
                <w:rFonts w:hint="eastAsia"/>
              </w:rPr>
            </w:pPr>
            <w:r>
              <w:rPr>
                <w:b/>
                <w:color w:val="173B4D"/>
                <w:sz w:val="17"/>
              </w:rPr>
              <w:t>TOTAL</w:t>
            </w:r>
          </w:p>
        </w:tc>
        <w:tc>
          <w:tcPr>
            <w:tcW w:w="1800" w:type="dxa"/>
            <w:shd w:val="clear" w:color="auto" w:fill="EAF5F7"/>
            <w:tcMar>
              <w:top w:w="90" w:type="dxa"/>
              <w:left w:w="110" w:type="dxa"/>
              <w:bottom w:w="90" w:type="dxa"/>
              <w:right w:w="110" w:type="dxa"/>
            </w:tcMar>
            <w:vAlign w:val="center"/>
          </w:tcPr>
          <w:p w:rsidR="00081314" w:rsidRDefault="00F0304D">
            <w:pPr>
              <w:spacing w:after="0"/>
              <w:jc w:val="center"/>
              <w:rPr>
                <w:rFonts w:hint="eastAsia"/>
              </w:rPr>
            </w:pPr>
            <w:r>
              <w:rPr>
                <w:b/>
                <w:color w:val="173B4D"/>
                <w:sz w:val="17"/>
              </w:rPr>
              <w:t>100</w:t>
            </w:r>
          </w:p>
        </w:tc>
        <w:tc>
          <w:tcPr>
            <w:tcW w:w="2232" w:type="dxa"/>
            <w:shd w:val="clear" w:color="auto" w:fill="EAF5F7"/>
            <w:tcMar>
              <w:top w:w="90" w:type="dxa"/>
              <w:left w:w="110" w:type="dxa"/>
              <w:bottom w:w="90" w:type="dxa"/>
              <w:right w:w="110" w:type="dxa"/>
            </w:tcMar>
            <w:vAlign w:val="center"/>
          </w:tcPr>
          <w:p w:rsidR="00081314" w:rsidRDefault="00081314">
            <w:pPr>
              <w:spacing w:after="0"/>
              <w:jc w:val="center"/>
              <w:rPr>
                <w:rFonts w:hint="eastAsia"/>
              </w:rPr>
            </w:pPr>
          </w:p>
        </w:tc>
        <w:tc>
          <w:tcPr>
            <w:tcW w:w="2232" w:type="dxa"/>
            <w:shd w:val="clear" w:color="auto" w:fill="EAF5F7"/>
            <w:tcMar>
              <w:top w:w="90" w:type="dxa"/>
              <w:left w:w="110" w:type="dxa"/>
              <w:bottom w:w="90" w:type="dxa"/>
              <w:right w:w="110" w:type="dxa"/>
            </w:tcMar>
            <w:vAlign w:val="center"/>
          </w:tcPr>
          <w:p w:rsidR="00081314" w:rsidRDefault="00F0304D">
            <w:pPr>
              <w:spacing w:after="0"/>
              <w:jc w:val="center"/>
              <w:rPr>
                <w:rFonts w:hint="eastAsia"/>
              </w:rPr>
            </w:pPr>
            <w:r>
              <w:rPr>
                <w:b/>
                <w:color w:val="173B4D"/>
                <w:sz w:val="17"/>
              </w:rPr>
              <w:t>R$ 1.425,00</w:t>
            </w:r>
          </w:p>
        </w:tc>
      </w:tr>
    </w:tbl>
    <w:p w:rsidR="00081314" w:rsidRDefault="00081314">
      <w:pPr>
        <w:spacing w:after="20"/>
        <w:rPr>
          <w:rFonts w:hint="eastAsia"/>
        </w:rPr>
      </w:pPr>
    </w:p>
    <w:p w:rsidR="00081314" w:rsidRDefault="00F0304D">
      <w:pPr>
        <w:keepNext/>
        <w:spacing w:before="120" w:after="80"/>
        <w:rPr>
          <w:rFonts w:hint="eastAsia"/>
        </w:rPr>
      </w:pPr>
      <w:r>
        <w:rPr>
          <w:b/>
          <w:color w:val="173B4D"/>
          <w:sz w:val="23"/>
        </w:rPr>
        <w:t>2.2 Automatização Institucional - bonificação</w:t>
      </w:r>
    </w:p>
    <w:p w:rsidR="00081314" w:rsidRDefault="00F0304D">
      <w:pPr>
        <w:rPr>
          <w:rFonts w:hint="eastAsia"/>
        </w:rPr>
      </w:pPr>
      <w:r>
        <w:t xml:space="preserve">A Automatização Institucional gera bonificação, e não </w:t>
      </w:r>
      <w:r>
        <w:t>comissão vinculada à base de crédito. O enquadramento decorre do volume total de automatizações validadas na ação institucional.</w:t>
      </w:r>
    </w:p>
    <w:tbl>
      <w:tblPr>
        <w:tblW w:w="0" w:type="auto"/>
        <w:jc w:val="center"/>
        <w:tblLayout w:type="fixed"/>
        <w:tblLook w:val="04A0" w:firstRow="1" w:lastRow="0" w:firstColumn="1" w:lastColumn="0" w:noHBand="0" w:noVBand="1"/>
      </w:tblPr>
      <w:tblGrid>
        <w:gridCol w:w="4997"/>
        <w:gridCol w:w="4997"/>
      </w:tblGrid>
      <w:tr w:rsidR="00081314">
        <w:trPr>
          <w:cantSplit/>
          <w:tblHeader/>
          <w:jc w:val="center"/>
        </w:trPr>
        <w:tc>
          <w:tcPr>
            <w:tcW w:w="4896" w:type="dxa"/>
            <w:shd w:val="clear" w:color="auto" w:fill="173B4D"/>
            <w:tcMar>
              <w:top w:w="90" w:type="dxa"/>
              <w:left w:w="110" w:type="dxa"/>
              <w:bottom w:w="90" w:type="dxa"/>
              <w:right w:w="110" w:type="dxa"/>
            </w:tcMar>
            <w:vAlign w:val="center"/>
          </w:tcPr>
          <w:p w:rsidR="00081314" w:rsidRDefault="00F0304D">
            <w:pPr>
              <w:spacing w:after="0"/>
              <w:jc w:val="center"/>
              <w:rPr>
                <w:rFonts w:hint="eastAsia"/>
              </w:rPr>
            </w:pPr>
            <w:r>
              <w:rPr>
                <w:b/>
                <w:color w:val="FFFFFF"/>
                <w:sz w:val="18"/>
              </w:rPr>
              <w:t>Automatizações validadas na ação</w:t>
            </w:r>
          </w:p>
        </w:tc>
        <w:tc>
          <w:tcPr>
            <w:tcW w:w="4608" w:type="dxa"/>
            <w:shd w:val="clear" w:color="auto" w:fill="173B4D"/>
            <w:tcMar>
              <w:top w:w="90" w:type="dxa"/>
              <w:left w:w="110" w:type="dxa"/>
              <w:bottom w:w="90" w:type="dxa"/>
              <w:right w:w="110" w:type="dxa"/>
            </w:tcMar>
            <w:vAlign w:val="center"/>
          </w:tcPr>
          <w:p w:rsidR="00081314" w:rsidRDefault="00F0304D">
            <w:pPr>
              <w:spacing w:after="0"/>
              <w:jc w:val="center"/>
              <w:rPr>
                <w:rFonts w:hint="eastAsia"/>
              </w:rPr>
            </w:pPr>
            <w:r>
              <w:rPr>
                <w:b/>
                <w:color w:val="FFFFFF"/>
                <w:sz w:val="18"/>
              </w:rPr>
              <w:t>Bonificação integral por participante</w:t>
            </w:r>
          </w:p>
        </w:tc>
      </w:tr>
      <w:tr w:rsidR="00081314">
        <w:trPr>
          <w:cantSplit/>
          <w:jc w:val="center"/>
        </w:trPr>
        <w:tc>
          <w:tcPr>
            <w:tcW w:w="4896"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8"/>
              </w:rPr>
              <w:t>0 a 9</w:t>
            </w:r>
          </w:p>
        </w:tc>
        <w:tc>
          <w:tcPr>
            <w:tcW w:w="4608"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8"/>
              </w:rPr>
              <w:t>Sem bonificação</w:t>
            </w:r>
          </w:p>
        </w:tc>
      </w:tr>
      <w:tr w:rsidR="00081314">
        <w:trPr>
          <w:cantSplit/>
          <w:jc w:val="center"/>
        </w:trPr>
        <w:tc>
          <w:tcPr>
            <w:tcW w:w="4896"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8"/>
              </w:rPr>
              <w:t>10 a 150</w:t>
            </w:r>
          </w:p>
        </w:tc>
        <w:tc>
          <w:tcPr>
            <w:tcW w:w="4608"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8"/>
              </w:rPr>
              <w:t>R$ 50,00</w:t>
            </w:r>
          </w:p>
        </w:tc>
      </w:tr>
      <w:tr w:rsidR="00081314">
        <w:trPr>
          <w:cantSplit/>
          <w:jc w:val="center"/>
        </w:trPr>
        <w:tc>
          <w:tcPr>
            <w:tcW w:w="4896"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8"/>
              </w:rPr>
              <w:t>151 a 299</w:t>
            </w:r>
          </w:p>
        </w:tc>
        <w:tc>
          <w:tcPr>
            <w:tcW w:w="4608"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8"/>
              </w:rPr>
              <w:t xml:space="preserve">R$ </w:t>
            </w:r>
            <w:r>
              <w:rPr>
                <w:color w:val="243746"/>
                <w:sz w:val="18"/>
              </w:rPr>
              <w:t>75,00</w:t>
            </w:r>
          </w:p>
        </w:tc>
      </w:tr>
      <w:tr w:rsidR="00081314">
        <w:trPr>
          <w:cantSplit/>
          <w:jc w:val="center"/>
        </w:trPr>
        <w:tc>
          <w:tcPr>
            <w:tcW w:w="4896"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8"/>
              </w:rPr>
              <w:t>300 a 499</w:t>
            </w:r>
          </w:p>
        </w:tc>
        <w:tc>
          <w:tcPr>
            <w:tcW w:w="4608"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8"/>
              </w:rPr>
              <w:t>R$ 100,00</w:t>
            </w:r>
          </w:p>
        </w:tc>
      </w:tr>
      <w:tr w:rsidR="00081314">
        <w:trPr>
          <w:cantSplit/>
          <w:jc w:val="center"/>
        </w:trPr>
        <w:tc>
          <w:tcPr>
            <w:tcW w:w="4896"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8"/>
              </w:rPr>
              <w:t>500 a 699</w:t>
            </w:r>
          </w:p>
        </w:tc>
        <w:tc>
          <w:tcPr>
            <w:tcW w:w="4608"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8"/>
              </w:rPr>
              <w:t>R$ 200,00</w:t>
            </w:r>
          </w:p>
        </w:tc>
      </w:tr>
      <w:tr w:rsidR="00081314">
        <w:trPr>
          <w:cantSplit/>
          <w:jc w:val="center"/>
        </w:trPr>
        <w:tc>
          <w:tcPr>
            <w:tcW w:w="4896"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8"/>
              </w:rPr>
              <w:t>700 a 899</w:t>
            </w:r>
          </w:p>
        </w:tc>
        <w:tc>
          <w:tcPr>
            <w:tcW w:w="4608"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8"/>
              </w:rPr>
              <w:t>R$ 300,00</w:t>
            </w:r>
          </w:p>
        </w:tc>
      </w:tr>
      <w:tr w:rsidR="00081314">
        <w:trPr>
          <w:cantSplit/>
          <w:jc w:val="center"/>
        </w:trPr>
        <w:tc>
          <w:tcPr>
            <w:tcW w:w="4896"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8"/>
              </w:rPr>
              <w:t>900 a 1.199</w:t>
            </w:r>
          </w:p>
        </w:tc>
        <w:tc>
          <w:tcPr>
            <w:tcW w:w="4608"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8"/>
              </w:rPr>
              <w:t>R$ 400,00</w:t>
            </w:r>
          </w:p>
        </w:tc>
      </w:tr>
      <w:tr w:rsidR="00081314">
        <w:trPr>
          <w:jc w:val="center"/>
        </w:trPr>
        <w:tc>
          <w:tcPr>
            <w:tcW w:w="4997"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8"/>
              </w:rPr>
              <w:t>1.200 ou mais</w:t>
            </w:r>
          </w:p>
        </w:tc>
        <w:tc>
          <w:tcPr>
            <w:tcW w:w="4997" w:type="dxa"/>
            <w:shd w:val="clear" w:color="auto" w:fill="FFFFFF"/>
            <w:tcMar>
              <w:top w:w="90" w:type="dxa"/>
              <w:left w:w="110" w:type="dxa"/>
              <w:bottom w:w="90" w:type="dxa"/>
              <w:right w:w="110" w:type="dxa"/>
            </w:tcMar>
            <w:vAlign w:val="center"/>
          </w:tcPr>
          <w:p w:rsidR="00081314" w:rsidRDefault="00F0304D">
            <w:pPr>
              <w:spacing w:after="0"/>
              <w:jc w:val="center"/>
              <w:rPr>
                <w:rFonts w:hint="eastAsia"/>
              </w:rPr>
            </w:pPr>
            <w:r>
              <w:rPr>
                <w:color w:val="243746"/>
                <w:sz w:val="18"/>
              </w:rPr>
              <w:t>R$ 500,00</w:t>
            </w:r>
          </w:p>
        </w:tc>
      </w:tr>
    </w:tbl>
    <w:p w:rsidR="00081314" w:rsidRDefault="00081314">
      <w:pPr>
        <w:spacing w:after="20"/>
        <w:rPr>
          <w:rFonts w:hint="eastAsia"/>
        </w:rPr>
      </w:pPr>
    </w:p>
    <w:p w:rsidR="00081314" w:rsidRDefault="00F0304D">
      <w:pPr>
        <w:spacing w:after="120"/>
        <w:rPr>
          <w:rFonts w:hint="eastAsia"/>
        </w:rPr>
      </w:pPr>
      <w:r>
        <w:rPr>
          <w:color w:val="243746"/>
        </w:rPr>
        <w:t xml:space="preserve">A denominação “bonificação” é adotada para diferenciar esta modalidade da comissão vinculada à geração de crédito. Considerando que a </w:t>
      </w:r>
      <w:r>
        <w:rPr>
          <w:color w:val="243746"/>
        </w:rPr>
        <w:t xml:space="preserve">parcela decorre de critérios objetivos de desempenho e da participação do colaborador na ação, será processada, para fins internos, como remuneração variável, com os encargos e reflexos trabalhistas, </w:t>
      </w:r>
      <w:r>
        <w:rPr>
          <w:color w:val="243746"/>
        </w:rPr>
        <w:lastRenderedPageBreak/>
        <w:t>previdenciários e fiscais legalmente aplicáveis. Eventua</w:t>
      </w:r>
      <w:r>
        <w:rPr>
          <w:color w:val="243746"/>
        </w:rPr>
        <w:t>l tratamento jurídico diverso somente poderá ser adotado mediante validação formal do Jurídico/RH à luz da legislação vigente.</w:t>
      </w:r>
    </w:p>
    <w:p w:rsidR="00081314" w:rsidRDefault="00F0304D">
      <w:pPr>
        <w:rPr>
          <w:rFonts w:hint="eastAsia"/>
        </w:rPr>
      </w:pPr>
      <w:r>
        <w:t>A participação deverá obedecer à escala previamente definida. A bonificação individual será proporcional às horas efetivamente tr</w:t>
      </w:r>
      <w:r>
        <w:t>abalhadas em relação à carga horária total programada para a ação.</w:t>
      </w:r>
    </w:p>
    <w:p w:rsidR="00081314" w:rsidRDefault="00F0304D">
      <w:pPr>
        <w:rPr>
          <w:rFonts w:hint="eastAsia"/>
        </w:rPr>
      </w:pPr>
      <w:r>
        <w:t>A bonificação não substitui nem compensa salário, horas trabalhadas, horas extraordinárias, adicional noturno, intervalos, descansos ou outros direitos relacionados à jornada. A participaçã</w:t>
      </w:r>
      <w:r>
        <w:t>o em eventos e ações fora da jornada contratual deverá ser registrada e tratada segundo a CLT, o instrumento coletivo aplicável e as regras internas de controle de jornada.</w:t>
      </w:r>
    </w:p>
    <w:tbl>
      <w:tblPr>
        <w:tblW w:w="0" w:type="auto"/>
        <w:jc w:val="center"/>
        <w:tblLayout w:type="fixed"/>
        <w:tblLook w:val="04A0" w:firstRow="1" w:lastRow="0" w:firstColumn="1" w:lastColumn="0" w:noHBand="0" w:noVBand="1"/>
      </w:tblPr>
      <w:tblGrid>
        <w:gridCol w:w="4997"/>
        <w:gridCol w:w="4997"/>
      </w:tblGrid>
      <w:tr w:rsidR="00081314">
        <w:trPr>
          <w:jc w:val="center"/>
        </w:trPr>
        <w:tc>
          <w:tcPr>
            <w:tcW w:w="4997" w:type="dxa"/>
            <w:shd w:val="clear" w:color="auto" w:fill="E83E8C"/>
            <w:tcMar>
              <w:top w:w="80" w:type="dxa"/>
              <w:left w:w="20" w:type="dxa"/>
              <w:bottom w:w="80" w:type="dxa"/>
              <w:right w:w="20" w:type="dxa"/>
            </w:tcMar>
          </w:tcPr>
          <w:p w:rsidR="00081314" w:rsidRDefault="00081314">
            <w:pPr>
              <w:rPr>
                <w:rFonts w:hint="eastAsia"/>
              </w:rPr>
            </w:pPr>
          </w:p>
        </w:tc>
        <w:tc>
          <w:tcPr>
            <w:tcW w:w="4997" w:type="dxa"/>
            <w:shd w:val="clear" w:color="auto" w:fill="EAF5F7"/>
            <w:tcMar>
              <w:top w:w="90" w:type="dxa"/>
              <w:left w:w="110" w:type="dxa"/>
              <w:bottom w:w="90" w:type="dxa"/>
              <w:right w:w="110" w:type="dxa"/>
            </w:tcMar>
            <w:vAlign w:val="center"/>
          </w:tcPr>
          <w:p w:rsidR="00081314" w:rsidRDefault="00F0304D">
            <w:pPr>
              <w:spacing w:after="0"/>
              <w:rPr>
                <w:rFonts w:hint="eastAsia"/>
              </w:rPr>
            </w:pPr>
            <w:r>
              <w:rPr>
                <w:color w:val="243746"/>
                <w:sz w:val="18"/>
              </w:rPr>
              <w:t>FÓRMULA</w:t>
            </w:r>
            <w:r>
              <w:rPr>
                <w:color w:val="243746"/>
                <w:sz w:val="18"/>
              </w:rPr>
              <w:br/>
              <w:t>Bonificação individual = bonificação integral da faixa x (horas efetivamen</w:t>
            </w:r>
            <w:r>
              <w:rPr>
                <w:color w:val="243746"/>
                <w:sz w:val="18"/>
              </w:rPr>
              <w:t>te trabalhadas / carga horária total da ação). Ex.: ação com carga total de 24h enquadrada na faixa de R$ 300,00; colaborador que trabalhou 8h recebe R$ 100,00. Quem trabalhou 16h recebe R$ 200,00 e quem cumpriu 24h recebe R$ 300,00.</w:t>
            </w:r>
          </w:p>
        </w:tc>
      </w:tr>
    </w:tbl>
    <w:p w:rsidR="00081314" w:rsidRDefault="00081314">
      <w:pPr>
        <w:spacing w:after="20"/>
        <w:rPr>
          <w:rFonts w:hint="eastAsia"/>
        </w:rPr>
      </w:pPr>
    </w:p>
    <w:p w:rsidR="00081314" w:rsidRDefault="00F0304D">
      <w:pPr>
        <w:keepNext/>
        <w:spacing w:before="120" w:after="80"/>
        <w:rPr>
          <w:rFonts w:hint="eastAsia"/>
        </w:rPr>
      </w:pPr>
      <w:r>
        <w:rPr>
          <w:b/>
          <w:color w:val="173B4D"/>
          <w:sz w:val="23"/>
        </w:rPr>
        <w:t>2.3 Limite de gestão</w:t>
      </w:r>
      <w:r>
        <w:rPr>
          <w:b/>
          <w:color w:val="173B4D"/>
          <w:sz w:val="23"/>
        </w:rPr>
        <w:t xml:space="preserve"> e alçada da remuneração variável</w:t>
      </w:r>
    </w:p>
    <w:p w:rsidR="00081314" w:rsidRDefault="00F0304D">
      <w:pPr>
        <w:rPr>
          <w:rFonts w:hint="eastAsia"/>
        </w:rPr>
      </w:pPr>
      <w:r>
        <w:t xml:space="preserve">Para fins de gestão, acompanhamento e alçada, a Coordenação e o RH deverão monitorar mensalmente a soma da comissão por Automatizações Individuais e das bonificações por Automatizações Institucionais. Quando a remuneração </w:t>
      </w:r>
      <w:r>
        <w:t>fixa acrescida da remuneração variável projetada atingir 2,5 (duas vezes e meia) o salário fixo mensal, novas designações remuneradas no âmbito do Programa dependerão de autorização prévia da Diretoria. Esse parâmetro constitui mecanismo de gestão e não au</w:t>
      </w:r>
      <w:r>
        <w:t>toriza a supressão, o estorno, o diferimento ou o não pagamento de comissões ou bonificações que já tenham preenchido os requisitos de elegibilidade e se tornado devidas nos termos desta Política e da legislação aplicável.</w:t>
      </w:r>
    </w:p>
    <w:tbl>
      <w:tblPr>
        <w:tblW w:w="0" w:type="auto"/>
        <w:jc w:val="center"/>
        <w:tblLayout w:type="fixed"/>
        <w:tblLook w:val="04A0" w:firstRow="1" w:lastRow="0" w:firstColumn="1" w:lastColumn="0" w:noHBand="0" w:noVBand="1"/>
      </w:tblPr>
      <w:tblGrid>
        <w:gridCol w:w="4997"/>
        <w:gridCol w:w="4997"/>
      </w:tblGrid>
      <w:tr w:rsidR="00081314">
        <w:trPr>
          <w:jc w:val="center"/>
        </w:trPr>
        <w:tc>
          <w:tcPr>
            <w:tcW w:w="4997" w:type="dxa"/>
            <w:shd w:val="clear" w:color="auto" w:fill="00A9C8"/>
            <w:tcMar>
              <w:top w:w="80" w:type="dxa"/>
              <w:left w:w="20" w:type="dxa"/>
              <w:bottom w:w="80" w:type="dxa"/>
              <w:right w:w="20" w:type="dxa"/>
            </w:tcMar>
          </w:tcPr>
          <w:p w:rsidR="00081314" w:rsidRDefault="00081314">
            <w:pPr>
              <w:rPr>
                <w:rFonts w:hint="eastAsia"/>
              </w:rPr>
            </w:pPr>
          </w:p>
        </w:tc>
        <w:tc>
          <w:tcPr>
            <w:tcW w:w="4997" w:type="dxa"/>
            <w:shd w:val="clear" w:color="auto" w:fill="F5F7F8"/>
            <w:tcMar>
              <w:top w:w="100" w:type="dxa"/>
              <w:left w:w="140" w:type="dxa"/>
              <w:bottom w:w="100" w:type="dxa"/>
              <w:right w:w="140" w:type="dxa"/>
            </w:tcMar>
          </w:tcPr>
          <w:p w:rsidR="00081314" w:rsidRDefault="00F0304D">
            <w:pPr>
              <w:rPr>
                <w:rFonts w:hint="eastAsia"/>
              </w:rPr>
            </w:pPr>
            <w:r>
              <w:rPr>
                <w:rFonts w:ascii="Arial" w:hAnsi="Arial"/>
              </w:rPr>
              <w:t>EXEMPLO DE ALÇADA</w:t>
            </w:r>
            <w:r>
              <w:rPr>
                <w:rFonts w:ascii="Arial" w:hAnsi="Arial"/>
              </w:rPr>
              <w:br/>
              <w:t>Salário fixo d</w:t>
            </w:r>
            <w:r>
              <w:rPr>
                <w:rFonts w:ascii="Arial" w:hAnsi="Arial"/>
              </w:rPr>
              <w:t>e R$ 3.000,00: ao atingir projeção de remuneração mensal total de R$ 7.500,00 (R$ 3.000,00 fixos + R$ 4.500,00 variáveis), novas designações remuneradas dependerão de autorização prévia da Diretoria. Valores já constituídos como devidos permanecem pagáveis</w:t>
            </w:r>
            <w:r>
              <w:rPr>
                <w:rFonts w:ascii="Arial" w:hAnsi="Arial"/>
              </w:rPr>
              <w:t>.</w:t>
            </w:r>
          </w:p>
        </w:tc>
      </w:tr>
    </w:tbl>
    <w:p w:rsidR="00081314" w:rsidRDefault="00081314">
      <w:pPr>
        <w:spacing w:after="20"/>
        <w:rPr>
          <w:rFonts w:hint="eastAsia"/>
        </w:rPr>
      </w:pPr>
    </w:p>
    <w:p w:rsidR="00081314" w:rsidRDefault="00F0304D">
      <w:pPr>
        <w:keepNext/>
        <w:spacing w:before="200" w:after="80"/>
        <w:rPr>
          <w:rFonts w:hint="eastAsia"/>
        </w:rPr>
      </w:pPr>
      <w:r>
        <w:rPr>
          <w:b/>
          <w:color w:val="173B4D"/>
          <w:sz w:val="30"/>
        </w:rPr>
        <w:t>3. Controles e apuração das automatizações</w:t>
      </w:r>
    </w:p>
    <w:p w:rsidR="00081314" w:rsidRDefault="00F0304D">
      <w:pPr>
        <w:rPr>
          <w:rFonts w:hint="eastAsia"/>
        </w:rPr>
      </w:pPr>
      <w:r>
        <w:t>A Coordenação do Programa NFP é responsável pela integridade dos controles que suportam a apuração, devendo assegurar, diretamente ou por meio dos responsáveis designados:</w:t>
      </w:r>
    </w:p>
    <w:p w:rsidR="00081314" w:rsidRDefault="00F0304D">
      <w:pPr>
        <w:pStyle w:val="Commarcadores"/>
        <w:spacing w:after="40"/>
        <w:ind w:left="317"/>
        <w:rPr>
          <w:rFonts w:hint="eastAsia"/>
        </w:rPr>
      </w:pPr>
      <w:r>
        <w:rPr>
          <w:sz w:val="21"/>
        </w:rPr>
        <w:t>registro diário da ação, data, local,</w:t>
      </w:r>
      <w:r>
        <w:rPr>
          <w:sz w:val="21"/>
        </w:rPr>
        <w:t xml:space="preserve"> natureza da iniciativa, profissionais envolvidos, escala, horários e quantidade informada de automatizações;</w:t>
      </w:r>
    </w:p>
    <w:p w:rsidR="00081314" w:rsidRDefault="00F0304D">
      <w:pPr>
        <w:pStyle w:val="Commarcadores"/>
        <w:spacing w:after="40"/>
        <w:ind w:left="317"/>
        <w:rPr>
          <w:rFonts w:hint="eastAsia"/>
        </w:rPr>
      </w:pPr>
      <w:r>
        <w:rPr>
          <w:sz w:val="21"/>
        </w:rPr>
        <w:t>identificação e rastreabilidade das Automatizações Individuais, quando aplicável;</w:t>
      </w:r>
    </w:p>
    <w:p w:rsidR="00081314" w:rsidRDefault="00F0304D">
      <w:pPr>
        <w:pStyle w:val="Commarcadores"/>
        <w:spacing w:after="40"/>
        <w:ind w:left="317"/>
        <w:rPr>
          <w:rFonts w:hint="eastAsia"/>
        </w:rPr>
      </w:pPr>
      <w:r>
        <w:rPr>
          <w:sz w:val="21"/>
        </w:rPr>
        <w:t>confronto diário entre o resultado registrado e a variação obser</w:t>
      </w:r>
      <w:r>
        <w:rPr>
          <w:sz w:val="21"/>
        </w:rPr>
        <w:t>vada no ambiente oficial da SEFAZ/NFP;</w:t>
      </w:r>
    </w:p>
    <w:p w:rsidR="00081314" w:rsidRDefault="00F0304D">
      <w:pPr>
        <w:pStyle w:val="Commarcadores"/>
        <w:spacing w:after="40"/>
        <w:ind w:left="317"/>
        <w:rPr>
          <w:rFonts w:hint="eastAsia"/>
        </w:rPr>
      </w:pPr>
      <w:r>
        <w:rPr>
          <w:sz w:val="21"/>
        </w:rPr>
        <w:t>registro, explicação e tratamento, no relatório da ação, de qualquer divergência entre o número informado e o incremento observado no ambiente oficial;</w:t>
      </w:r>
    </w:p>
    <w:p w:rsidR="00081314" w:rsidRDefault="00F0304D">
      <w:pPr>
        <w:pStyle w:val="Commarcadores"/>
        <w:spacing w:after="40"/>
        <w:ind w:left="317"/>
        <w:rPr>
          <w:rFonts w:hint="eastAsia"/>
        </w:rPr>
      </w:pPr>
      <w:r>
        <w:rPr>
          <w:sz w:val="21"/>
        </w:rPr>
        <w:t>memória de cálculo, documentos de suporte e aprovação antes do en</w:t>
      </w:r>
      <w:r>
        <w:rPr>
          <w:sz w:val="21"/>
        </w:rPr>
        <w:t>vio para pagamento.</w:t>
      </w:r>
    </w:p>
    <w:p w:rsidR="00081314" w:rsidRDefault="00F0304D">
      <w:pPr>
        <w:rPr>
          <w:rFonts w:hint="eastAsia"/>
        </w:rPr>
      </w:pPr>
      <w:r>
        <w:t>O registro ou a conciliação não gera, por si só, direito à comissão individual. O pagamento da Automatização Individual ocorrerá somente após conhecido o respectivo retorno de crédito e confirmadas as automatizações que efetivamente ger</w:t>
      </w:r>
      <w:r>
        <w:t>aram crédito para a Vocação.</w:t>
      </w:r>
    </w:p>
    <w:p w:rsidR="00081314" w:rsidRDefault="00F0304D">
      <w:pPr>
        <w:keepNext/>
        <w:spacing w:before="120" w:after="80"/>
        <w:rPr>
          <w:rFonts w:hint="eastAsia"/>
        </w:rPr>
      </w:pPr>
      <w:r>
        <w:rPr>
          <w:b/>
          <w:color w:val="173B4D"/>
          <w:sz w:val="23"/>
        </w:rPr>
        <w:lastRenderedPageBreak/>
        <w:t>3.1 Organização de eventos e ações institucionais</w:t>
      </w:r>
    </w:p>
    <w:p w:rsidR="00081314" w:rsidRDefault="00F0304D">
      <w:pPr>
        <w:rPr>
          <w:rFonts w:hint="eastAsia"/>
        </w:rPr>
      </w:pPr>
      <w:r>
        <w:t xml:space="preserve">Todo evento, feira, campanha ou ação com automatização deverá ser previamente coordenado pela Coordenação do Programa NFP em conjunto com as demais áreas da Vocação envolvidas, </w:t>
      </w:r>
      <w:r>
        <w:t>inclusive quando a iniciativa tiver natureza institucional ou tiver sido originada pela Gestão Executiva, Conselho ou parceiros. A área promotora poderá liderar a produção do evento; à Coordenação do NFP cabe assegurar escala, registros, conciliação, enqua</w:t>
      </w:r>
      <w:r>
        <w:t>dramento e apuração das automatizações e bonificações.</w:t>
      </w:r>
    </w:p>
    <w:p w:rsidR="00081314" w:rsidRDefault="00F0304D">
      <w:pPr>
        <w:keepNext/>
        <w:spacing w:before="200" w:after="80"/>
        <w:rPr>
          <w:rFonts w:hint="eastAsia"/>
        </w:rPr>
      </w:pPr>
      <w:r>
        <w:rPr>
          <w:b/>
          <w:color w:val="173B4D"/>
          <w:sz w:val="30"/>
        </w:rPr>
        <w:t>4. Comissão da Coordenação do Programa NFP</w:t>
      </w:r>
    </w:p>
    <w:p w:rsidR="00081314" w:rsidRDefault="00F0304D">
      <w:pPr>
        <w:keepNext/>
        <w:spacing w:before="120" w:after="80"/>
        <w:rPr>
          <w:rFonts w:hint="eastAsia"/>
        </w:rPr>
      </w:pPr>
      <w:r>
        <w:rPr>
          <w:b/>
          <w:color w:val="173B4D"/>
          <w:sz w:val="23"/>
        </w:rPr>
        <w:t>4.1 Base mensal elegível</w:t>
      </w:r>
    </w:p>
    <w:p w:rsidR="00081314" w:rsidRDefault="00F0304D">
      <w:pPr>
        <w:rPr>
          <w:rFonts w:hint="eastAsia"/>
        </w:rPr>
      </w:pPr>
      <w:r>
        <w:t>A base mensal elegível da Coordenação será composta pela soma das parcelas abaixo, sem dupla contagem:</w:t>
      </w:r>
    </w:p>
    <w:tbl>
      <w:tblPr>
        <w:tblW w:w="0" w:type="auto"/>
        <w:jc w:val="center"/>
        <w:tblLayout w:type="fixed"/>
        <w:tblLook w:val="04A0" w:firstRow="1" w:lastRow="0" w:firstColumn="1" w:lastColumn="0" w:noHBand="0" w:noVBand="1"/>
      </w:tblPr>
      <w:tblGrid>
        <w:gridCol w:w="2448"/>
        <w:gridCol w:w="7056"/>
      </w:tblGrid>
      <w:tr w:rsidR="00081314">
        <w:trPr>
          <w:cantSplit/>
          <w:tblHeader/>
          <w:jc w:val="center"/>
        </w:trPr>
        <w:tc>
          <w:tcPr>
            <w:tcW w:w="2448" w:type="dxa"/>
            <w:shd w:val="clear" w:color="auto" w:fill="173B4D"/>
            <w:tcMar>
              <w:top w:w="90" w:type="dxa"/>
              <w:left w:w="110" w:type="dxa"/>
              <w:bottom w:w="90" w:type="dxa"/>
              <w:right w:w="110" w:type="dxa"/>
            </w:tcMar>
            <w:vAlign w:val="center"/>
          </w:tcPr>
          <w:p w:rsidR="00081314" w:rsidRDefault="00F0304D">
            <w:pPr>
              <w:spacing w:after="0"/>
              <w:jc w:val="center"/>
              <w:rPr>
                <w:rFonts w:hint="eastAsia"/>
              </w:rPr>
            </w:pPr>
            <w:r>
              <w:rPr>
                <w:b/>
                <w:color w:val="FFFFFF"/>
                <w:sz w:val="18"/>
              </w:rPr>
              <w:t>Parcela</w:t>
            </w:r>
          </w:p>
        </w:tc>
        <w:tc>
          <w:tcPr>
            <w:tcW w:w="7056" w:type="dxa"/>
            <w:shd w:val="clear" w:color="auto" w:fill="173B4D"/>
            <w:tcMar>
              <w:top w:w="90" w:type="dxa"/>
              <w:left w:w="110" w:type="dxa"/>
              <w:bottom w:w="90" w:type="dxa"/>
              <w:right w:w="110" w:type="dxa"/>
            </w:tcMar>
            <w:vAlign w:val="center"/>
          </w:tcPr>
          <w:p w:rsidR="00081314" w:rsidRDefault="00F0304D">
            <w:pPr>
              <w:spacing w:after="0"/>
              <w:jc w:val="center"/>
              <w:rPr>
                <w:rFonts w:hint="eastAsia"/>
              </w:rPr>
            </w:pPr>
            <w:r>
              <w:rPr>
                <w:b/>
                <w:color w:val="FFFFFF"/>
                <w:sz w:val="18"/>
              </w:rPr>
              <w:t>Composição</w:t>
            </w:r>
          </w:p>
        </w:tc>
      </w:tr>
      <w:tr w:rsidR="00081314">
        <w:trPr>
          <w:cantSplit/>
          <w:jc w:val="center"/>
        </w:trPr>
        <w:tc>
          <w:tcPr>
            <w:tcW w:w="2448" w:type="dxa"/>
            <w:shd w:val="clear" w:color="auto" w:fill="FFFFFF"/>
            <w:tcMar>
              <w:top w:w="85" w:type="dxa"/>
              <w:left w:w="110" w:type="dxa"/>
              <w:bottom w:w="85" w:type="dxa"/>
              <w:right w:w="110" w:type="dxa"/>
            </w:tcMar>
            <w:vAlign w:val="center"/>
          </w:tcPr>
          <w:p w:rsidR="00081314" w:rsidRDefault="00F0304D">
            <w:pPr>
              <w:rPr>
                <w:rFonts w:hint="eastAsia"/>
              </w:rPr>
            </w:pPr>
            <w:r>
              <w:t>Captação e</w:t>
            </w:r>
            <w:r>
              <w:t xml:space="preserve"> manutenção de estabelecimentos</w:t>
            </w:r>
          </w:p>
        </w:tc>
        <w:tc>
          <w:tcPr>
            <w:tcW w:w="7056" w:type="dxa"/>
            <w:shd w:val="clear" w:color="auto" w:fill="FFFFFF"/>
            <w:tcMar>
              <w:top w:w="85" w:type="dxa"/>
              <w:left w:w="110" w:type="dxa"/>
              <w:bottom w:w="85" w:type="dxa"/>
              <w:right w:w="110" w:type="dxa"/>
            </w:tcMar>
            <w:vAlign w:val="center"/>
          </w:tcPr>
          <w:p w:rsidR="00081314" w:rsidRDefault="00F0304D">
            <w:pPr>
              <w:rPr>
                <w:rFonts w:hint="eastAsia"/>
              </w:rPr>
            </w:pPr>
            <w:r>
              <w:t>Créditos de estabelecimentos captados e/ou mantidos pela Frente Cadastro, efetivamente reconhecidos pela SEFAZ no ciclo corrente.</w:t>
            </w:r>
          </w:p>
        </w:tc>
      </w:tr>
      <w:tr w:rsidR="00081314">
        <w:trPr>
          <w:cantSplit/>
          <w:jc w:val="center"/>
        </w:trPr>
        <w:tc>
          <w:tcPr>
            <w:tcW w:w="2448"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7"/>
              </w:rPr>
              <w:t>Base histórica 2025</w:t>
            </w:r>
          </w:p>
        </w:tc>
        <w:tc>
          <w:tcPr>
            <w:tcW w:w="7056" w:type="dxa"/>
            <w:shd w:val="clear" w:color="auto" w:fill="FFFFFF"/>
            <w:tcMar>
              <w:top w:w="85" w:type="dxa"/>
              <w:left w:w="110" w:type="dxa"/>
              <w:bottom w:w="85" w:type="dxa"/>
              <w:right w:w="110" w:type="dxa"/>
            </w:tcMar>
            <w:vAlign w:val="center"/>
          </w:tcPr>
          <w:p w:rsidR="00081314" w:rsidRDefault="00F0304D">
            <w:pPr>
              <w:spacing w:after="0" w:line="240" w:lineRule="auto"/>
              <w:jc w:val="center"/>
              <w:rPr>
                <w:rFonts w:hint="eastAsia"/>
              </w:rPr>
            </w:pPr>
            <w:r>
              <w:rPr>
                <w:sz w:val="17"/>
              </w:rPr>
              <w:t xml:space="preserve">R$ 53.025,14 por mês, correspondente à média mensal dos créditos de </w:t>
            </w:r>
            <w:r>
              <w:rPr>
                <w:sz w:val="17"/>
              </w:rPr>
              <w:t>automatizados da Vocação em 2025 (R$ 636.301,63 / 12).</w:t>
            </w:r>
          </w:p>
        </w:tc>
      </w:tr>
      <w:tr w:rsidR="00081314">
        <w:trPr>
          <w:cantSplit/>
          <w:jc w:val="center"/>
        </w:trPr>
        <w:tc>
          <w:tcPr>
            <w:tcW w:w="2448"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7"/>
              </w:rPr>
              <w:t>Automatizações Individuais</w:t>
            </w:r>
          </w:p>
        </w:tc>
        <w:tc>
          <w:tcPr>
            <w:tcW w:w="7056"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7"/>
              </w:rPr>
              <w:t>Créditos adicionais reconhecidos no ciclo, provenientes de automatizações individuais da equipe, validadas e rastreáveis, sem sobreposição com a base histórica ou outras par</w:t>
            </w:r>
            <w:r>
              <w:rPr>
                <w:sz w:val="17"/>
              </w:rPr>
              <w:t>celas.</w:t>
            </w:r>
          </w:p>
        </w:tc>
      </w:tr>
      <w:tr w:rsidR="00081314">
        <w:trPr>
          <w:cantSplit/>
          <w:jc w:val="center"/>
        </w:trPr>
        <w:tc>
          <w:tcPr>
            <w:tcW w:w="2448"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7"/>
              </w:rPr>
              <w:t>Doação</w:t>
            </w:r>
          </w:p>
        </w:tc>
        <w:tc>
          <w:tcPr>
            <w:tcW w:w="7056"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7"/>
              </w:rPr>
              <w:t>Créditos reconhecidos no ciclo provenientes de cupons doados por pessoas físicas à Vocação pelo aplicativo/sistema do NFP.</w:t>
            </w:r>
          </w:p>
        </w:tc>
      </w:tr>
    </w:tbl>
    <w:p w:rsidR="00081314" w:rsidRDefault="00081314">
      <w:pPr>
        <w:spacing w:after="20"/>
        <w:rPr>
          <w:rFonts w:hint="eastAsia"/>
        </w:rPr>
      </w:pPr>
    </w:p>
    <w:tbl>
      <w:tblPr>
        <w:tblW w:w="0" w:type="auto"/>
        <w:jc w:val="center"/>
        <w:tblLayout w:type="fixed"/>
        <w:tblLook w:val="04A0" w:firstRow="1" w:lastRow="0" w:firstColumn="1" w:lastColumn="0" w:noHBand="0" w:noVBand="1"/>
      </w:tblPr>
      <w:tblGrid>
        <w:gridCol w:w="4997"/>
        <w:gridCol w:w="4997"/>
      </w:tblGrid>
      <w:tr w:rsidR="00081314">
        <w:trPr>
          <w:jc w:val="center"/>
        </w:trPr>
        <w:tc>
          <w:tcPr>
            <w:tcW w:w="4997" w:type="dxa"/>
            <w:shd w:val="clear" w:color="auto" w:fill="E83E8C"/>
            <w:tcMar>
              <w:top w:w="80" w:type="dxa"/>
              <w:left w:w="20" w:type="dxa"/>
              <w:bottom w:w="80" w:type="dxa"/>
              <w:right w:w="20" w:type="dxa"/>
            </w:tcMar>
          </w:tcPr>
          <w:p w:rsidR="00081314" w:rsidRDefault="00081314">
            <w:pPr>
              <w:rPr>
                <w:rFonts w:hint="eastAsia"/>
              </w:rPr>
            </w:pPr>
          </w:p>
        </w:tc>
        <w:tc>
          <w:tcPr>
            <w:tcW w:w="4997" w:type="dxa"/>
            <w:shd w:val="clear" w:color="auto" w:fill="FFF4D6"/>
            <w:tcMar>
              <w:top w:w="100" w:type="dxa"/>
              <w:left w:w="140" w:type="dxa"/>
              <w:bottom w:w="100" w:type="dxa"/>
              <w:right w:w="140" w:type="dxa"/>
            </w:tcMar>
          </w:tcPr>
          <w:p w:rsidR="00081314" w:rsidRDefault="00F0304D">
            <w:pPr>
              <w:spacing w:after="0"/>
              <w:rPr>
                <w:rFonts w:hint="eastAsia"/>
              </w:rPr>
            </w:pPr>
            <w:r>
              <w:rPr>
                <w:color w:val="243746"/>
                <w:sz w:val="18"/>
              </w:rPr>
              <w:t>EXCLUSÃO</w:t>
            </w:r>
            <w:r>
              <w:rPr>
                <w:color w:val="243746"/>
                <w:sz w:val="18"/>
              </w:rPr>
              <w:br/>
              <w:t>Automatizações Institucionais não integram a parcela adicional de Automatizações Individuais da base da Co</w:t>
            </w:r>
            <w:r>
              <w:rPr>
                <w:color w:val="243746"/>
                <w:sz w:val="18"/>
              </w:rPr>
              <w:t>ordenação. É vedada qualquer dupla contagem entre Captação/Manutenção de Estabelecimentos, base histórica, Automatizações Individuais e Doação.</w:t>
            </w:r>
          </w:p>
        </w:tc>
      </w:tr>
    </w:tbl>
    <w:p w:rsidR="00081314" w:rsidRDefault="00081314">
      <w:pPr>
        <w:spacing w:after="20"/>
        <w:rPr>
          <w:rFonts w:hint="eastAsia"/>
        </w:rPr>
      </w:pPr>
    </w:p>
    <w:p w:rsidR="00081314" w:rsidRDefault="00F0304D">
      <w:pPr>
        <w:keepNext/>
        <w:spacing w:before="120" w:after="80"/>
        <w:rPr>
          <w:rFonts w:hint="eastAsia"/>
        </w:rPr>
      </w:pPr>
      <w:r>
        <w:rPr>
          <w:b/>
          <w:color w:val="173B4D"/>
          <w:sz w:val="23"/>
        </w:rPr>
        <w:t>4.2 Faixas de comissão</w:t>
      </w:r>
    </w:p>
    <w:tbl>
      <w:tblPr>
        <w:tblW w:w="0" w:type="auto"/>
        <w:jc w:val="center"/>
        <w:tblLayout w:type="fixed"/>
        <w:tblLook w:val="04A0" w:firstRow="1" w:lastRow="0" w:firstColumn="1" w:lastColumn="0" w:noHBand="0" w:noVBand="1"/>
      </w:tblPr>
      <w:tblGrid>
        <w:gridCol w:w="5904"/>
        <w:gridCol w:w="3600"/>
      </w:tblGrid>
      <w:tr w:rsidR="00081314">
        <w:trPr>
          <w:cantSplit/>
          <w:tblHeader/>
          <w:jc w:val="center"/>
        </w:trPr>
        <w:tc>
          <w:tcPr>
            <w:tcW w:w="5904" w:type="dxa"/>
            <w:shd w:val="clear" w:color="auto" w:fill="173B4D"/>
            <w:tcMar>
              <w:top w:w="90" w:type="dxa"/>
              <w:left w:w="110" w:type="dxa"/>
              <w:bottom w:w="90" w:type="dxa"/>
              <w:right w:w="110" w:type="dxa"/>
            </w:tcMar>
            <w:vAlign w:val="center"/>
          </w:tcPr>
          <w:p w:rsidR="00081314" w:rsidRDefault="00F0304D">
            <w:pPr>
              <w:spacing w:after="0"/>
              <w:jc w:val="center"/>
              <w:rPr>
                <w:rFonts w:hint="eastAsia"/>
              </w:rPr>
            </w:pPr>
            <w:r>
              <w:rPr>
                <w:b/>
                <w:color w:val="FFFFFF"/>
                <w:sz w:val="18"/>
              </w:rPr>
              <w:t>Base mensal elegível</w:t>
            </w:r>
          </w:p>
        </w:tc>
        <w:tc>
          <w:tcPr>
            <w:tcW w:w="3600" w:type="dxa"/>
            <w:shd w:val="clear" w:color="auto" w:fill="173B4D"/>
            <w:tcMar>
              <w:top w:w="90" w:type="dxa"/>
              <w:left w:w="110" w:type="dxa"/>
              <w:bottom w:w="90" w:type="dxa"/>
              <w:right w:w="110" w:type="dxa"/>
            </w:tcMar>
            <w:vAlign w:val="center"/>
          </w:tcPr>
          <w:p w:rsidR="00081314" w:rsidRDefault="00F0304D">
            <w:pPr>
              <w:spacing w:after="0"/>
              <w:jc w:val="center"/>
              <w:rPr>
                <w:rFonts w:hint="eastAsia"/>
              </w:rPr>
            </w:pPr>
            <w:r>
              <w:rPr>
                <w:b/>
                <w:color w:val="FFFFFF"/>
                <w:sz w:val="18"/>
              </w:rPr>
              <w:t>Comissão</w:t>
            </w:r>
          </w:p>
        </w:tc>
      </w:tr>
      <w:tr w:rsidR="00081314">
        <w:trPr>
          <w:cantSplit/>
          <w:jc w:val="center"/>
        </w:trPr>
        <w:tc>
          <w:tcPr>
            <w:tcW w:w="5904"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8"/>
              </w:rPr>
              <w:t>R$ 0,00 a R$ 229.999,99</w:t>
            </w:r>
          </w:p>
        </w:tc>
        <w:tc>
          <w:tcPr>
            <w:tcW w:w="3600" w:type="dxa"/>
            <w:shd w:val="clear" w:color="auto" w:fill="FFFFFF"/>
            <w:tcMar>
              <w:top w:w="85" w:type="dxa"/>
              <w:left w:w="110" w:type="dxa"/>
              <w:bottom w:w="85" w:type="dxa"/>
              <w:right w:w="110" w:type="dxa"/>
            </w:tcMar>
            <w:vAlign w:val="center"/>
          </w:tcPr>
          <w:p w:rsidR="00081314" w:rsidRDefault="00F0304D">
            <w:pPr>
              <w:spacing w:after="0" w:line="240" w:lineRule="auto"/>
              <w:jc w:val="center"/>
              <w:rPr>
                <w:rFonts w:hint="eastAsia"/>
              </w:rPr>
            </w:pPr>
            <w:r>
              <w:rPr>
                <w:sz w:val="18"/>
              </w:rPr>
              <w:t>4%</w:t>
            </w:r>
          </w:p>
        </w:tc>
      </w:tr>
      <w:tr w:rsidR="00081314">
        <w:trPr>
          <w:cantSplit/>
          <w:jc w:val="center"/>
        </w:trPr>
        <w:tc>
          <w:tcPr>
            <w:tcW w:w="5904"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8"/>
              </w:rPr>
              <w:t xml:space="preserve">R$ 230.000,00 a R$ </w:t>
            </w:r>
            <w:r>
              <w:rPr>
                <w:sz w:val="18"/>
              </w:rPr>
              <w:t>279.999,99</w:t>
            </w:r>
          </w:p>
        </w:tc>
        <w:tc>
          <w:tcPr>
            <w:tcW w:w="3600" w:type="dxa"/>
            <w:shd w:val="clear" w:color="auto" w:fill="FFFFFF"/>
            <w:tcMar>
              <w:top w:w="85" w:type="dxa"/>
              <w:left w:w="110" w:type="dxa"/>
              <w:bottom w:w="85" w:type="dxa"/>
              <w:right w:w="110" w:type="dxa"/>
            </w:tcMar>
            <w:vAlign w:val="center"/>
          </w:tcPr>
          <w:p w:rsidR="00081314" w:rsidRDefault="00F0304D">
            <w:pPr>
              <w:spacing w:after="0" w:line="240" w:lineRule="auto"/>
              <w:jc w:val="center"/>
              <w:rPr>
                <w:rFonts w:hint="eastAsia"/>
              </w:rPr>
            </w:pPr>
            <w:r>
              <w:rPr>
                <w:sz w:val="18"/>
              </w:rPr>
              <w:t>5%</w:t>
            </w:r>
          </w:p>
        </w:tc>
      </w:tr>
      <w:tr w:rsidR="00081314">
        <w:trPr>
          <w:cantSplit/>
          <w:jc w:val="center"/>
        </w:trPr>
        <w:tc>
          <w:tcPr>
            <w:tcW w:w="5904"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8"/>
              </w:rPr>
              <w:t>R$ 280.000,00 a R$ 329.999,99</w:t>
            </w:r>
          </w:p>
        </w:tc>
        <w:tc>
          <w:tcPr>
            <w:tcW w:w="3600" w:type="dxa"/>
            <w:shd w:val="clear" w:color="auto" w:fill="FFFFFF"/>
            <w:tcMar>
              <w:top w:w="85" w:type="dxa"/>
              <w:left w:w="110" w:type="dxa"/>
              <w:bottom w:w="85" w:type="dxa"/>
              <w:right w:w="110" w:type="dxa"/>
            </w:tcMar>
            <w:vAlign w:val="center"/>
          </w:tcPr>
          <w:p w:rsidR="00081314" w:rsidRDefault="00F0304D">
            <w:pPr>
              <w:spacing w:after="0" w:line="240" w:lineRule="auto"/>
              <w:jc w:val="center"/>
              <w:rPr>
                <w:rFonts w:hint="eastAsia"/>
              </w:rPr>
            </w:pPr>
            <w:r>
              <w:rPr>
                <w:sz w:val="18"/>
              </w:rPr>
              <w:t>6%</w:t>
            </w:r>
          </w:p>
        </w:tc>
      </w:tr>
      <w:tr w:rsidR="00081314">
        <w:trPr>
          <w:cantSplit/>
          <w:jc w:val="center"/>
        </w:trPr>
        <w:tc>
          <w:tcPr>
            <w:tcW w:w="5904"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8"/>
              </w:rPr>
              <w:t>R$ 330.000,00 a R$ 379.999,99</w:t>
            </w:r>
          </w:p>
        </w:tc>
        <w:tc>
          <w:tcPr>
            <w:tcW w:w="3600" w:type="dxa"/>
            <w:shd w:val="clear" w:color="auto" w:fill="FFFFFF"/>
            <w:tcMar>
              <w:top w:w="85" w:type="dxa"/>
              <w:left w:w="110" w:type="dxa"/>
              <w:bottom w:w="85" w:type="dxa"/>
              <w:right w:w="110" w:type="dxa"/>
            </w:tcMar>
            <w:vAlign w:val="center"/>
          </w:tcPr>
          <w:p w:rsidR="00081314" w:rsidRDefault="00F0304D">
            <w:pPr>
              <w:spacing w:after="0" w:line="240" w:lineRule="auto"/>
              <w:jc w:val="center"/>
              <w:rPr>
                <w:rFonts w:hint="eastAsia"/>
              </w:rPr>
            </w:pPr>
            <w:r>
              <w:rPr>
                <w:sz w:val="18"/>
              </w:rPr>
              <w:t>7%</w:t>
            </w:r>
          </w:p>
        </w:tc>
      </w:tr>
      <w:tr w:rsidR="00081314">
        <w:trPr>
          <w:cantSplit/>
          <w:jc w:val="center"/>
        </w:trPr>
        <w:tc>
          <w:tcPr>
            <w:tcW w:w="5904"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8"/>
              </w:rPr>
              <w:t>R$ 380.000,00 a R$ 429.999,99</w:t>
            </w:r>
          </w:p>
        </w:tc>
        <w:tc>
          <w:tcPr>
            <w:tcW w:w="3600" w:type="dxa"/>
            <w:shd w:val="clear" w:color="auto" w:fill="FFFFFF"/>
            <w:tcMar>
              <w:top w:w="85" w:type="dxa"/>
              <w:left w:w="110" w:type="dxa"/>
              <w:bottom w:w="85" w:type="dxa"/>
              <w:right w:w="110" w:type="dxa"/>
            </w:tcMar>
            <w:vAlign w:val="center"/>
          </w:tcPr>
          <w:p w:rsidR="00081314" w:rsidRDefault="00F0304D">
            <w:pPr>
              <w:spacing w:after="0" w:line="240" w:lineRule="auto"/>
              <w:jc w:val="center"/>
              <w:rPr>
                <w:rFonts w:hint="eastAsia"/>
              </w:rPr>
            </w:pPr>
            <w:r>
              <w:rPr>
                <w:sz w:val="18"/>
              </w:rPr>
              <w:t>8%</w:t>
            </w:r>
          </w:p>
        </w:tc>
      </w:tr>
      <w:tr w:rsidR="00081314">
        <w:trPr>
          <w:cantSplit/>
          <w:jc w:val="center"/>
        </w:trPr>
        <w:tc>
          <w:tcPr>
            <w:tcW w:w="5904"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8"/>
              </w:rPr>
              <w:t>R$ 430.000,00 a R$ 479.999,99</w:t>
            </w:r>
          </w:p>
        </w:tc>
        <w:tc>
          <w:tcPr>
            <w:tcW w:w="3600" w:type="dxa"/>
            <w:shd w:val="clear" w:color="auto" w:fill="FFFFFF"/>
            <w:tcMar>
              <w:top w:w="85" w:type="dxa"/>
              <w:left w:w="110" w:type="dxa"/>
              <w:bottom w:w="85" w:type="dxa"/>
              <w:right w:w="110" w:type="dxa"/>
            </w:tcMar>
            <w:vAlign w:val="center"/>
          </w:tcPr>
          <w:p w:rsidR="00081314" w:rsidRDefault="00F0304D">
            <w:pPr>
              <w:spacing w:after="0" w:line="240" w:lineRule="auto"/>
              <w:jc w:val="center"/>
              <w:rPr>
                <w:rFonts w:hint="eastAsia"/>
              </w:rPr>
            </w:pPr>
            <w:r>
              <w:rPr>
                <w:sz w:val="18"/>
              </w:rPr>
              <w:t>9%</w:t>
            </w:r>
          </w:p>
        </w:tc>
      </w:tr>
      <w:tr w:rsidR="00081314">
        <w:trPr>
          <w:cantSplit/>
          <w:jc w:val="center"/>
        </w:trPr>
        <w:tc>
          <w:tcPr>
            <w:tcW w:w="5904"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8"/>
              </w:rPr>
              <w:t>A partir de R$ 480.000,00</w:t>
            </w:r>
          </w:p>
        </w:tc>
        <w:tc>
          <w:tcPr>
            <w:tcW w:w="3600" w:type="dxa"/>
            <w:shd w:val="clear" w:color="auto" w:fill="FFFFFF"/>
            <w:tcMar>
              <w:top w:w="85" w:type="dxa"/>
              <w:left w:w="110" w:type="dxa"/>
              <w:bottom w:w="85" w:type="dxa"/>
              <w:right w:w="110" w:type="dxa"/>
            </w:tcMar>
            <w:vAlign w:val="center"/>
          </w:tcPr>
          <w:p w:rsidR="00081314" w:rsidRDefault="00F0304D">
            <w:pPr>
              <w:spacing w:after="0" w:line="240" w:lineRule="auto"/>
              <w:jc w:val="center"/>
              <w:rPr>
                <w:rFonts w:hint="eastAsia"/>
              </w:rPr>
            </w:pPr>
            <w:r>
              <w:rPr>
                <w:sz w:val="18"/>
              </w:rPr>
              <w:t>10%</w:t>
            </w:r>
          </w:p>
        </w:tc>
      </w:tr>
    </w:tbl>
    <w:p w:rsidR="00081314" w:rsidRDefault="00081314">
      <w:pPr>
        <w:spacing w:after="20"/>
        <w:rPr>
          <w:rFonts w:hint="eastAsia"/>
        </w:rPr>
      </w:pPr>
    </w:p>
    <w:p w:rsidR="00081314" w:rsidRDefault="00F0304D">
      <w:pPr>
        <w:rPr>
          <w:rFonts w:hint="eastAsia"/>
        </w:rPr>
      </w:pPr>
      <w:r>
        <w:t xml:space="preserve">O percentual da faixa atingida incide sobre o valor integral da base </w:t>
      </w:r>
      <w:r>
        <w:t>mensal elegível. A comissão da Coordenação não possui teto mensal específico.</w:t>
      </w:r>
    </w:p>
    <w:p w:rsidR="00081314" w:rsidRDefault="00F0304D">
      <w:pPr>
        <w:pStyle w:val="Ttulo3"/>
        <w:spacing w:before="140" w:after="80"/>
      </w:pPr>
      <w:r>
        <w:rPr>
          <w:rFonts w:ascii="Aptos" w:hAnsi="Aptos"/>
          <w:color w:val="17365D"/>
        </w:rPr>
        <w:t>Exemplo de cálculo da comissão da Coordenação</w:t>
      </w:r>
    </w:p>
    <w:tbl>
      <w:tblPr>
        <w:tblW w:w="0" w:type="auto"/>
        <w:tblLayout w:type="fixed"/>
        <w:tblLook w:val="04A0" w:firstRow="1" w:lastRow="0" w:firstColumn="1" w:lastColumn="0" w:noHBand="0" w:noVBand="1"/>
      </w:tblPr>
      <w:tblGrid>
        <w:gridCol w:w="4997"/>
        <w:gridCol w:w="4997"/>
      </w:tblGrid>
      <w:tr w:rsidR="00081314">
        <w:tc>
          <w:tcPr>
            <w:tcW w:w="4997" w:type="dxa"/>
            <w:shd w:val="clear" w:color="auto" w:fill="17365D"/>
            <w:tcMar>
              <w:top w:w="90" w:type="dxa"/>
              <w:left w:w="110" w:type="dxa"/>
              <w:bottom w:w="90" w:type="dxa"/>
              <w:right w:w="110" w:type="dxa"/>
            </w:tcMar>
            <w:vAlign w:val="center"/>
          </w:tcPr>
          <w:p w:rsidR="00081314" w:rsidRDefault="00F0304D">
            <w:pPr>
              <w:rPr>
                <w:rFonts w:hint="eastAsia"/>
              </w:rPr>
            </w:pPr>
            <w:r>
              <w:rPr>
                <w:b/>
                <w:color w:val="FFFFFF"/>
                <w:sz w:val="18"/>
              </w:rPr>
              <w:t>Componente da base elegível</w:t>
            </w:r>
          </w:p>
        </w:tc>
        <w:tc>
          <w:tcPr>
            <w:tcW w:w="4997" w:type="dxa"/>
            <w:shd w:val="clear" w:color="auto" w:fill="17365D"/>
            <w:tcMar>
              <w:top w:w="90" w:type="dxa"/>
              <w:left w:w="110" w:type="dxa"/>
              <w:bottom w:w="90" w:type="dxa"/>
              <w:right w:w="110" w:type="dxa"/>
            </w:tcMar>
            <w:vAlign w:val="center"/>
          </w:tcPr>
          <w:p w:rsidR="00081314" w:rsidRDefault="00F0304D">
            <w:pPr>
              <w:jc w:val="right"/>
              <w:rPr>
                <w:rFonts w:hint="eastAsia"/>
              </w:rPr>
            </w:pPr>
            <w:r>
              <w:rPr>
                <w:b/>
                <w:color w:val="FFFFFF"/>
                <w:sz w:val="18"/>
              </w:rPr>
              <w:t>Valor</w:t>
            </w:r>
          </w:p>
        </w:tc>
      </w:tr>
      <w:tr w:rsidR="00081314">
        <w:tc>
          <w:tcPr>
            <w:tcW w:w="4997" w:type="dxa"/>
            <w:tcMar>
              <w:top w:w="90" w:type="dxa"/>
              <w:left w:w="110" w:type="dxa"/>
              <w:bottom w:w="90" w:type="dxa"/>
              <w:right w:w="110" w:type="dxa"/>
            </w:tcMar>
            <w:vAlign w:val="center"/>
          </w:tcPr>
          <w:p w:rsidR="00081314" w:rsidRDefault="00F0304D">
            <w:pPr>
              <w:rPr>
                <w:rFonts w:hint="eastAsia"/>
              </w:rPr>
            </w:pPr>
            <w:r>
              <w:rPr>
                <w:sz w:val="18"/>
              </w:rPr>
              <w:lastRenderedPageBreak/>
              <w:t>Captação e manutenção de estabelecimentos (Frente Cadastro)</w:t>
            </w:r>
          </w:p>
        </w:tc>
        <w:tc>
          <w:tcPr>
            <w:tcW w:w="4997" w:type="dxa"/>
            <w:tcMar>
              <w:top w:w="90" w:type="dxa"/>
              <w:left w:w="110" w:type="dxa"/>
              <w:bottom w:w="90" w:type="dxa"/>
              <w:right w:w="110" w:type="dxa"/>
            </w:tcMar>
            <w:vAlign w:val="center"/>
          </w:tcPr>
          <w:p w:rsidR="00081314" w:rsidRDefault="00F0304D">
            <w:pPr>
              <w:jc w:val="right"/>
              <w:rPr>
                <w:rFonts w:hint="eastAsia"/>
              </w:rPr>
            </w:pPr>
            <w:r>
              <w:rPr>
                <w:sz w:val="18"/>
              </w:rPr>
              <w:t>R$ 180.000,00</w:t>
            </w:r>
          </w:p>
        </w:tc>
      </w:tr>
      <w:tr w:rsidR="00081314">
        <w:tc>
          <w:tcPr>
            <w:tcW w:w="4997" w:type="dxa"/>
            <w:tcMar>
              <w:top w:w="90" w:type="dxa"/>
              <w:left w:w="110" w:type="dxa"/>
              <w:bottom w:w="90" w:type="dxa"/>
              <w:right w:w="110" w:type="dxa"/>
            </w:tcMar>
            <w:vAlign w:val="center"/>
          </w:tcPr>
          <w:p w:rsidR="00081314" w:rsidRDefault="00F0304D">
            <w:pPr>
              <w:rPr>
                <w:rFonts w:hint="eastAsia"/>
              </w:rPr>
            </w:pPr>
            <w:r>
              <w:rPr>
                <w:sz w:val="18"/>
              </w:rPr>
              <w:t xml:space="preserve">Base Histórica de </w:t>
            </w:r>
            <w:r>
              <w:rPr>
                <w:sz w:val="18"/>
              </w:rPr>
              <w:t>Automatizados 2025</w:t>
            </w:r>
          </w:p>
        </w:tc>
        <w:tc>
          <w:tcPr>
            <w:tcW w:w="4997" w:type="dxa"/>
            <w:tcMar>
              <w:top w:w="90" w:type="dxa"/>
              <w:left w:w="110" w:type="dxa"/>
              <w:bottom w:w="90" w:type="dxa"/>
              <w:right w:w="110" w:type="dxa"/>
            </w:tcMar>
            <w:vAlign w:val="center"/>
          </w:tcPr>
          <w:p w:rsidR="00081314" w:rsidRDefault="00F0304D">
            <w:pPr>
              <w:jc w:val="right"/>
              <w:rPr>
                <w:rFonts w:hint="eastAsia"/>
              </w:rPr>
            </w:pPr>
            <w:r>
              <w:rPr>
                <w:sz w:val="18"/>
              </w:rPr>
              <w:t>R$ 53.025,14</w:t>
            </w:r>
          </w:p>
        </w:tc>
      </w:tr>
      <w:tr w:rsidR="00081314">
        <w:tc>
          <w:tcPr>
            <w:tcW w:w="4997" w:type="dxa"/>
            <w:tcMar>
              <w:top w:w="90" w:type="dxa"/>
              <w:left w:w="110" w:type="dxa"/>
              <w:bottom w:w="90" w:type="dxa"/>
              <w:right w:w="110" w:type="dxa"/>
            </w:tcMar>
            <w:vAlign w:val="center"/>
          </w:tcPr>
          <w:p w:rsidR="00081314" w:rsidRDefault="00F0304D">
            <w:pPr>
              <w:rPr>
                <w:rFonts w:hint="eastAsia"/>
              </w:rPr>
            </w:pPr>
            <w:r>
              <w:rPr>
                <w:sz w:val="18"/>
              </w:rPr>
              <w:t>Automatizações Individuais elegíveis da equipe</w:t>
            </w:r>
          </w:p>
        </w:tc>
        <w:tc>
          <w:tcPr>
            <w:tcW w:w="4997" w:type="dxa"/>
            <w:tcMar>
              <w:top w:w="90" w:type="dxa"/>
              <w:left w:w="110" w:type="dxa"/>
              <w:bottom w:w="90" w:type="dxa"/>
              <w:right w:w="110" w:type="dxa"/>
            </w:tcMar>
            <w:vAlign w:val="center"/>
          </w:tcPr>
          <w:p w:rsidR="00081314" w:rsidRDefault="00F0304D">
            <w:pPr>
              <w:jc w:val="right"/>
              <w:rPr>
                <w:rFonts w:hint="eastAsia"/>
              </w:rPr>
            </w:pPr>
            <w:r>
              <w:rPr>
                <w:sz w:val="18"/>
              </w:rPr>
              <w:t>R$ 35.000,00</w:t>
            </w:r>
          </w:p>
        </w:tc>
      </w:tr>
      <w:tr w:rsidR="00081314">
        <w:tc>
          <w:tcPr>
            <w:tcW w:w="4997" w:type="dxa"/>
            <w:tcMar>
              <w:top w:w="90" w:type="dxa"/>
              <w:left w:w="110" w:type="dxa"/>
              <w:bottom w:w="90" w:type="dxa"/>
              <w:right w:w="110" w:type="dxa"/>
            </w:tcMar>
            <w:vAlign w:val="center"/>
          </w:tcPr>
          <w:p w:rsidR="00081314" w:rsidRDefault="00F0304D">
            <w:pPr>
              <w:rPr>
                <w:rFonts w:hint="eastAsia"/>
              </w:rPr>
            </w:pPr>
            <w:r>
              <w:rPr>
                <w:sz w:val="18"/>
              </w:rPr>
              <w:t>Doações</w:t>
            </w:r>
          </w:p>
        </w:tc>
        <w:tc>
          <w:tcPr>
            <w:tcW w:w="4997" w:type="dxa"/>
            <w:tcMar>
              <w:top w:w="90" w:type="dxa"/>
              <w:left w:w="110" w:type="dxa"/>
              <w:bottom w:w="90" w:type="dxa"/>
              <w:right w:w="110" w:type="dxa"/>
            </w:tcMar>
            <w:vAlign w:val="center"/>
          </w:tcPr>
          <w:p w:rsidR="00081314" w:rsidRDefault="00F0304D">
            <w:pPr>
              <w:jc w:val="right"/>
              <w:rPr>
                <w:rFonts w:hint="eastAsia"/>
              </w:rPr>
            </w:pPr>
            <w:r>
              <w:rPr>
                <w:sz w:val="18"/>
              </w:rPr>
              <w:t>R$ 20.000,00</w:t>
            </w:r>
          </w:p>
        </w:tc>
      </w:tr>
      <w:tr w:rsidR="00081314">
        <w:tc>
          <w:tcPr>
            <w:tcW w:w="4997" w:type="dxa"/>
            <w:shd w:val="clear" w:color="auto" w:fill="EAF3F8"/>
            <w:tcMar>
              <w:top w:w="90" w:type="dxa"/>
              <w:left w:w="110" w:type="dxa"/>
              <w:bottom w:w="90" w:type="dxa"/>
              <w:right w:w="110" w:type="dxa"/>
            </w:tcMar>
            <w:vAlign w:val="center"/>
          </w:tcPr>
          <w:p w:rsidR="00081314" w:rsidRDefault="00F0304D">
            <w:pPr>
              <w:rPr>
                <w:rFonts w:hint="eastAsia"/>
              </w:rPr>
            </w:pPr>
            <w:r>
              <w:rPr>
                <w:b/>
                <w:sz w:val="18"/>
              </w:rPr>
              <w:t>Base total elegível</w:t>
            </w:r>
          </w:p>
        </w:tc>
        <w:tc>
          <w:tcPr>
            <w:tcW w:w="4997" w:type="dxa"/>
            <w:shd w:val="clear" w:color="auto" w:fill="EAF3F8"/>
            <w:tcMar>
              <w:top w:w="90" w:type="dxa"/>
              <w:left w:w="110" w:type="dxa"/>
              <w:bottom w:w="90" w:type="dxa"/>
              <w:right w:w="110" w:type="dxa"/>
            </w:tcMar>
            <w:vAlign w:val="center"/>
          </w:tcPr>
          <w:p w:rsidR="00081314" w:rsidRDefault="00F0304D">
            <w:pPr>
              <w:jc w:val="right"/>
              <w:rPr>
                <w:rFonts w:hint="eastAsia"/>
              </w:rPr>
            </w:pPr>
            <w:r>
              <w:rPr>
                <w:b/>
                <w:sz w:val="18"/>
              </w:rPr>
              <w:t>R$ 288.025,14</w:t>
            </w:r>
          </w:p>
        </w:tc>
      </w:tr>
      <w:tr w:rsidR="00081314">
        <w:tc>
          <w:tcPr>
            <w:tcW w:w="4997" w:type="dxa"/>
            <w:shd w:val="clear" w:color="auto" w:fill="EAF3F8"/>
            <w:tcMar>
              <w:top w:w="90" w:type="dxa"/>
              <w:left w:w="110" w:type="dxa"/>
              <w:bottom w:w="90" w:type="dxa"/>
              <w:right w:w="110" w:type="dxa"/>
            </w:tcMar>
            <w:vAlign w:val="center"/>
          </w:tcPr>
          <w:p w:rsidR="00081314" w:rsidRDefault="00F0304D">
            <w:pPr>
              <w:rPr>
                <w:rFonts w:hint="eastAsia"/>
              </w:rPr>
            </w:pPr>
            <w:r>
              <w:rPr>
                <w:b/>
                <w:sz w:val="18"/>
              </w:rPr>
              <w:t>Faixa aplicável / Comissão da Coordenação</w:t>
            </w:r>
          </w:p>
        </w:tc>
        <w:tc>
          <w:tcPr>
            <w:tcW w:w="4997" w:type="dxa"/>
            <w:shd w:val="clear" w:color="auto" w:fill="EAF3F8"/>
            <w:tcMar>
              <w:top w:w="90" w:type="dxa"/>
              <w:left w:w="110" w:type="dxa"/>
              <w:bottom w:w="90" w:type="dxa"/>
              <w:right w:w="110" w:type="dxa"/>
            </w:tcMar>
            <w:vAlign w:val="center"/>
          </w:tcPr>
          <w:p w:rsidR="00081314" w:rsidRDefault="00F0304D">
            <w:pPr>
              <w:jc w:val="right"/>
              <w:rPr>
                <w:rFonts w:hint="eastAsia"/>
              </w:rPr>
            </w:pPr>
            <w:r>
              <w:rPr>
                <w:b/>
                <w:sz w:val="18"/>
              </w:rPr>
              <w:t>6% / R$ 17.281,51</w:t>
            </w:r>
          </w:p>
        </w:tc>
      </w:tr>
    </w:tbl>
    <w:p w:rsidR="00081314" w:rsidRDefault="00F0304D">
      <w:pPr>
        <w:spacing w:before="80" w:after="140"/>
        <w:rPr>
          <w:rFonts w:hint="eastAsia"/>
        </w:rPr>
      </w:pPr>
      <w:r>
        <w:rPr>
          <w:sz w:val="19"/>
        </w:rPr>
        <w:t xml:space="preserve">Neste exemplo, o percentual de 6% incide </w:t>
      </w:r>
      <w:r>
        <w:rPr>
          <w:sz w:val="19"/>
        </w:rPr>
        <w:t>sobre a totalidade da base elegível do mês. As Automatizações Institucionais não integram a parcela adicional de Automatizações Individuais da base da Coordenação.</w:t>
      </w:r>
    </w:p>
    <w:p w:rsidR="00081314" w:rsidRDefault="00F0304D">
      <w:pPr>
        <w:keepNext/>
        <w:spacing w:before="120" w:after="80"/>
        <w:rPr>
          <w:rFonts w:hint="eastAsia"/>
        </w:rPr>
      </w:pPr>
      <w:r>
        <w:rPr>
          <w:b/>
          <w:color w:val="173B4D"/>
          <w:sz w:val="23"/>
        </w:rPr>
        <w:t>4.3 Competência e pagamento</w:t>
      </w:r>
    </w:p>
    <w:p w:rsidR="00081314" w:rsidRDefault="00F0304D">
      <w:pPr>
        <w:keepLines/>
        <w:rPr>
          <w:rFonts w:hint="eastAsia"/>
        </w:rPr>
      </w:pPr>
      <w:r>
        <w:t>A comissão da Coordenação será apurada e paga mensalmente, no mê</w:t>
      </w:r>
      <w:r>
        <w:t>s corrente, com base nos créditos efetivamente reconhecidos pela SEFAZ no respectivo ciclo, acrescidos da base histórica prevista nesta Política. Em razão da sistemática operacional do NFP, os créditos reconhecidos em determinado mês correspondem, em regra</w:t>
      </w:r>
      <w:r>
        <w:t>, às operações realizadas aproximadamente três meses antes.</w:t>
      </w:r>
    </w:p>
    <w:tbl>
      <w:tblPr>
        <w:tblW w:w="0" w:type="auto"/>
        <w:jc w:val="center"/>
        <w:tblLayout w:type="fixed"/>
        <w:tblLook w:val="04A0" w:firstRow="1" w:lastRow="0" w:firstColumn="1" w:lastColumn="0" w:noHBand="0" w:noVBand="1"/>
      </w:tblPr>
      <w:tblGrid>
        <w:gridCol w:w="4997"/>
        <w:gridCol w:w="4997"/>
      </w:tblGrid>
      <w:tr w:rsidR="00081314">
        <w:trPr>
          <w:jc w:val="center"/>
        </w:trPr>
        <w:tc>
          <w:tcPr>
            <w:tcW w:w="4997" w:type="dxa"/>
            <w:shd w:val="clear" w:color="auto" w:fill="00A9C8"/>
            <w:tcMar>
              <w:top w:w="80" w:type="dxa"/>
              <w:left w:w="20" w:type="dxa"/>
              <w:bottom w:w="80" w:type="dxa"/>
              <w:right w:w="20" w:type="dxa"/>
            </w:tcMar>
          </w:tcPr>
          <w:p w:rsidR="00081314" w:rsidRDefault="00081314">
            <w:pPr>
              <w:rPr>
                <w:rFonts w:hint="eastAsia"/>
              </w:rPr>
            </w:pPr>
          </w:p>
        </w:tc>
        <w:tc>
          <w:tcPr>
            <w:tcW w:w="4997" w:type="dxa"/>
            <w:shd w:val="clear" w:color="auto" w:fill="EAF5F7"/>
            <w:tcMar>
              <w:top w:w="100" w:type="dxa"/>
              <w:left w:w="140" w:type="dxa"/>
              <w:bottom w:w="100" w:type="dxa"/>
              <w:right w:w="140" w:type="dxa"/>
            </w:tcMar>
          </w:tcPr>
          <w:p w:rsidR="00081314" w:rsidRDefault="00F0304D">
            <w:pPr>
              <w:spacing w:after="40"/>
              <w:rPr>
                <w:rFonts w:hint="eastAsia"/>
              </w:rPr>
            </w:pPr>
            <w:r>
              <w:rPr>
                <w:b/>
                <w:color w:val="173B4D"/>
                <w:sz w:val="17"/>
              </w:rPr>
              <w:t>LEITURA DA COMPETÊNCIA</w:t>
            </w:r>
          </w:p>
          <w:p w:rsidR="00081314" w:rsidRDefault="00F0304D">
            <w:pPr>
              <w:spacing w:after="0" w:line="247" w:lineRule="auto"/>
              <w:rPr>
                <w:rFonts w:hint="eastAsia"/>
              </w:rPr>
            </w:pPr>
            <w:r>
              <w:rPr>
                <w:sz w:val="19"/>
              </w:rPr>
              <w:t xml:space="preserve">O pagamento é do mês corrente; a origem econômica dos créditos reconhecidos nesse mês corresponde, em regra, a aproximadamente três meses antes. Ex.: a comissão apurada em </w:t>
            </w:r>
            <w:r>
              <w:rPr>
                <w:sz w:val="19"/>
              </w:rPr>
              <w:t>outubro utiliza os créditos reconhecidos em outubro, ainda que originados, em regra, de operações realizadas em julho.</w:t>
            </w:r>
          </w:p>
        </w:tc>
      </w:tr>
    </w:tbl>
    <w:p w:rsidR="00081314" w:rsidRDefault="00081314">
      <w:pPr>
        <w:spacing w:after="20"/>
        <w:rPr>
          <w:rFonts w:hint="eastAsia"/>
        </w:rPr>
      </w:pPr>
    </w:p>
    <w:p w:rsidR="00081314" w:rsidRDefault="00F0304D">
      <w:pPr>
        <w:keepNext/>
        <w:spacing w:before="200" w:after="120"/>
        <w:rPr>
          <w:rFonts w:hint="eastAsia"/>
        </w:rPr>
      </w:pPr>
      <w:r>
        <w:rPr>
          <w:b/>
          <w:color w:val="173B4D"/>
          <w:sz w:val="30"/>
        </w:rPr>
        <w:t>5. Captação e manutenção de estabelecimentos (Frente Cadastro)</w:t>
      </w:r>
    </w:p>
    <w:p w:rsidR="00081314" w:rsidRDefault="00F0304D">
      <w:pPr>
        <w:rPr>
          <w:rFonts w:hint="eastAsia"/>
        </w:rPr>
      </w:pPr>
      <w:r>
        <w:rPr>
          <w:color w:val="243746"/>
        </w:rPr>
        <w:t xml:space="preserve">Para fins desta Política, a Captação de Novos Estabelecimentos (Frente </w:t>
      </w:r>
      <w:r>
        <w:rPr>
          <w:color w:val="243746"/>
        </w:rPr>
        <w:t>Cadastro) compreende a prospecção, abordagem, cadastramento e ativação de novos estabelecimentos para coleta de cupons/notas fiscais em benefício da Vocação. A manutenção/relacionamento corresponde ao acompanhamento de estabelecimentos já ativos cuja respo</w:t>
      </w:r>
      <w:r>
        <w:rPr>
          <w:color w:val="243746"/>
        </w:rPr>
        <w:t>nsabilidade tenha sido formalmente atribuída ao colaborador.</w:t>
      </w:r>
    </w:p>
    <w:tbl>
      <w:tblPr>
        <w:tblW w:w="0" w:type="auto"/>
        <w:jc w:val="center"/>
        <w:tblLayout w:type="fixed"/>
        <w:tblLook w:val="04A0" w:firstRow="1" w:lastRow="0" w:firstColumn="1" w:lastColumn="0" w:noHBand="0" w:noVBand="1"/>
      </w:tblPr>
      <w:tblGrid>
        <w:gridCol w:w="3024"/>
        <w:gridCol w:w="6480"/>
      </w:tblGrid>
      <w:tr w:rsidR="00081314">
        <w:trPr>
          <w:cantSplit/>
          <w:tblHeader/>
          <w:jc w:val="center"/>
        </w:trPr>
        <w:tc>
          <w:tcPr>
            <w:tcW w:w="3024" w:type="dxa"/>
            <w:shd w:val="clear" w:color="auto" w:fill="173B4D"/>
            <w:tcMar>
              <w:top w:w="90" w:type="dxa"/>
              <w:left w:w="110" w:type="dxa"/>
              <w:bottom w:w="90" w:type="dxa"/>
              <w:right w:w="110" w:type="dxa"/>
            </w:tcMar>
            <w:vAlign w:val="center"/>
          </w:tcPr>
          <w:p w:rsidR="00081314" w:rsidRDefault="00F0304D">
            <w:pPr>
              <w:spacing w:after="0"/>
              <w:jc w:val="center"/>
              <w:rPr>
                <w:rFonts w:hint="eastAsia"/>
              </w:rPr>
            </w:pPr>
            <w:r>
              <w:rPr>
                <w:b/>
                <w:color w:val="FFFFFF"/>
                <w:sz w:val="18"/>
              </w:rPr>
              <w:t>Modalidade</w:t>
            </w:r>
          </w:p>
        </w:tc>
        <w:tc>
          <w:tcPr>
            <w:tcW w:w="6480" w:type="dxa"/>
            <w:shd w:val="clear" w:color="auto" w:fill="173B4D"/>
            <w:tcMar>
              <w:top w:w="90" w:type="dxa"/>
              <w:left w:w="110" w:type="dxa"/>
              <w:bottom w:w="90" w:type="dxa"/>
              <w:right w:w="110" w:type="dxa"/>
            </w:tcMar>
            <w:vAlign w:val="center"/>
          </w:tcPr>
          <w:p w:rsidR="00081314" w:rsidRDefault="00F0304D">
            <w:pPr>
              <w:spacing w:after="0"/>
              <w:jc w:val="center"/>
              <w:rPr>
                <w:rFonts w:hint="eastAsia"/>
              </w:rPr>
            </w:pPr>
            <w:r>
              <w:rPr>
                <w:b/>
                <w:color w:val="FFFFFF"/>
                <w:sz w:val="18"/>
              </w:rPr>
              <w:t>Regra</w:t>
            </w:r>
          </w:p>
        </w:tc>
      </w:tr>
      <w:tr w:rsidR="00081314">
        <w:trPr>
          <w:cantSplit/>
          <w:jc w:val="center"/>
        </w:trPr>
        <w:tc>
          <w:tcPr>
            <w:tcW w:w="3024" w:type="dxa"/>
            <w:shd w:val="clear" w:color="auto" w:fill="FFFFFF"/>
            <w:tcMar>
              <w:top w:w="90" w:type="dxa"/>
              <w:left w:w="110" w:type="dxa"/>
              <w:bottom w:w="90" w:type="dxa"/>
              <w:right w:w="110" w:type="dxa"/>
            </w:tcMar>
            <w:vAlign w:val="center"/>
          </w:tcPr>
          <w:p w:rsidR="00081314" w:rsidRDefault="00F0304D">
            <w:pPr>
              <w:spacing w:after="0"/>
              <w:rPr>
                <w:rFonts w:hint="eastAsia"/>
              </w:rPr>
            </w:pPr>
            <w:r>
              <w:rPr>
                <w:color w:val="243746"/>
                <w:sz w:val="18"/>
              </w:rPr>
              <w:t>Captação de Novo Estabelecimento (Frente Cadastro)</w:t>
            </w:r>
          </w:p>
        </w:tc>
        <w:tc>
          <w:tcPr>
            <w:tcW w:w="6480" w:type="dxa"/>
            <w:shd w:val="clear" w:color="auto" w:fill="FFFFFF"/>
            <w:tcMar>
              <w:top w:w="90" w:type="dxa"/>
              <w:left w:w="110" w:type="dxa"/>
              <w:bottom w:w="90" w:type="dxa"/>
              <w:right w:w="110" w:type="dxa"/>
            </w:tcMar>
            <w:vAlign w:val="center"/>
          </w:tcPr>
          <w:p w:rsidR="00081314" w:rsidRDefault="00F0304D">
            <w:pPr>
              <w:spacing w:after="0" w:line="240" w:lineRule="auto"/>
              <w:rPr>
                <w:rFonts w:hint="eastAsia"/>
              </w:rPr>
            </w:pPr>
            <w:r>
              <w:rPr>
                <w:color w:val="243746"/>
                <w:sz w:val="18"/>
              </w:rPr>
              <w:t>1,0% sobre o crédito gerado pelos cupons arrecadados no estabelecimento e efetivamente reconhecido pela SEFAZ.</w:t>
            </w:r>
          </w:p>
        </w:tc>
      </w:tr>
      <w:tr w:rsidR="00081314">
        <w:trPr>
          <w:cantSplit/>
          <w:jc w:val="center"/>
        </w:trPr>
        <w:tc>
          <w:tcPr>
            <w:tcW w:w="3024" w:type="dxa"/>
            <w:shd w:val="clear" w:color="auto" w:fill="FFFFFF"/>
            <w:tcMar>
              <w:top w:w="90" w:type="dxa"/>
              <w:left w:w="110" w:type="dxa"/>
              <w:bottom w:w="90" w:type="dxa"/>
              <w:right w:w="110" w:type="dxa"/>
            </w:tcMar>
            <w:vAlign w:val="center"/>
          </w:tcPr>
          <w:p w:rsidR="00081314" w:rsidRDefault="00F0304D">
            <w:pPr>
              <w:spacing w:after="0"/>
              <w:rPr>
                <w:rFonts w:hint="eastAsia"/>
              </w:rPr>
            </w:pPr>
            <w:r>
              <w:rPr>
                <w:color w:val="243746"/>
                <w:sz w:val="18"/>
              </w:rPr>
              <w:t xml:space="preserve">Manutenção / </w:t>
            </w:r>
            <w:r>
              <w:rPr>
                <w:color w:val="243746"/>
                <w:sz w:val="18"/>
              </w:rPr>
              <w:t>Relacionamento de Estabelecimento</w:t>
            </w:r>
          </w:p>
        </w:tc>
        <w:tc>
          <w:tcPr>
            <w:tcW w:w="6480" w:type="dxa"/>
            <w:shd w:val="clear" w:color="auto" w:fill="FFFFFF"/>
            <w:tcMar>
              <w:top w:w="90" w:type="dxa"/>
              <w:left w:w="110" w:type="dxa"/>
              <w:bottom w:w="90" w:type="dxa"/>
              <w:right w:w="110" w:type="dxa"/>
            </w:tcMar>
            <w:vAlign w:val="center"/>
          </w:tcPr>
          <w:p w:rsidR="00081314" w:rsidRDefault="00F0304D">
            <w:pPr>
              <w:spacing w:after="0" w:line="240" w:lineRule="auto"/>
              <w:rPr>
                <w:rFonts w:hint="eastAsia"/>
              </w:rPr>
            </w:pPr>
            <w:r>
              <w:rPr>
                <w:color w:val="243746"/>
                <w:sz w:val="18"/>
              </w:rPr>
              <w:t>0,5% sobre o crédito gerado pelos cupons arrecadados no estabelecimento e efetivamente reconhecido pela SEFAZ. A transferência de responsabilidade depende de autorização da Coordenação e da Gestão da área.</w:t>
            </w:r>
          </w:p>
        </w:tc>
      </w:tr>
    </w:tbl>
    <w:p w:rsidR="00081314" w:rsidRDefault="00081314">
      <w:pPr>
        <w:spacing w:after="20"/>
        <w:rPr>
          <w:rFonts w:hint="eastAsia"/>
        </w:rPr>
      </w:pPr>
    </w:p>
    <w:p w:rsidR="00081314" w:rsidRDefault="00F0304D">
      <w:pPr>
        <w:rPr>
          <w:rFonts w:hint="eastAsia"/>
        </w:rPr>
      </w:pPr>
      <w:r>
        <w:rPr>
          <w:color w:val="243746"/>
        </w:rPr>
        <w:t>O pagamento oc</w:t>
      </w:r>
      <w:r>
        <w:rPr>
          <w:color w:val="243746"/>
        </w:rPr>
        <w:t>orrerá conforme o ciclo institucional posterior ao reconhecimento do crédito pela SEFAZ. Não há teto mensal específico para as comissões desta frente. Estabelecimentos sem geração de crédito poderão ser descredenciados pela gestão, mediante alinhamento pré</w:t>
      </w:r>
      <w:r>
        <w:rPr>
          <w:color w:val="243746"/>
        </w:rPr>
        <w:t>vio.</w:t>
      </w:r>
    </w:p>
    <w:p w:rsidR="00081314" w:rsidRDefault="00F0304D">
      <w:pPr>
        <w:keepNext/>
        <w:spacing w:before="200" w:after="80"/>
        <w:rPr>
          <w:rFonts w:hint="eastAsia"/>
        </w:rPr>
      </w:pPr>
      <w:r>
        <w:rPr>
          <w:b/>
          <w:color w:val="173B4D"/>
          <w:sz w:val="30"/>
        </w:rPr>
        <w:t>6. Desligamento</w:t>
      </w:r>
    </w:p>
    <w:p w:rsidR="00081314" w:rsidRDefault="00F0304D">
      <w:pPr>
        <w:rPr>
          <w:rFonts w:hint="eastAsia"/>
        </w:rPr>
      </w:pPr>
      <w:r>
        <w:rPr>
          <w:color w:val="243746"/>
        </w:rPr>
        <w:t>Em caso de desligamento de colaborador abrangido por esta Política, por qualquer motivo, serão apurados os valores que, na data do desligamento, já sejam exigíveis segundo os critérios desta Política e da legislação aplicável. Não serã</w:t>
      </w:r>
      <w:r>
        <w:rPr>
          <w:color w:val="243746"/>
        </w:rPr>
        <w:t>o realizadas projeções, estimativas ou antecipações de créditos, comissões ou bonificações ainda não constituídos.</w:t>
      </w:r>
    </w:p>
    <w:p w:rsidR="00081314" w:rsidRDefault="00F0304D">
      <w:pPr>
        <w:rPr>
          <w:rFonts w:hint="eastAsia"/>
        </w:rPr>
      </w:pPr>
      <w:r>
        <w:rPr>
          <w:color w:val="243746"/>
        </w:rPr>
        <w:lastRenderedPageBreak/>
        <w:t>O encerramento do vínculo não gera direito a projeções de resultados futuros. Permanecem, contudo, preservadas as comissões e percentagens qu</w:t>
      </w:r>
      <w:r>
        <w:rPr>
          <w:color w:val="243746"/>
        </w:rPr>
        <w:t>e venham a tornar-se exigíveis após o desligamento quando decorrentes de fatos geradores ocorridos durante a vigência do contrato de trabalho, observados os requisitos de validação, reconhecimento e apuração previstos nesta Política e na legislação aplicáv</w:t>
      </w:r>
      <w:r>
        <w:rPr>
          <w:color w:val="243746"/>
        </w:rPr>
        <w:t>el.</w:t>
      </w:r>
    </w:p>
    <w:p w:rsidR="00081314" w:rsidRDefault="00F0304D">
      <w:pPr>
        <w:rPr>
          <w:rFonts w:hint="eastAsia"/>
        </w:rPr>
      </w:pPr>
      <w:r>
        <w:rPr>
          <w:color w:val="243746"/>
        </w:rPr>
        <w:t>Os pagamentos eventualmente devidos após o desligamento serão processados quando se tornarem objetivamente apuráveis, sem antecipação ou estimativa de valores, preservando-se os direitos assegurados pelo art. 466, § 2º, da CLT.</w:t>
      </w:r>
    </w:p>
    <w:p w:rsidR="00081314" w:rsidRDefault="00F0304D">
      <w:pPr>
        <w:keepNext/>
        <w:spacing w:before="200" w:after="80"/>
        <w:rPr>
          <w:rFonts w:hint="eastAsia"/>
        </w:rPr>
      </w:pPr>
      <w:r>
        <w:rPr>
          <w:b/>
          <w:color w:val="173B4D"/>
          <w:sz w:val="30"/>
        </w:rPr>
        <w:t xml:space="preserve">7. Governança, vigência </w:t>
      </w:r>
      <w:r>
        <w:rPr>
          <w:b/>
          <w:color w:val="173B4D"/>
          <w:sz w:val="30"/>
        </w:rPr>
        <w:t>e ciência</w:t>
      </w:r>
    </w:p>
    <w:p w:rsidR="00081314" w:rsidRDefault="00F0304D">
      <w:pPr>
        <w:keepNext/>
        <w:spacing w:before="120" w:after="80"/>
        <w:rPr>
          <w:rFonts w:hint="eastAsia"/>
        </w:rPr>
      </w:pPr>
      <w:r>
        <w:rPr>
          <w:b/>
          <w:color w:val="173B4D"/>
          <w:sz w:val="23"/>
        </w:rPr>
        <w:t>7.1 Responsabilidades</w:t>
      </w:r>
    </w:p>
    <w:tbl>
      <w:tblPr>
        <w:tblW w:w="0" w:type="auto"/>
        <w:jc w:val="center"/>
        <w:tblLayout w:type="fixed"/>
        <w:tblLook w:val="04A0" w:firstRow="1" w:lastRow="0" w:firstColumn="1" w:lastColumn="0" w:noHBand="0" w:noVBand="1"/>
      </w:tblPr>
      <w:tblGrid>
        <w:gridCol w:w="2520"/>
        <w:gridCol w:w="6984"/>
      </w:tblGrid>
      <w:tr w:rsidR="00081314">
        <w:trPr>
          <w:cantSplit/>
          <w:tblHeader/>
          <w:jc w:val="center"/>
        </w:trPr>
        <w:tc>
          <w:tcPr>
            <w:tcW w:w="2520" w:type="dxa"/>
            <w:shd w:val="clear" w:color="auto" w:fill="173B4D"/>
            <w:tcMar>
              <w:top w:w="90" w:type="dxa"/>
              <w:left w:w="110" w:type="dxa"/>
              <w:bottom w:w="90" w:type="dxa"/>
              <w:right w:w="110" w:type="dxa"/>
            </w:tcMar>
            <w:vAlign w:val="center"/>
          </w:tcPr>
          <w:p w:rsidR="00081314" w:rsidRDefault="00F0304D">
            <w:pPr>
              <w:spacing w:after="0"/>
              <w:jc w:val="center"/>
              <w:rPr>
                <w:rFonts w:hint="eastAsia"/>
              </w:rPr>
            </w:pPr>
            <w:r>
              <w:rPr>
                <w:b/>
                <w:color w:val="FFFFFF"/>
                <w:sz w:val="18"/>
              </w:rPr>
              <w:t>Responsável</w:t>
            </w:r>
          </w:p>
        </w:tc>
        <w:tc>
          <w:tcPr>
            <w:tcW w:w="6984" w:type="dxa"/>
            <w:shd w:val="clear" w:color="auto" w:fill="173B4D"/>
            <w:tcMar>
              <w:top w:w="90" w:type="dxa"/>
              <w:left w:w="110" w:type="dxa"/>
              <w:bottom w:w="90" w:type="dxa"/>
              <w:right w:w="110" w:type="dxa"/>
            </w:tcMar>
            <w:vAlign w:val="center"/>
          </w:tcPr>
          <w:p w:rsidR="00081314" w:rsidRDefault="00F0304D">
            <w:pPr>
              <w:spacing w:after="0"/>
              <w:jc w:val="center"/>
              <w:rPr>
                <w:rFonts w:hint="eastAsia"/>
              </w:rPr>
            </w:pPr>
            <w:r>
              <w:rPr>
                <w:b/>
                <w:color w:val="FFFFFF"/>
                <w:sz w:val="18"/>
              </w:rPr>
              <w:t>Responsabilidade principal</w:t>
            </w:r>
          </w:p>
        </w:tc>
      </w:tr>
      <w:tr w:rsidR="00081314">
        <w:trPr>
          <w:cantSplit/>
          <w:jc w:val="center"/>
        </w:trPr>
        <w:tc>
          <w:tcPr>
            <w:tcW w:w="2520"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7"/>
              </w:rPr>
              <w:t>Coordenação NFP</w:t>
            </w:r>
          </w:p>
        </w:tc>
        <w:tc>
          <w:tcPr>
            <w:tcW w:w="6984" w:type="dxa"/>
            <w:shd w:val="clear" w:color="auto" w:fill="FFFFFF"/>
            <w:tcMar>
              <w:top w:w="85" w:type="dxa"/>
              <w:left w:w="110" w:type="dxa"/>
              <w:bottom w:w="85" w:type="dxa"/>
              <w:right w:w="110" w:type="dxa"/>
            </w:tcMar>
            <w:vAlign w:val="center"/>
          </w:tcPr>
          <w:p w:rsidR="00081314" w:rsidRDefault="00F0304D">
            <w:pPr>
              <w:rPr>
                <w:rFonts w:hint="eastAsia"/>
              </w:rPr>
            </w:pPr>
            <w:r>
              <w:t xml:space="preserve">Manter controles, conciliações, escalas, rastreabilidade, relatórios, memórias de cálculo e conferência das bases de comissão e bonificação; coordenar, com as demais </w:t>
            </w:r>
            <w:r>
              <w:t>áreas envolvidas, os controles de toda ação/evento com automatização.</w:t>
            </w:r>
          </w:p>
        </w:tc>
      </w:tr>
      <w:tr w:rsidR="00081314">
        <w:trPr>
          <w:cantSplit/>
          <w:jc w:val="center"/>
        </w:trPr>
        <w:tc>
          <w:tcPr>
            <w:tcW w:w="2520"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7"/>
              </w:rPr>
              <w:t>Áreas envolvidas</w:t>
            </w:r>
          </w:p>
        </w:tc>
        <w:tc>
          <w:tcPr>
            <w:tcW w:w="6984"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7"/>
              </w:rPr>
              <w:t>Planejar e executar eventos e ações em articulação com a Coordenação NFP, respeitando os controles desta Política.</w:t>
            </w:r>
          </w:p>
        </w:tc>
      </w:tr>
      <w:tr w:rsidR="00081314">
        <w:trPr>
          <w:cantSplit/>
          <w:jc w:val="center"/>
        </w:trPr>
        <w:tc>
          <w:tcPr>
            <w:tcW w:w="2520"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7"/>
              </w:rPr>
              <w:t>RH / Financeiro</w:t>
            </w:r>
          </w:p>
        </w:tc>
        <w:tc>
          <w:tcPr>
            <w:tcW w:w="6984"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7"/>
              </w:rPr>
              <w:t>Verificar documentação, enquadrament</w:t>
            </w:r>
            <w:r>
              <w:rPr>
                <w:sz w:val="17"/>
              </w:rPr>
              <w:t>o e autorizações e processar os pagamentos aprovados.</w:t>
            </w:r>
          </w:p>
        </w:tc>
      </w:tr>
      <w:tr w:rsidR="00081314">
        <w:trPr>
          <w:cantSplit/>
          <w:jc w:val="center"/>
        </w:trPr>
        <w:tc>
          <w:tcPr>
            <w:tcW w:w="2520"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7"/>
              </w:rPr>
              <w:t>Diretoria</w:t>
            </w:r>
          </w:p>
        </w:tc>
        <w:tc>
          <w:tcPr>
            <w:tcW w:w="6984"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7"/>
              </w:rPr>
              <w:t>Aprovar a Política, alterações estruturais e exceções formalmente justificadas.</w:t>
            </w:r>
          </w:p>
        </w:tc>
      </w:tr>
    </w:tbl>
    <w:p w:rsidR="00081314" w:rsidRDefault="00081314">
      <w:pPr>
        <w:spacing w:after="20"/>
        <w:rPr>
          <w:rFonts w:hint="eastAsia"/>
        </w:rPr>
      </w:pPr>
    </w:p>
    <w:p w:rsidR="00081314" w:rsidRDefault="00F0304D">
      <w:pPr>
        <w:keepNext/>
        <w:spacing w:before="120" w:after="80"/>
        <w:rPr>
          <w:rFonts w:hint="eastAsia"/>
        </w:rPr>
      </w:pPr>
      <w:r>
        <w:rPr>
          <w:b/>
          <w:color w:val="173B4D"/>
          <w:sz w:val="23"/>
        </w:rPr>
        <w:t>7.2 Vigência, ciência e arquivamento</w:t>
      </w:r>
    </w:p>
    <w:p w:rsidR="00081314" w:rsidRDefault="00F0304D">
      <w:pPr>
        <w:rPr>
          <w:rFonts w:hint="eastAsia"/>
        </w:rPr>
      </w:pPr>
      <w:r>
        <w:t>Esta Política entra em vigor em 1º de outubro de 2026 e permanece válida</w:t>
      </w:r>
      <w:r>
        <w:t xml:space="preserve"> até sua substituição ou revisão formal. Todos os colaboradores e responsáveis abrangidos deverão receber ciência formal de seu conteúdo antes da participação nos ciclos de apuração.</w:t>
      </w:r>
    </w:p>
    <w:p w:rsidR="00081314" w:rsidRDefault="00F0304D">
      <w:pPr>
        <w:rPr>
          <w:rFonts w:hint="eastAsia"/>
        </w:rPr>
      </w:pPr>
      <w:r>
        <w:t>A Política e/ou o respectivo Termo de Ciência deverão ser assinados pelos</w:t>
      </w:r>
      <w:r>
        <w:t xml:space="preserve"> colaboradores abrangidos e arquivados pelo RH no prontuário funcional de cada colaborador. A Coordenação deverá manter documentação suficiente para permitir conferência posterior das apurações e prevenir duplicidades, atribuições indevidas ou distorções d</w:t>
      </w:r>
      <w:r>
        <w:t>e pagamento.</w:t>
      </w:r>
    </w:p>
    <w:p w:rsidR="00081314" w:rsidRDefault="00F0304D">
      <w:pPr>
        <w:spacing w:after="140"/>
        <w:rPr>
          <w:rFonts w:hint="eastAsia"/>
        </w:rPr>
      </w:pPr>
      <w:r>
        <w:t>Deverão ser construídos, instituídos e mantidos controles suficientes e necessários para a devida apuração das comissões e bonificações, compatíveis com cada modalidade e capazes de assegurar registro, identificação dos participantes, rastreab</w:t>
      </w:r>
      <w:r>
        <w:t xml:space="preserve">ilidade, conciliação com o ambiente oficial da SEFAZ/NFP, validação dos resultados, memória de cálculo e autorização para pagamento. A Coordenação do Programa NFP será responsável por assegurar a existência e a aplicação desses controles, sem prejuízo das </w:t>
      </w:r>
      <w:r>
        <w:t>responsabilidades das demais áreas envolvidas.</w:t>
      </w:r>
    </w:p>
    <w:p w:rsidR="00081314" w:rsidRDefault="00F0304D">
      <w:pPr>
        <w:rPr>
          <w:rFonts w:hint="eastAsia"/>
        </w:rPr>
      </w:pPr>
      <w:r>
        <w:t>Recomenda-se revisão dos resultados após 6 (seis) meses de vigência. Alterações de faixas, percentuais, valores, bases, critérios ou parâmetros de gestão dependem de aprovação formal da Diretoria e somente pro</w:t>
      </w:r>
      <w:r>
        <w:t>duzirão efeitos prospectivos, observados a legislação trabalhista, o instrumento coletivo aplicável e a vedação de alteração contratual lesiva. Para colaboradores já submetidos a regras anteriores, RH e Jurídico deverão avaliar previamente eventual condiçã</w:t>
      </w:r>
      <w:r>
        <w:t>o mais benéfica ou direito já incorporado.</w:t>
      </w:r>
    </w:p>
    <w:p w:rsidR="00081314" w:rsidRDefault="00F0304D">
      <w:pPr>
        <w:keepNext/>
        <w:spacing w:before="120" w:after="80"/>
        <w:rPr>
          <w:rFonts w:hint="eastAsia"/>
        </w:rPr>
      </w:pPr>
      <w:r>
        <w:rPr>
          <w:b/>
          <w:color w:val="173B4D"/>
          <w:sz w:val="23"/>
        </w:rPr>
        <w:t>7.3 Integridade e proteção de dados</w:t>
      </w:r>
    </w:p>
    <w:p w:rsidR="00081314" w:rsidRDefault="00F0304D">
      <w:pPr>
        <w:rPr>
          <w:rFonts w:hint="eastAsia"/>
        </w:rPr>
      </w:pPr>
      <w:r>
        <w:t>As ações devem observar as regras do Programa Nota Fiscal Paulista, as orientações da SEFAZ, as normas internas da Vocação e a legislação aplicável, inclusive de proteção de dad</w:t>
      </w:r>
      <w:r>
        <w:t>os pessoais. A participação do consumidor é voluntária, sendo vedados informação falsa, pressão indevida, cadastro sem consentimento, manipulação de registros ou qualquer mecanismo destinado a produzir resultados artificiais.</w:t>
      </w:r>
    </w:p>
    <w:p w:rsidR="00081314" w:rsidRDefault="00F0304D">
      <w:pPr>
        <w:spacing w:before="200" w:after="120"/>
        <w:rPr>
          <w:rFonts w:hint="eastAsia"/>
        </w:rPr>
      </w:pPr>
      <w:r>
        <w:rPr>
          <w:b/>
          <w:color w:val="173B4D"/>
          <w:sz w:val="28"/>
        </w:rPr>
        <w:t>8. Consolidação normativa e co</w:t>
      </w:r>
      <w:r>
        <w:rPr>
          <w:b/>
          <w:color w:val="173B4D"/>
          <w:sz w:val="28"/>
        </w:rPr>
        <w:t>nformidade trabalhista</w:t>
      </w:r>
    </w:p>
    <w:p w:rsidR="00081314" w:rsidRDefault="00F0304D">
      <w:pPr>
        <w:spacing w:after="120"/>
        <w:rPr>
          <w:rFonts w:hint="eastAsia"/>
        </w:rPr>
      </w:pPr>
      <w:r>
        <w:rPr>
          <w:b/>
          <w:color w:val="243746"/>
        </w:rPr>
        <w:t>8.1 Substituição das regras anteriores</w:t>
      </w:r>
    </w:p>
    <w:p w:rsidR="00081314" w:rsidRDefault="00F0304D">
      <w:pPr>
        <w:spacing w:after="120"/>
        <w:rPr>
          <w:rFonts w:hint="eastAsia"/>
        </w:rPr>
      </w:pPr>
      <w:r>
        <w:rPr>
          <w:color w:val="243746"/>
        </w:rPr>
        <w:lastRenderedPageBreak/>
        <w:t xml:space="preserve">A partir de 1º de outubro de 2026, esta Política constitui o normativo interno de referência da Vocação para disciplina, apuração, controle e pagamento das comissões e bonificações relacionadas </w:t>
      </w:r>
      <w:r>
        <w:rPr>
          <w:color w:val="243746"/>
        </w:rPr>
        <w:t>ao Programa Nota Fiscal Paulista. Para fatos geradores posteriores à sua vigência, substitui orientações, procedimentos, comunicações, práticas ou regras anteriormente adotadas sobre a matéria, tenham sido elas verbais, informais, comunicadas por e-mail, m</w:t>
      </w:r>
      <w:r>
        <w:rPr>
          <w:color w:val="243746"/>
        </w:rPr>
        <w:t>ensagem, documento interno ou qualquer outro meio.</w:t>
      </w:r>
    </w:p>
    <w:p w:rsidR="00081314" w:rsidRDefault="00F0304D">
      <w:pPr>
        <w:spacing w:after="120"/>
        <w:rPr>
          <w:rFonts w:hint="eastAsia"/>
        </w:rPr>
      </w:pPr>
      <w:r>
        <w:rPr>
          <w:color w:val="243746"/>
        </w:rPr>
        <w:t>A substituição prevista acima não prejudica direitos já constituídos nem autoriza redução salarial, renúncia a direitos legalmente assegurados ou alteração contratual lesiva. Situações e fatos geradores an</w:t>
      </w:r>
      <w:r>
        <w:rPr>
          <w:color w:val="243746"/>
        </w:rPr>
        <w:t>teriores à vigência desta Política serão tratados conforme as regras aplicáveis ao respectivo período e a legislação vigente.</w:t>
      </w:r>
    </w:p>
    <w:p w:rsidR="00081314" w:rsidRDefault="00F0304D">
      <w:pPr>
        <w:spacing w:after="120"/>
        <w:rPr>
          <w:rFonts w:hint="eastAsia"/>
        </w:rPr>
      </w:pPr>
      <w:r>
        <w:rPr>
          <w:b/>
          <w:color w:val="243746"/>
        </w:rPr>
        <w:t>8.2 Conformidade trabalhista</w:t>
      </w:r>
    </w:p>
    <w:p w:rsidR="00081314" w:rsidRDefault="00F0304D">
      <w:pPr>
        <w:spacing w:after="120"/>
        <w:rPr>
          <w:rFonts w:hint="eastAsia"/>
        </w:rPr>
      </w:pPr>
      <w:r>
        <w:rPr>
          <w:color w:val="243746"/>
        </w:rPr>
        <w:t xml:space="preserve">Nenhuma disposição desta Política será interpretada como renúncia a direitos trabalhistas legalmente </w:t>
      </w:r>
      <w:r>
        <w:rPr>
          <w:color w:val="243746"/>
        </w:rPr>
        <w:t>assegurados. Em caso de conflito entre esta Política, o contrato individual de trabalho, instrumento coletivo aplicável ou norma legal imperativa, deverá ser observada a disposição juridicamente prevalente.</w:t>
      </w:r>
    </w:p>
    <w:p w:rsidR="00081314" w:rsidRDefault="00F0304D">
      <w:pPr>
        <w:spacing w:after="120"/>
        <w:rPr>
          <w:rFonts w:hint="eastAsia"/>
        </w:rPr>
      </w:pPr>
      <w:r>
        <w:rPr>
          <w:color w:val="243746"/>
        </w:rPr>
        <w:t>As comissões serão processadas em folha com obser</w:t>
      </w:r>
      <w:r>
        <w:rPr>
          <w:color w:val="243746"/>
        </w:rPr>
        <w:t>vância de sua natureza salarial e dos encargos e reflexos legalmente aplicáveis. As bonificações institucionais serão tratadas como remuneração variável, conforme previsto nesta Política, sem prejuízo de enquadramento diverso formalmente validado pelo Jurí</w:t>
      </w:r>
      <w:r>
        <w:rPr>
          <w:color w:val="243746"/>
        </w:rPr>
        <w:t>dico/RH quando juridicamente cabível. A nomenclatura interna atribuída a qualquer parcela não poderá ser utilizada para afastar encargos, reflexos ou direitos legalmente incidentes.</w:t>
      </w:r>
    </w:p>
    <w:p w:rsidR="00081314" w:rsidRDefault="00F0304D">
      <w:pPr>
        <w:spacing w:after="120"/>
        <w:rPr>
          <w:rFonts w:hint="eastAsia"/>
        </w:rPr>
      </w:pPr>
      <w:r>
        <w:rPr>
          <w:color w:val="243746"/>
        </w:rPr>
        <w:t>Base legal de referência: Constituição Federal, art. 7º, VI, VII, XIII e X</w:t>
      </w:r>
      <w:r>
        <w:rPr>
          <w:color w:val="243746"/>
        </w:rPr>
        <w:t>VI; CLT, arts. 2º, 3º, 4º, 9º, 58, 59, 457, 459, 466 e 468; Súmulas nº 27 e nº 51 do Tribunal Superior do Trabalho (TST), sem prejuízo do instrumento coletivo aplicável e de outras normas legais ou contratuais incidentes.</w:t>
      </w:r>
    </w:p>
    <w:p w:rsidR="00081314" w:rsidRDefault="00F0304D">
      <w:pPr>
        <w:keepNext/>
        <w:spacing w:before="200" w:after="80"/>
        <w:rPr>
          <w:rFonts w:hint="eastAsia"/>
        </w:rPr>
      </w:pPr>
      <w:r>
        <w:rPr>
          <w:b/>
          <w:color w:val="173B4D"/>
          <w:sz w:val="30"/>
        </w:rPr>
        <w:t>Aprovação institucional</w:t>
      </w:r>
    </w:p>
    <w:p w:rsidR="00081314" w:rsidRDefault="00F0304D">
      <w:pPr>
        <w:rPr>
          <w:rFonts w:hint="eastAsia"/>
        </w:rPr>
      </w:pPr>
      <w:r>
        <w:rPr>
          <w:color w:val="243746"/>
        </w:rPr>
        <w:t>A assinatu</w:t>
      </w:r>
      <w:r>
        <w:rPr>
          <w:color w:val="243746"/>
        </w:rPr>
        <w:t>ra abaixo formaliza a aprovação da Versão 1 desta Política Integrada de Comissionamento e Bonificação do Programa Nota Fiscal Paulista, com vigência a partir de 1º de outubro de 2026.</w:t>
      </w:r>
    </w:p>
    <w:tbl>
      <w:tblPr>
        <w:tblW w:w="0" w:type="auto"/>
        <w:jc w:val="center"/>
        <w:tblLayout w:type="fixed"/>
        <w:tblLook w:val="04A0" w:firstRow="1" w:lastRow="0" w:firstColumn="1" w:lastColumn="0" w:noHBand="0" w:noVBand="1"/>
      </w:tblPr>
      <w:tblGrid>
        <w:gridCol w:w="2880"/>
        <w:gridCol w:w="4608"/>
        <w:gridCol w:w="2016"/>
      </w:tblGrid>
      <w:tr w:rsidR="00081314">
        <w:trPr>
          <w:cantSplit/>
          <w:tblHeader/>
          <w:jc w:val="center"/>
        </w:trPr>
        <w:tc>
          <w:tcPr>
            <w:tcW w:w="2880" w:type="dxa"/>
            <w:shd w:val="clear" w:color="auto" w:fill="173B4D"/>
            <w:tcMar>
              <w:top w:w="90" w:type="dxa"/>
              <w:left w:w="110" w:type="dxa"/>
              <w:bottom w:w="90" w:type="dxa"/>
              <w:right w:w="110" w:type="dxa"/>
            </w:tcMar>
            <w:vAlign w:val="center"/>
          </w:tcPr>
          <w:p w:rsidR="00081314" w:rsidRDefault="00F0304D">
            <w:pPr>
              <w:spacing w:after="0"/>
              <w:jc w:val="center"/>
              <w:rPr>
                <w:rFonts w:hint="eastAsia"/>
              </w:rPr>
            </w:pPr>
            <w:r>
              <w:rPr>
                <w:b/>
                <w:color w:val="FFFFFF"/>
                <w:sz w:val="18"/>
              </w:rPr>
              <w:t>Instância</w:t>
            </w:r>
          </w:p>
        </w:tc>
        <w:tc>
          <w:tcPr>
            <w:tcW w:w="4608" w:type="dxa"/>
            <w:shd w:val="clear" w:color="auto" w:fill="173B4D"/>
            <w:tcMar>
              <w:top w:w="90" w:type="dxa"/>
              <w:left w:w="110" w:type="dxa"/>
              <w:bottom w:w="90" w:type="dxa"/>
              <w:right w:w="110" w:type="dxa"/>
            </w:tcMar>
            <w:vAlign w:val="center"/>
          </w:tcPr>
          <w:p w:rsidR="00081314" w:rsidRDefault="00F0304D">
            <w:pPr>
              <w:spacing w:after="0"/>
              <w:jc w:val="center"/>
              <w:rPr>
                <w:rFonts w:hint="eastAsia"/>
              </w:rPr>
            </w:pPr>
            <w:r>
              <w:rPr>
                <w:b/>
                <w:color w:val="FFFFFF"/>
                <w:sz w:val="18"/>
              </w:rPr>
              <w:t>Assinatura</w:t>
            </w:r>
          </w:p>
        </w:tc>
        <w:tc>
          <w:tcPr>
            <w:tcW w:w="2016" w:type="dxa"/>
            <w:shd w:val="clear" w:color="auto" w:fill="173B4D"/>
            <w:tcMar>
              <w:top w:w="90" w:type="dxa"/>
              <w:left w:w="110" w:type="dxa"/>
              <w:bottom w:w="90" w:type="dxa"/>
              <w:right w:w="110" w:type="dxa"/>
            </w:tcMar>
            <w:vAlign w:val="center"/>
          </w:tcPr>
          <w:p w:rsidR="00081314" w:rsidRDefault="00F0304D">
            <w:pPr>
              <w:spacing w:after="0"/>
              <w:jc w:val="center"/>
              <w:rPr>
                <w:rFonts w:hint="eastAsia"/>
              </w:rPr>
            </w:pPr>
            <w:r>
              <w:rPr>
                <w:b/>
                <w:color w:val="FFFFFF"/>
                <w:sz w:val="18"/>
              </w:rPr>
              <w:t>Data</w:t>
            </w:r>
          </w:p>
        </w:tc>
      </w:tr>
      <w:tr w:rsidR="00081314">
        <w:trPr>
          <w:cantSplit/>
          <w:jc w:val="center"/>
        </w:trPr>
        <w:tc>
          <w:tcPr>
            <w:tcW w:w="2880"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8"/>
              </w:rPr>
              <w:t>Diretoria</w:t>
            </w:r>
          </w:p>
        </w:tc>
        <w:tc>
          <w:tcPr>
            <w:tcW w:w="4608"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8"/>
              </w:rPr>
              <w:t>________________________________</w:t>
            </w:r>
          </w:p>
        </w:tc>
        <w:tc>
          <w:tcPr>
            <w:tcW w:w="2016"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8"/>
              </w:rPr>
              <w:t>__</w:t>
            </w:r>
            <w:r>
              <w:rPr>
                <w:sz w:val="18"/>
              </w:rPr>
              <w:t>__/____/________</w:t>
            </w:r>
          </w:p>
        </w:tc>
      </w:tr>
      <w:tr w:rsidR="00081314">
        <w:trPr>
          <w:cantSplit/>
          <w:jc w:val="center"/>
        </w:trPr>
        <w:tc>
          <w:tcPr>
            <w:tcW w:w="2880"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8"/>
              </w:rPr>
              <w:t>Responsável pela área</w:t>
            </w:r>
          </w:p>
        </w:tc>
        <w:tc>
          <w:tcPr>
            <w:tcW w:w="4608"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8"/>
              </w:rPr>
              <w:t>________________________________</w:t>
            </w:r>
          </w:p>
        </w:tc>
        <w:tc>
          <w:tcPr>
            <w:tcW w:w="2016"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8"/>
              </w:rPr>
              <w:t>____/____/________</w:t>
            </w:r>
          </w:p>
        </w:tc>
      </w:tr>
      <w:tr w:rsidR="00081314">
        <w:trPr>
          <w:cantSplit/>
          <w:jc w:val="center"/>
        </w:trPr>
        <w:tc>
          <w:tcPr>
            <w:tcW w:w="2880"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8"/>
              </w:rPr>
              <w:t>RH / Financeiro</w:t>
            </w:r>
          </w:p>
        </w:tc>
        <w:tc>
          <w:tcPr>
            <w:tcW w:w="4608"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8"/>
              </w:rPr>
              <w:t>________________________________</w:t>
            </w:r>
          </w:p>
        </w:tc>
        <w:tc>
          <w:tcPr>
            <w:tcW w:w="2016"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8"/>
              </w:rPr>
              <w:t>____/____/________</w:t>
            </w:r>
          </w:p>
        </w:tc>
      </w:tr>
    </w:tbl>
    <w:p w:rsidR="00081314" w:rsidRDefault="00081314">
      <w:pPr>
        <w:spacing w:after="20"/>
        <w:rPr>
          <w:rFonts w:hint="eastAsia"/>
        </w:rPr>
      </w:pPr>
    </w:p>
    <w:p w:rsidR="00081314" w:rsidRDefault="00F0304D">
      <w:pPr>
        <w:keepNext/>
        <w:pageBreakBefore/>
        <w:spacing w:before="200" w:after="80"/>
        <w:rPr>
          <w:rFonts w:hint="eastAsia"/>
        </w:rPr>
      </w:pPr>
      <w:r>
        <w:rPr>
          <w:color w:val="243746"/>
        </w:rPr>
        <w:lastRenderedPageBreak/>
        <w:t>Termo de Ciência</w:t>
      </w:r>
    </w:p>
    <w:p w:rsidR="00081314" w:rsidRDefault="00F0304D">
      <w:pPr>
        <w:rPr>
          <w:rFonts w:hint="eastAsia"/>
        </w:rPr>
      </w:pPr>
      <w:r>
        <w:rPr>
          <w:color w:val="243746"/>
        </w:rPr>
        <w:t xml:space="preserve">Declaro que recebi, li e compreendi a Política Integrada de Comissionamento </w:t>
      </w:r>
      <w:r>
        <w:rPr>
          <w:color w:val="243746"/>
        </w:rPr>
        <w:t>e Bonificação do Programa Nota Fiscal Paulista da Vocação e estou ciente de suas regras, controles, critérios de apuração e responsabilidades. A assinatura deste Termo comprova ciência e recebimento do documento, não constituindo renúncia a direitos trabal</w:t>
      </w:r>
      <w:r>
        <w:rPr>
          <w:color w:val="243746"/>
        </w:rPr>
        <w:t>histas legalmente assegurados.</w:t>
      </w:r>
    </w:p>
    <w:tbl>
      <w:tblPr>
        <w:tblW w:w="0" w:type="auto"/>
        <w:jc w:val="center"/>
        <w:tblLayout w:type="fixed"/>
        <w:tblLook w:val="04A0" w:firstRow="1" w:lastRow="0" w:firstColumn="1" w:lastColumn="0" w:noHBand="0" w:noVBand="1"/>
      </w:tblPr>
      <w:tblGrid>
        <w:gridCol w:w="2304"/>
        <w:gridCol w:w="7200"/>
      </w:tblGrid>
      <w:tr w:rsidR="00081314">
        <w:trPr>
          <w:cantSplit/>
          <w:tblHeader/>
          <w:jc w:val="center"/>
        </w:trPr>
        <w:tc>
          <w:tcPr>
            <w:tcW w:w="2304" w:type="dxa"/>
            <w:shd w:val="clear" w:color="auto" w:fill="173B4D"/>
            <w:tcMar>
              <w:top w:w="90" w:type="dxa"/>
              <w:left w:w="110" w:type="dxa"/>
              <w:bottom w:w="90" w:type="dxa"/>
              <w:right w:w="110" w:type="dxa"/>
            </w:tcMar>
            <w:vAlign w:val="center"/>
          </w:tcPr>
          <w:p w:rsidR="00081314" w:rsidRDefault="00F0304D">
            <w:pPr>
              <w:spacing w:after="0"/>
              <w:jc w:val="center"/>
              <w:rPr>
                <w:rFonts w:hint="eastAsia"/>
              </w:rPr>
            </w:pPr>
            <w:r>
              <w:rPr>
                <w:b/>
                <w:color w:val="FFFFFF"/>
                <w:sz w:val="18"/>
              </w:rPr>
              <w:t>Campo</w:t>
            </w:r>
          </w:p>
        </w:tc>
        <w:tc>
          <w:tcPr>
            <w:tcW w:w="7200" w:type="dxa"/>
            <w:shd w:val="clear" w:color="auto" w:fill="173B4D"/>
            <w:tcMar>
              <w:top w:w="90" w:type="dxa"/>
              <w:left w:w="110" w:type="dxa"/>
              <w:bottom w:w="90" w:type="dxa"/>
              <w:right w:w="110" w:type="dxa"/>
            </w:tcMar>
            <w:vAlign w:val="center"/>
          </w:tcPr>
          <w:p w:rsidR="00081314" w:rsidRDefault="00F0304D">
            <w:pPr>
              <w:spacing w:after="0"/>
              <w:jc w:val="center"/>
              <w:rPr>
                <w:rFonts w:hint="eastAsia"/>
              </w:rPr>
            </w:pPr>
            <w:r>
              <w:rPr>
                <w:b/>
                <w:color w:val="FFFFFF"/>
                <w:sz w:val="18"/>
              </w:rPr>
              <w:t>Preenchimento</w:t>
            </w:r>
          </w:p>
        </w:tc>
      </w:tr>
      <w:tr w:rsidR="00081314">
        <w:trPr>
          <w:cantSplit/>
          <w:jc w:val="center"/>
        </w:trPr>
        <w:tc>
          <w:tcPr>
            <w:tcW w:w="2304"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8"/>
              </w:rPr>
              <w:t>Nome</w:t>
            </w:r>
          </w:p>
        </w:tc>
        <w:tc>
          <w:tcPr>
            <w:tcW w:w="7200"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8"/>
              </w:rPr>
              <w:t>__________________________________________________________________</w:t>
            </w:r>
          </w:p>
        </w:tc>
      </w:tr>
      <w:tr w:rsidR="00081314">
        <w:trPr>
          <w:cantSplit/>
          <w:jc w:val="center"/>
        </w:trPr>
        <w:tc>
          <w:tcPr>
            <w:tcW w:w="2304"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8"/>
              </w:rPr>
              <w:t>Cargo / função</w:t>
            </w:r>
          </w:p>
        </w:tc>
        <w:tc>
          <w:tcPr>
            <w:tcW w:w="7200"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8"/>
              </w:rPr>
              <w:t>__________________________________________________________________</w:t>
            </w:r>
          </w:p>
        </w:tc>
      </w:tr>
      <w:tr w:rsidR="00081314">
        <w:trPr>
          <w:cantSplit/>
          <w:jc w:val="center"/>
        </w:trPr>
        <w:tc>
          <w:tcPr>
            <w:tcW w:w="2304"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8"/>
              </w:rPr>
              <w:t>Matrícula</w:t>
            </w:r>
          </w:p>
        </w:tc>
        <w:tc>
          <w:tcPr>
            <w:tcW w:w="7200"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8"/>
              </w:rPr>
              <w:t>__________________________________________________________________</w:t>
            </w:r>
          </w:p>
        </w:tc>
      </w:tr>
      <w:tr w:rsidR="00081314">
        <w:trPr>
          <w:cantSplit/>
          <w:jc w:val="center"/>
        </w:trPr>
        <w:tc>
          <w:tcPr>
            <w:tcW w:w="2304"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8"/>
              </w:rPr>
              <w:t>Data</w:t>
            </w:r>
          </w:p>
        </w:tc>
        <w:tc>
          <w:tcPr>
            <w:tcW w:w="7200"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8"/>
              </w:rPr>
              <w:t>____/____/________</w:t>
            </w:r>
          </w:p>
        </w:tc>
      </w:tr>
      <w:tr w:rsidR="00081314">
        <w:trPr>
          <w:cantSplit/>
          <w:jc w:val="center"/>
        </w:trPr>
        <w:tc>
          <w:tcPr>
            <w:tcW w:w="2304"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8"/>
              </w:rPr>
              <w:t>Assinatura</w:t>
            </w:r>
          </w:p>
        </w:tc>
        <w:tc>
          <w:tcPr>
            <w:tcW w:w="7200" w:type="dxa"/>
            <w:shd w:val="clear" w:color="auto" w:fill="FFFFFF"/>
            <w:tcMar>
              <w:top w:w="85" w:type="dxa"/>
              <w:left w:w="110" w:type="dxa"/>
              <w:bottom w:w="85" w:type="dxa"/>
              <w:right w:w="110" w:type="dxa"/>
            </w:tcMar>
            <w:vAlign w:val="center"/>
          </w:tcPr>
          <w:p w:rsidR="00081314" w:rsidRDefault="00F0304D">
            <w:pPr>
              <w:spacing w:after="0" w:line="240" w:lineRule="auto"/>
              <w:rPr>
                <w:rFonts w:hint="eastAsia"/>
              </w:rPr>
            </w:pPr>
            <w:r>
              <w:rPr>
                <w:sz w:val="18"/>
              </w:rPr>
              <w:t>__________________________________________________________________</w:t>
            </w:r>
          </w:p>
        </w:tc>
      </w:tr>
    </w:tbl>
    <w:p w:rsidR="00081314" w:rsidRDefault="00081314">
      <w:pPr>
        <w:spacing w:after="20"/>
        <w:rPr>
          <w:rFonts w:hint="eastAsia"/>
        </w:rPr>
      </w:pPr>
    </w:p>
    <w:tbl>
      <w:tblPr>
        <w:tblW w:w="0" w:type="auto"/>
        <w:jc w:val="center"/>
        <w:tblLayout w:type="fixed"/>
        <w:tblLook w:val="04A0" w:firstRow="1" w:lastRow="0" w:firstColumn="1" w:lastColumn="0" w:noHBand="0" w:noVBand="1"/>
      </w:tblPr>
      <w:tblGrid>
        <w:gridCol w:w="4997"/>
        <w:gridCol w:w="4997"/>
      </w:tblGrid>
      <w:tr w:rsidR="00081314">
        <w:trPr>
          <w:jc w:val="center"/>
        </w:trPr>
        <w:tc>
          <w:tcPr>
            <w:tcW w:w="4997" w:type="dxa"/>
            <w:shd w:val="clear" w:color="auto" w:fill="7AB800"/>
            <w:tcMar>
              <w:top w:w="80" w:type="dxa"/>
              <w:left w:w="20" w:type="dxa"/>
              <w:bottom w:w="80" w:type="dxa"/>
              <w:right w:w="20" w:type="dxa"/>
            </w:tcMar>
          </w:tcPr>
          <w:p w:rsidR="00081314" w:rsidRDefault="00081314">
            <w:pPr>
              <w:rPr>
                <w:rFonts w:hint="eastAsia"/>
              </w:rPr>
            </w:pPr>
          </w:p>
        </w:tc>
        <w:tc>
          <w:tcPr>
            <w:tcW w:w="4997" w:type="dxa"/>
            <w:shd w:val="clear" w:color="auto" w:fill="F5F7F8"/>
            <w:tcMar>
              <w:top w:w="100" w:type="dxa"/>
              <w:left w:w="140" w:type="dxa"/>
              <w:bottom w:w="100" w:type="dxa"/>
              <w:right w:w="140" w:type="dxa"/>
            </w:tcMar>
          </w:tcPr>
          <w:p w:rsidR="00081314" w:rsidRDefault="00F0304D">
            <w:pPr>
              <w:spacing w:after="40"/>
              <w:rPr>
                <w:rFonts w:hint="eastAsia"/>
              </w:rPr>
            </w:pPr>
            <w:r>
              <w:rPr>
                <w:b/>
                <w:color w:val="173B4D"/>
                <w:sz w:val="17"/>
              </w:rPr>
              <w:t>ARQUIVAMENTO</w:t>
            </w:r>
          </w:p>
          <w:p w:rsidR="00081314" w:rsidRDefault="00F0304D">
            <w:pPr>
              <w:spacing w:after="0" w:line="247" w:lineRule="auto"/>
              <w:rPr>
                <w:rFonts w:hint="eastAsia"/>
              </w:rPr>
            </w:pPr>
            <w:r>
              <w:rPr>
                <w:sz w:val="19"/>
              </w:rPr>
              <w:t xml:space="preserve">Este Termo deverá ser arquivado pelo RH no prontuário funcional do </w:t>
            </w:r>
            <w:r>
              <w:rPr>
                <w:sz w:val="19"/>
              </w:rPr>
              <w:t>colaborador.</w:t>
            </w:r>
          </w:p>
        </w:tc>
      </w:tr>
    </w:tbl>
    <w:p w:rsidR="00081314" w:rsidRDefault="00081314">
      <w:pPr>
        <w:spacing w:after="20"/>
        <w:rPr>
          <w:rFonts w:hint="eastAsia"/>
        </w:rPr>
      </w:pPr>
    </w:p>
    <w:sectPr w:rsidR="00081314" w:rsidSect="00034616">
      <w:footerReference w:type="default" r:id="rId9"/>
      <w:pgSz w:w="12240" w:h="15840"/>
      <w:pgMar w:top="893" w:right="1123" w:bottom="792" w:left="1123"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304D" w:rsidRDefault="00F0304D">
      <w:pPr>
        <w:spacing w:after="0" w:line="240" w:lineRule="auto"/>
        <w:rPr>
          <w:rFonts w:hint="eastAsia"/>
        </w:rPr>
      </w:pPr>
      <w:r>
        <w:separator/>
      </w:r>
    </w:p>
  </w:endnote>
  <w:endnote w:type="continuationSeparator" w:id="0">
    <w:p w:rsidR="00F0304D" w:rsidRDefault="00F0304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1314" w:rsidRDefault="00F0304D">
    <w:pPr>
      <w:pStyle w:val="Rodap"/>
      <w:rPr>
        <w:rFonts w:hint="eastAsia"/>
      </w:rPr>
    </w:pPr>
    <w:r>
      <w:rPr>
        <w:color w:val="5E6B73"/>
        <w:sz w:val="15"/>
      </w:rPr>
      <w:t>Vocação | Política Integrada de Comissionamento e Bonificação - Programa Nota Fiscal Paulista | Versão 3</w:t>
    </w:r>
  </w:p>
  <w:p w:rsidR="00081314" w:rsidRDefault="00F0304D">
    <w:pPr>
      <w:jc w:val="right"/>
      <w:rPr>
        <w:rFonts w:hint="eastAsia"/>
      </w:rPr>
    </w:pPr>
    <w:r>
      <w:rPr>
        <w:color w:val="5E6B73"/>
        <w:sz w:val="16"/>
      </w:rPr>
      <w:t xml:space="preserve">Página </w:t>
    </w:r>
    <w:r>
      <w:rPr>
        <w:color w:val="5E6B73"/>
        <w:sz w:val="16"/>
      </w:rPr>
      <w:fldChar w:fldCharType="begin"/>
    </w:r>
    <w:r>
      <w:rPr>
        <w:color w:val="5E6B73"/>
        <w:sz w:val="16"/>
      </w:rPr>
      <w:instrText>PAGE</w:instrText>
    </w:r>
    <w:r w:rsidR="00EB3E11">
      <w:rPr>
        <w:rFonts w:hint="eastAsia"/>
        <w:color w:val="5E6B73"/>
        <w:sz w:val="16"/>
      </w:rPr>
      <w:fldChar w:fldCharType="separate"/>
    </w:r>
    <w:r w:rsidR="00EB3E11">
      <w:rPr>
        <w:rFonts w:hint="eastAsia"/>
        <w:noProof/>
        <w:color w:val="5E6B73"/>
        <w:sz w:val="16"/>
      </w:rPr>
      <w:t>9</w:t>
    </w:r>
    <w:r>
      <w:rPr>
        <w:color w:val="5E6B73"/>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304D" w:rsidRDefault="00F0304D">
      <w:pPr>
        <w:spacing w:after="0" w:line="240" w:lineRule="auto"/>
        <w:rPr>
          <w:rFonts w:hint="eastAsia"/>
        </w:rPr>
      </w:pPr>
      <w:r>
        <w:separator/>
      </w:r>
    </w:p>
  </w:footnote>
  <w:footnote w:type="continuationSeparator" w:id="0">
    <w:p w:rsidR="00F0304D" w:rsidRDefault="00F0304D">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81314"/>
    <w:rsid w:val="0015074B"/>
    <w:rsid w:val="0029639D"/>
    <w:rsid w:val="00326F90"/>
    <w:rsid w:val="00AA1D8D"/>
    <w:rsid w:val="00B47730"/>
    <w:rsid w:val="00CB0664"/>
    <w:rsid w:val="00EB3E11"/>
    <w:rsid w:val="00F030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695735B-CA36-4B95-8489-0A842F55B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9" w:lineRule="auto"/>
    </w:pPr>
    <w:rPr>
      <w:rFonts w:ascii="Aptos" w:hAnsi="Aptos"/>
      <w:color w:val="24343D"/>
      <w:sz w:val="21"/>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rPr>
      <w:sz w:val="20"/>
    </w:rPr>
  </w:style>
  <w:style w:type="paragraph" w:styleId="Commarcadores2">
    <w:name w:val="List Bullet 2"/>
    <w:basedOn w:val="Normal"/>
    <w:uiPriority w:val="99"/>
    <w:unhideWhenUsed/>
    <w:rsid w:val="00326F90"/>
    <w:pPr>
      <w:numPr>
        <w:numId w:val="2"/>
      </w:numPr>
      <w:contextualSpacing/>
    </w:pPr>
    <w:rPr>
      <w:sz w:val="20"/>
    </w:r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EEA298-8B76-4B44-8F33-583F3FAE6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3029</Words>
  <Characters>16361</Characters>
  <Application>Microsoft Office Word</Application>
  <DocSecurity>0</DocSecurity>
  <Lines>136</Lines>
  <Paragraphs>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Política Integrada de Comissionamento e Bonificação - Programa Nota Fiscal Paulista - Versão 3</vt:lpstr>
      <vt:lpstr/>
    </vt:vector>
  </TitlesOfParts>
  <Manager/>
  <Company/>
  <LinksUpToDate>false</LinksUpToDate>
  <CharactersWithSpaces>19352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Integrada de Comissionamento e Bonificação - Programa Nota Fiscal Paulista - Versão 3</dc:title>
  <dc:subject>Vocação - NFP</dc:subject>
  <dc:creator>Vocação</dc:creator>
  <cp:keywords>Vocação, Nota Fiscal Paulista, comissão, bonificação, automatização, cadastro</cp:keywords>
  <dc:description>generated by python-docx</dc:description>
  <cp:lastModifiedBy>Josmael Castanho da Silva</cp:lastModifiedBy>
  <cp:revision>2</cp:revision>
  <dcterms:created xsi:type="dcterms:W3CDTF">2026-10-02T19:07:00Z</dcterms:created>
  <dcterms:modified xsi:type="dcterms:W3CDTF">2026-10-02T19:07:00Z</dcterms:modified>
  <cp:category/>
</cp:coreProperties>
</file>