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Simple Financial Planner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</w:rPr>
        <w:t>The Simple Financial Planner application allows users to determine their retirement income based on a variety of assumptions, such as funds available today, asset allocation strategy, inflation rate, retirement age, etc.</w:t>
      </w:r>
    </w:p>
    <w:p>
      <w:pPr>
        <w:pStyle w:val="Heading 2"/>
        <w:bidi w:val="0"/>
      </w:pPr>
      <w:r>
        <w:rPr>
          <w:rtl w:val="0"/>
        </w:rPr>
        <w:t>Versions</w:t>
      </w:r>
    </w:p>
    <w:p>
      <w:pPr>
        <w:pStyle w:val="Body"/>
        <w:bidi w:val="0"/>
      </w:pPr>
      <w:r>
        <w:rPr>
          <w:rtl w:val="0"/>
        </w:rPr>
        <w:t xml:space="preserve">Version 1 is a simple demo app which will not implement any of the concepts expected in a production app: security, user &amp; user settings, nor data persistence (tbd). </w:t>
      </w:r>
    </w:p>
    <w:p>
      <w:pPr>
        <w:pStyle w:val="Body"/>
        <w:bidi w:val="0"/>
      </w:pPr>
      <w:r>
        <w:rPr>
          <w:rtl w:val="0"/>
        </w:rPr>
        <w:t xml:space="preserve">The main entity used in Version 1 is a </w:t>
      </w:r>
      <w:r>
        <w:rPr>
          <w:b w:val="1"/>
          <w:bCs w:val="1"/>
          <w:rtl w:val="0"/>
          <w:lang w:val="en-US"/>
        </w:rPr>
        <w:t xml:space="preserve">Financial Plan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i w:val="1"/>
          <w:iCs w:val="1"/>
          <w:rtl w:val="0"/>
          <w:lang w:val="en-US"/>
        </w:rPr>
        <w:t>FinPlan</w:t>
      </w:r>
      <w:r>
        <w:rPr>
          <w:b w:val="1"/>
          <w:bCs w:val="1"/>
          <w:i w:val="1"/>
          <w:iCs w:val="1"/>
          <w:rtl w:val="0"/>
          <w:lang w:val="en-US"/>
        </w:rPr>
        <w:t>”</w:t>
      </w:r>
      <w:r>
        <w:rPr>
          <w:b w:val="1"/>
          <w:bCs w:val="1"/>
          <w:i w:val="1"/>
          <w:iCs w:val="1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>a set of assumptions about the user</w:t>
      </w:r>
      <w:r>
        <w:rPr>
          <w:rtl w:val="0"/>
        </w:rPr>
        <w:t>’</w:t>
      </w:r>
      <w:r>
        <w:rPr>
          <w:rtl w:val="0"/>
        </w:rPr>
        <w:t>s financial state and goals - and associated results. To the extent the client (mobile app) can store the ID (</w:t>
      </w:r>
      <w:r>
        <w:rPr>
          <w:i w:val="1"/>
          <w:iCs w:val="1"/>
          <w:rtl w:val="0"/>
          <w:lang w:val="en-US"/>
        </w:rPr>
        <w:t>FinPlanID</w:t>
      </w:r>
      <w:r>
        <w:rPr>
          <w:rtl w:val="0"/>
        </w:rPr>
        <w:t xml:space="preserve">) of one or more FinPlans the user will be able to view and edit FinPlans created in  previous sessions. </w:t>
      </w:r>
      <w:r>
        <w:rPr>
          <w:i w:val="1"/>
          <w:iCs w:val="1"/>
          <w:rtl w:val="0"/>
          <w:lang w:val="en-US"/>
        </w:rPr>
        <w:t>FinPlanID</w:t>
      </w:r>
      <w:r>
        <w:rPr>
          <w:rtl w:val="0"/>
        </w:rPr>
        <w:t xml:space="preserve"> is, in Version 1, the only way to access a Financial Plan</w:t>
      </w:r>
    </w:p>
    <w:p>
      <w:pPr>
        <w:pStyle w:val="Heading 2"/>
        <w:bidi w:val="0"/>
      </w:pPr>
      <w:r>
        <w:rPr>
          <w:rtl w:val="0"/>
        </w:rPr>
        <w:t>Features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A FinPlan contains phases, with different investment strategies: e.g. contribution/withdrawal, asset allocation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Within a phase, the user specifies asset allocation percentage among: Stocks, Bonds, T-Bills and Cash. The user also sets NetContribution: Contribution/Withdrawal if positive/negative number. User can also select whether the withdrawal amount will be computed by Monte-Carlo simulation. More than one phase can set this flag, but the amount will be common for these phases. See Usage Example below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The Simple Financial Planner has the historical statistical variables for the 4 types of assets 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Monte-Carlo simulation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historical return rates for various investment styles to feed the Monte Carlo simulation</w:t>
      </w:r>
    </w:p>
    <w:p>
      <w:pPr>
        <w:pStyle w:val="Heading"/>
        <w:bidi w:val="0"/>
      </w:pPr>
      <w:r>
        <w:rPr>
          <w:rtl w:val="0"/>
        </w:rPr>
        <w:t>API / URL Routes</w:t>
      </w:r>
    </w:p>
    <w:p>
      <w:pPr>
        <w:pStyle w:val="Body"/>
        <w:bidi w:val="0"/>
      </w:pPr>
      <w:r>
        <w:rPr>
          <w:rtl w:val="0"/>
        </w:rPr>
        <w:t>The functionality provided by the FinPlan app is: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Create: a new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View an existing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Edit an existing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Delete an existing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Run / compute a given scenario</w:t>
      </w:r>
    </w:p>
    <w:p>
      <w:pPr>
        <w:pStyle w:val="Body"/>
        <w:bidi w:val="0"/>
      </w:pPr>
      <w:r>
        <w:rPr>
          <w:rtl w:val="0"/>
        </w:rPr>
        <w:t>The URL Routes are:</w:t>
      </w:r>
    </w:p>
    <w:tbl>
      <w:tblPr>
        <w:tblW w:w="936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HTTP Method</w:t>
            </w:r>
          </w:p>
        </w:tc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URI</w:t>
            </w:r>
          </w:p>
        </w:tc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Action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4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</w:t>
            </w:r>
          </w:p>
        </w:tc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Retrieve list of FinPlans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POST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5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Create a new FinPlan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6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View a FinPlan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PUT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7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 a FinPlan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8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 a FinPlan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9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/run/[finplan_id/compute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Compute a FinPlan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FinPlan</w:t>
      </w:r>
    </w:p>
    <w:p>
      <w:pPr>
        <w:pStyle w:val="Heading 2"/>
        <w:bidi w:val="0"/>
      </w:pPr>
      <w:r>
        <w:rPr>
          <w:rtl w:val="0"/>
        </w:rPr>
        <w:t>Create</w:t>
      </w:r>
    </w:p>
    <w:p>
      <w:pPr>
        <w:pStyle w:val="Body"/>
        <w:bidi w:val="0"/>
      </w:pPr>
      <w:r>
        <w:rPr>
          <w:rtl w:val="0"/>
          <w:lang w:val="en-US"/>
        </w:rPr>
        <w:t>A FinPlan CREATE operation must have the following parameters: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Title: name - String type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Description - String type. (e.g. to contrast it to other FinPlans)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UserName - String type - Name of the user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Email - String type - </w:t>
      </w:r>
      <w:r>
        <w:rPr>
          <w:rtl w:val="0"/>
        </w:rPr>
        <w:t>User Email</w:t>
      </w:r>
    </w:p>
    <w:p>
      <w:pPr>
        <w:pStyle w:val="Bullet"/>
        <w:bidi w:val="0"/>
      </w:pPr>
      <w:r>
        <w:rPr>
          <w:rtl w:val="0"/>
          <w:lang w:val="en-US"/>
        </w:rPr>
        <w:t>The Response will contain the above parameters PLUS: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FinPlan_ID: ID - this auto_generated by the server, and is the parameter to be used for any subsequent access to the 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HasResult - Boolean - False by default - indicates whether the scenario was run and includes the results. Any Update operation will set HasResult to False</w:t>
      </w:r>
    </w:p>
    <w:p>
      <w:pPr>
        <w:pStyle w:val="Heading 2"/>
        <w:bidi w:val="0"/>
      </w:pPr>
      <w:r>
        <w:rPr>
          <w:rtl w:val="0"/>
        </w:rPr>
        <w:t>General Parameters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Phase Parameters</w:t>
      </w:r>
    </w:p>
    <w:tbl>
      <w:tblPr>
        <w:tblW w:w="936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Phase Parameter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Type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Default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Name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Name 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StartAge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Starting age for this phase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EndAge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End age for this phase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NetContribution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Yearly contribution/withdrawal if positive/negative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Value is ignored if ToCompute flag is set to True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ToCompute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Flag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if True: NetContribution amount will be computed by Monte-Carlo simulations</w:t>
            </w:r>
          </w:p>
          <w:p>
            <w:pPr>
              <w:pStyle w:val="Table Style 2"/>
              <w:bidi w:val="0"/>
            </w:pPr>
            <w:r>
              <w:t>if False: NetContribution value will be used for computations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Portfolio</w:t>
              <w:tab/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Dict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Dict containing asset allocation percentages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Example:</w:t>
            </w:r>
          </w:p>
          <w:p>
            <w:pPr>
              <w:pStyle w:val="Free Form"/>
              <w:bidi w:val="0"/>
              <w:spacing w:after="0" w:line="240" w:lineRule="auto"/>
              <w:ind w:left="0" w:right="0" w:firstLine="0"/>
              <w:jc w:val="left"/>
              <w:rPr>
                <w:rFonts w:ascii="Monaco" w:cs="Monaco" w:hAnsi="Monaco" w:eastAsia="Monaco"/>
                <w:color w:val="000000"/>
                <w:rtl w:val="0"/>
              </w:rPr>
            </w:pPr>
            <w:r>
              <w:rPr>
                <w:rFonts w:ascii="Monaco"/>
                <w:color w:val="000000"/>
                <w:rtl w:val="0"/>
              </w:rPr>
              <w:t xml:space="preserve">            </w:t>
            </w:r>
            <w:r>
              <w:rPr>
                <w:rFonts w:ascii="Monaco"/>
                <w:color w:val="00b400"/>
                <w:rtl w:val="0"/>
                <w:lang w:val="fr-FR"/>
              </w:rPr>
              <w:t>'</w:t>
            </w:r>
            <w:r>
              <w:rPr>
                <w:rFonts w:ascii="Monaco"/>
                <w:color w:val="00b400"/>
                <w:u w:val="single"/>
                <w:rtl w:val="0"/>
              </w:rPr>
              <w:t>Portfolio</w:t>
            </w:r>
            <w:r>
              <w:rPr>
                <w:rFonts w:ascii="Monaco"/>
                <w:color w:val="00b400"/>
                <w:rtl w:val="0"/>
                <w:lang w:val="fr-FR"/>
              </w:rPr>
              <w:t>'</w:t>
            </w:r>
            <w:r>
              <w:rPr>
                <w:rFonts w:ascii="Monaco"/>
                <w:color w:val="000000"/>
                <w:rtl w:val="0"/>
              </w:rPr>
              <w:t>: {</w:t>
            </w:r>
            <w:r>
              <w:rPr>
                <w:rFonts w:ascii="Monaco"/>
                <w:color w:val="00b400"/>
                <w:rtl w:val="0"/>
                <w:lang w:val="sv-SE"/>
              </w:rPr>
              <w:t>"Stocks"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80.0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00b400"/>
                <w:rtl w:val="0"/>
              </w:rPr>
              <w:t>"Bonds"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20.0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00b400"/>
                <w:rtl w:val="0"/>
                <w:lang w:val="sv-SE"/>
              </w:rPr>
              <w:t>"T-Bills"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0.0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00b400"/>
                <w:rtl w:val="0"/>
              </w:rPr>
              <w:t>"Cash"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0.0</w:t>
            </w:r>
            <w:r>
              <w:rPr>
                <w:rFonts w:ascii="Monaco"/>
                <w:color w:val="000000"/>
                <w:rtl w:val="0"/>
              </w:rPr>
              <w:t>}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</w:tbl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Usage</w:t>
      </w:r>
    </w:p>
    <w:p>
      <w:pPr>
        <w:pStyle w:val="Free Form"/>
        <w:bidi w:val="0"/>
        <w:spacing w:after="0" w:line="240" w:lineRule="auto"/>
        <w:ind w:left="0" w:right="0" w:firstLine="0"/>
        <w:jc w:val="left"/>
        <w:rPr>
          <w:rFonts w:ascii="Monaco" w:cs="Monaco" w:hAnsi="Monaco" w:eastAsia="Monaco"/>
          <w:b w:val="1"/>
          <w:bCs w:val="1"/>
          <w:color w:val="000000"/>
          <w:rtl w:val="0"/>
        </w:rPr>
      </w:pPr>
      <w:r>
        <w:rPr>
          <w:rFonts w:ascii="Monaco"/>
          <w:b w:val="1"/>
          <w:bCs w:val="1"/>
          <w:color w:val="000000"/>
          <w:rtl w:val="0"/>
          <w:lang w:val="en-US"/>
        </w:rPr>
        <w:t xml:space="preserve">fin plan </w:t>
      </w:r>
      <w:r>
        <w:rPr>
          <w:rFonts w:ascii="Monaco"/>
          <w:b w:val="1"/>
          <w:bCs w:val="1"/>
          <w:color w:val="000000"/>
          <w:rtl w:val="0"/>
          <w:lang w:val="en-US"/>
        </w:rPr>
        <w:t xml:space="preserve">-c confidence_percentage -r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508000</wp:posOffset>
                </wp:positionV>
                <wp:extent cx="5943600" cy="356666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66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360" w:type="dxa"/>
                              <w:tblInd w:w="0" w:type="dxa"/>
                              <w:tblBorders>
                                <w:top w:val="single" w:color="a3a3a3" w:sz="2" w:space="0" w:shadow="0" w:frame="0"/>
                                <w:left w:val="single" w:color="a3a3a3" w:sz="2" w:space="0" w:shadow="0" w:frame="0"/>
                                <w:bottom w:val="single" w:color="a3a3a3" w:sz="2" w:space="0" w:shadow="0" w:frame="0"/>
                                <w:right w:val="single" w:color="a3a3a3" w:sz="2" w:space="0" w:shadow="0" w:frame="0"/>
                                <w:insideH w:val="single" w:color="515050" w:sz="2" w:space="0" w:shadow="0" w:frame="0"/>
                                <w:insideV w:val="single" w:color="51505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340"/>
                              <w:gridCol w:w="2340"/>
                              <w:gridCol w:w="2340"/>
                              <w:gridCol w:w="2340"/>
                            </w:tblGrid>
                            <w:tr>
                              <w:tblPrEx>
                                <w:shd w:val="clear" w:color="auto" w:fill="00a2d7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General Parameter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Default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FinPlan_ID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UUID 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Auto-generated by server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Optional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Name of the user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Email 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User Email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HasResult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Results have been computed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AgeToday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User</w:t>
                                  </w:r>
                                  <w:r>
                                    <w:t>’</w:t>
                                  </w:r>
                                  <w:r>
                                    <w:t>s age at start of plan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AgeFinal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Age at end of retirement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Optional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StartingAmount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Retirement funds available today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InflationRate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Average inflation rate across the whole period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Expressed in %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 Light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40.0pt;width:468.0pt;height:280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60" w:type="dxa"/>
                        <w:tblInd w:w="0" w:type="dxa"/>
                        <w:tblBorders>
                          <w:top w:val="single" w:color="a3a3a3" w:sz="2" w:space="0" w:shadow="0" w:frame="0"/>
                          <w:left w:val="single" w:color="a3a3a3" w:sz="2" w:space="0" w:shadow="0" w:frame="0"/>
                          <w:bottom w:val="single" w:color="a3a3a3" w:sz="2" w:space="0" w:shadow="0" w:frame="0"/>
                          <w:right w:val="single" w:color="a3a3a3" w:sz="2" w:space="0" w:shadow="0" w:frame="0"/>
                          <w:insideH w:val="single" w:color="515050" w:sz="2" w:space="0" w:shadow="0" w:frame="0"/>
                          <w:insideV w:val="single" w:color="51505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340"/>
                        <w:gridCol w:w="2340"/>
                        <w:gridCol w:w="2340"/>
                        <w:gridCol w:w="2340"/>
                      </w:tblGrid>
                      <w:tr>
                        <w:tblPrEx>
                          <w:shd w:val="clear" w:color="auto" w:fill="00a2d7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General Parameter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Default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FinPlan_ID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UUID 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Auto-generated by server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Name 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Optional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UserName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Name of the user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Email 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User Email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HasResult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Boolean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Results have been computed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AgeToday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User</w:t>
                            </w:r>
                            <w:r>
                              <w:t>’</w:t>
                            </w:r>
                            <w:r>
                              <w:t>s age at start of plan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AgeFinal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Age at end of retirement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Optional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StartingAmount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Retirement funds available today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InflationRate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Float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Average inflation rate across the whole period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Expressed in %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 Light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2.0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4523740</wp:posOffset>
                </wp:positionV>
                <wp:extent cx="5943600" cy="164363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43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360" w:type="dxa"/>
                              <w:tblInd w:w="0" w:type="dxa"/>
                              <w:tblBorders>
                                <w:top w:val="single" w:color="a3a3a3" w:sz="2" w:space="0" w:shadow="0" w:frame="0"/>
                                <w:left w:val="single" w:color="a3a3a3" w:sz="2" w:space="0" w:shadow="0" w:frame="0"/>
                                <w:bottom w:val="single" w:color="a3a3a3" w:sz="2" w:space="0" w:shadow="0" w:frame="0"/>
                                <w:right w:val="single" w:color="a3a3a3" w:sz="2" w:space="0" w:shadow="0" w:frame="0"/>
                                <w:insideH w:val="single" w:color="515050" w:sz="2" w:space="0" w:shadow="0" w:frame="0"/>
                                <w:insideV w:val="single" w:color="51505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120"/>
                              <w:gridCol w:w="3120"/>
                              <w:gridCol w:w="3120"/>
                            </w:tblGrid>
                            <w:tr>
                              <w:tblPrEx>
                                <w:shd w:val="clear" w:color="auto" w:fill="00a2d7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color w:val="fefefe"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color w:val="fefefe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color w:val="fefefe"/>
                                    </w:rPr>
                                    <w:t>Default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12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confidence_percentage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Confidence percentage in Monte-Carlo simulations to determine withdrawal ammount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40" w:line="288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222222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</w:rPr>
                                    <w:t>85%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ru</w:t>
                                  </w:r>
                                  <w:r>
                                    <w:rPr>
                                      <w:color w:val="000000"/>
                                      <w:u w:val="single"/>
                                      <w:rtl w:val="0"/>
                                      <w:lang w:val="en-US"/>
                                    </w:rPr>
                                    <w:t>n_count_for_monte_carlo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Number of Monte-Carlo simulations run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240" w:line="288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222222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</w:rPr>
                                    <w:t>10,000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-N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If present, the program starts with default list of FinPlanScenarios, rather than reading from persistence store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Reads from persistence store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-D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If present - Debug is True</w:t>
                                  </w:r>
                                </w:p>
                              </w:tc>
                              <w:tc>
                                <w:tcPr>
                                  <w:tcW w:type="dxa" w:w="31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356.2pt;width:468.0pt;height:129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60" w:type="dxa"/>
                        <w:tblInd w:w="0" w:type="dxa"/>
                        <w:tblBorders>
                          <w:top w:val="single" w:color="a3a3a3" w:sz="2" w:space="0" w:shadow="0" w:frame="0"/>
                          <w:left w:val="single" w:color="a3a3a3" w:sz="2" w:space="0" w:shadow="0" w:frame="0"/>
                          <w:bottom w:val="single" w:color="a3a3a3" w:sz="2" w:space="0" w:shadow="0" w:frame="0"/>
                          <w:right w:val="single" w:color="a3a3a3" w:sz="2" w:space="0" w:shadow="0" w:frame="0"/>
                          <w:insideH w:val="single" w:color="515050" w:sz="2" w:space="0" w:shadow="0" w:frame="0"/>
                          <w:insideV w:val="single" w:color="51505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120"/>
                        <w:gridCol w:w="3120"/>
                        <w:gridCol w:w="3120"/>
                      </w:tblGrid>
                      <w:tr>
                        <w:tblPrEx>
                          <w:shd w:val="clear" w:color="auto" w:fill="00a2d7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color w:val="fefefe"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color w:val="fefefe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color w:val="fefefe"/>
                              </w:rPr>
                              <w:t>Default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12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confidence_percentage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Confidence percentage in Monte-Carlo simulations to determine withdrawal ammount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40" w:line="288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222222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</w:rPr>
                              <w:t>85%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ru</w:t>
                            </w:r>
                            <w:r>
                              <w:rPr>
                                <w:color w:val="000000"/>
                                <w:u w:val="single"/>
                                <w:rtl w:val="0"/>
                                <w:lang w:val="en-US"/>
                              </w:rPr>
                              <w:t>n_count_for_monte_carlo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Number of Monte-Carlo simulations run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240" w:line="288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222222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</w:rPr>
                              <w:t>10,000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-N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If present, the program starts with default list of FinPlanScenarios, rather than reading from persistence store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Reads from persistence store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-D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If present - Debug is True</w:t>
                            </w:r>
                          </w:p>
                        </w:tc>
                        <w:tc>
                          <w:tcPr>
                            <w:tcW w:type="dxa" w:w="31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Monaco"/>
          <w:b w:val="1"/>
          <w:bCs w:val="1"/>
          <w:color w:val="000000"/>
          <w:u w:val="single"/>
          <w:rtl w:val="0"/>
          <w:lang w:val="en-US"/>
        </w:rPr>
        <w:t>run_count_for_monte_carlo</w:t>
      </w:r>
      <w:r>
        <w:rPr>
          <w:rFonts w:ascii="Monaco"/>
          <w:b w:val="1"/>
          <w:bCs w:val="1"/>
          <w:color w:val="000000"/>
          <w:rtl w:val="0"/>
        </w:rPr>
        <w:t xml:space="preserve"> -N -D</w:t>
      </w:r>
    </w:p>
    <w:p>
      <w:pPr>
        <w:pStyle w:val="Body"/>
        <w:bidi w:val="0"/>
      </w:pPr>
      <w:r>
        <w:rPr>
          <w:rtl w:val="0"/>
        </w:rPr>
        <w:t>All arguments are optional</w:t>
      </w:r>
    </w:p>
    <w:p>
      <w:pPr>
        <w:pStyle w:val="Body"/>
        <w:bidi w:val="0"/>
      </w:pPr>
    </w:p>
    <w:p>
      <w:pPr>
        <w:pStyle w:val="Free Form"/>
        <w:bidi w:val="0"/>
        <w:spacing w:after="0" w:line="240" w:lineRule="auto"/>
        <w:ind w:left="0" w:right="0" w:firstLine="0"/>
        <w:jc w:val="left"/>
        <w:rPr>
          <w:rFonts w:ascii="Monaco" w:cs="Monaco" w:hAnsi="Monaco" w:eastAsia="Monaco"/>
          <w:color w:val="00b400"/>
          <w:rtl w:val="0"/>
        </w:rPr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Future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Replace current file by database as persistence store</w:t>
      </w:r>
    </w:p>
    <w:p>
      <w:pPr>
        <w:pStyle w:val="Bullet"/>
        <w:numPr>
          <w:ilvl w:val="1"/>
          <w:numId w:val="7"/>
        </w:numPr>
        <w:tabs>
          <w:tab w:val="num" w:pos="1152"/>
          <w:tab w:val="clear" w:pos="0"/>
        </w:tabs>
        <w:bidi w:val="0"/>
        <w:ind w:left="1152" w:hanging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With file, the whole file is re-written, each time one of the FinPlans is created/modified/deleted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Add yearly portfolio rebalancing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Add createdDate, lastModifiedDate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 xml:space="preserve">Add automatic portfolio builder and a Risk-Based Portfolio allocation tool - see </w:t>
      </w:r>
      <w:r>
        <w:rPr>
          <w:rtl w:val="0"/>
        </w:rPr>
        <w:t>“</w:t>
      </w:r>
      <w:r>
        <w:rPr>
          <w:rtl w:val="0"/>
        </w:rPr>
        <w:t>Risk-Based-Portfolio) attached. E.g. Risk = 8 during working phase, Risk = 5 at start of retirement, Risk = 1 last 10 years of retirement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gender and set default end retirement age based on statistics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Add users, user profile (some of the data in scenario will be part of user profile - e.g. email, name, age, 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security: e.g. only the owner of a FinPlan can view/modify it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more asset types and the ability for user to create their own custom asset type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tax rate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web app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Add Sensitivity Analysis - see: </w:t>
      </w:r>
      <w:hyperlink r:id="rId10" w:history="1">
        <w:r>
          <w:rPr>
            <w:rStyle w:val="Hyperlink.0"/>
            <w:rtl w:val="0"/>
          </w:rPr>
          <w:t>http://www.flexibleretirementplanner.com/wp/documentation/sensitivity-analysis/</w:t>
        </w:r>
      </w:hyperlink>
      <w:r>
        <w:rPr>
          <w:rtl w:val="0"/>
          <w:lang w:val="en-US"/>
        </w:rPr>
        <w:t xml:space="preserve"> 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Monaco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Simple Financial Planner</w:t>
    </w:r>
    <w:r>
      <w:tab/>
    </w:r>
    <w:r>
      <w:rPr/>
      <w:fldChar w:fldCharType="begin" w:fldLock="0"/>
    </w:r>
    <w:r>
      <w:t xml:space="preserve"> DATE \@ "MMMM d, y" </w:t>
    </w:r>
    <w:r>
      <w:rPr/>
      <w:fldChar w:fldCharType="separate" w:fldLock="0"/>
    </w:r>
    <w:r>
      <w:rPr>
        <w:rtl w:val="0"/>
        <w:lang w:val="en-US"/>
      </w:rPr>
      <w:t>January 12, 2014</w:t>
    </w:r>
    <w:r>
      <w:rPr/>
      <w:fldChar w:fldCharType="end" w:fldLock="1"/>
    </w: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numPicBullet w:numPicBulletId="0">
    <w:pict>
      <v:shape id="_x0000_s1028" type="#_x0000_t75" style="visibility:visible;width:14.4pt;height:14.4pt;">
        <v:imagedata r:id="rId1" o:title="bullet_charcoal-black.pdf"/>
      </v:shape>
    </w:pict>
  </w:numPicBullet>
  <w:abstractNum w:abstractNumId="1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92"/>
          <w:tab w:val="clear" w:pos="0"/>
        </w:tabs>
        <w:ind w:left="792" w:hanging="79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584"/>
          <w:tab w:val="clear" w:pos="0"/>
        </w:tabs>
        <w:ind w:left="1584" w:hanging="15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376"/>
          <w:tab w:val="clear" w:pos="0"/>
        </w:tabs>
        <w:ind w:left="2376" w:hanging="237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3168"/>
          <w:tab w:val="clear" w:pos="0"/>
        </w:tabs>
        <w:ind w:left="3168" w:hanging="316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960"/>
          <w:tab w:val="clear" w:pos="0"/>
        </w:tabs>
        <w:ind w:left="3960" w:hanging="39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752"/>
          <w:tab w:val="clear" w:pos="0"/>
        </w:tabs>
        <w:ind w:left="4752" w:hanging="47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544"/>
          <w:tab w:val="clear" w:pos="0"/>
        </w:tabs>
        <w:ind w:left="5544" w:hanging="55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6336"/>
          <w:tab w:val="clear" w:pos="0"/>
        </w:tabs>
        <w:ind w:left="6336" w:hanging="63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</w:abstractNum>
  <w:abstractNum w:abstractNumId="7">
    <w:multiLevelType w:val="multilevel"/>
    <w:styleLink w:val="List 2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0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3d7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0" w:after="120" w:line="240" w:lineRule="auto"/>
      <w:ind w:left="0" w:right="0" w:firstLine="0"/>
      <w:jc w:val="left"/>
      <w:outlineLvl w:val="1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3"/>
      <w:kern w:val="0"/>
      <w:position w:val="0"/>
      <w:sz w:val="32"/>
      <w:szCs w:val="32"/>
      <w:u w:val="none"/>
      <w:vertAlign w:val="baseline"/>
      <w:lang w:val="en-US"/>
    </w:rPr>
  </w:style>
  <w:style w:type="paragraph" w:styleId="Bullet">
    <w:name w:val="Bullet"/>
    <w:next w:val="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160" w:right="0" w:hanging="16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3d7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List 1">
    <w:name w:val="List 1"/>
    <w:basedOn w:val="None"/>
    <w:next w:val="List 1"/>
    <w:pPr>
      <w:numPr>
        <w:numId w:val="4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</w:rPr>
  </w:style>
  <w:style w:type="numbering" w:styleId="List 2">
    <w:name w:val="List 2"/>
    <w:basedOn w:val="None"/>
    <w:next w:val="List 2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[" TargetMode="External"/><Relationship Id="rId5" Type="http://schemas.openxmlformats.org/officeDocument/2006/relationships/hyperlink" Target="http://[" TargetMode="External"/><Relationship Id="rId6" Type="http://schemas.openxmlformats.org/officeDocument/2006/relationships/hyperlink" Target="http://[" TargetMode="External"/><Relationship Id="rId7" Type="http://schemas.openxmlformats.org/officeDocument/2006/relationships/hyperlink" Target="http://[" TargetMode="External"/><Relationship Id="rId8" Type="http://schemas.openxmlformats.org/officeDocument/2006/relationships/hyperlink" Target="http://[" TargetMode="External"/><Relationship Id="rId9" Type="http://schemas.openxmlformats.org/officeDocument/2006/relationships/hyperlink" Target="http://[" TargetMode="External"/><Relationship Id="rId10" Type="http://schemas.openxmlformats.org/officeDocument/2006/relationships/hyperlink" Target="http://www.flexibleretirementplanner.com/wp/documentation/sensitivity-analysis/" TargetMode="External"/><Relationship Id="rId11" Type="http://schemas.openxmlformats.org/officeDocument/2006/relationships/header" Target="header.xml"/><Relationship Id="rId12" Type="http://schemas.openxmlformats.org/officeDocument/2006/relationships/footer" Target="footer.xml"/><Relationship Id="rId13" Type="http://schemas.openxmlformats.org/officeDocument/2006/relationships/numbering" Target="numbering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.png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