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75D8" w14:textId="4CB196B0" w:rsidR="0039136D" w:rsidRPr="0039136D" w:rsidRDefault="0039136D" w:rsidP="0039136D">
      <w:pPr>
        <w:rPr>
          <w:b/>
          <w:bCs/>
          <w:sz w:val="60"/>
          <w:szCs w:val="60"/>
        </w:rPr>
      </w:pPr>
      <w:r w:rsidRPr="0039136D">
        <w:rPr>
          <w:b/>
          <w:bCs/>
          <w:sz w:val="60"/>
          <w:szCs w:val="60"/>
        </w:rPr>
        <w:t>The NFTBooks Utility Token</w:t>
      </w:r>
    </w:p>
    <w:p w14:paraId="3177BAD3" w14:textId="2DC4DD8E" w:rsidR="0039136D" w:rsidRDefault="0039136D" w:rsidP="0039136D">
      <w:pPr>
        <w:rPr>
          <w:rFonts w:cstheme="minorHAnsi"/>
          <w:color w:val="000000"/>
          <w:sz w:val="28"/>
          <w:szCs w:val="28"/>
          <w:shd w:val="clear" w:color="auto" w:fill="FFFFFF"/>
        </w:rPr>
      </w:pPr>
      <w:r w:rsidRPr="0039136D">
        <w:rPr>
          <w:spacing w:val="6"/>
          <w:sz w:val="27"/>
          <w:szCs w:val="27"/>
        </w:rPr>
        <w:t>$</w:t>
      </w:r>
      <w:r>
        <w:rPr>
          <w:spacing w:val="6"/>
          <w:sz w:val="27"/>
          <w:szCs w:val="27"/>
        </w:rPr>
        <w:t>NFTBS</w:t>
      </w:r>
      <w:r w:rsidRPr="0039136D">
        <w:rPr>
          <w:spacing w:val="6"/>
          <w:sz w:val="27"/>
          <w:szCs w:val="27"/>
        </w:rPr>
        <w:t xml:space="preserve"> is a utility token used</w:t>
      </w:r>
      <w:r>
        <w:rPr>
          <w:spacing w:val="6"/>
          <w:sz w:val="27"/>
          <w:szCs w:val="27"/>
        </w:rPr>
        <w:t xml:space="preserve"> for </w:t>
      </w:r>
      <w:r w:rsidRPr="0039136D">
        <w:rPr>
          <w:rFonts w:cstheme="minorHAnsi"/>
          <w:color w:val="000000"/>
          <w:sz w:val="28"/>
          <w:szCs w:val="28"/>
          <w:shd w:val="clear" w:color="auto" w:fill="FFFFFF"/>
        </w:rPr>
        <w:t xml:space="preserve">authors to self-publish books, lessors for lease of purchased book, translators to create smart contract with authors to publish translated books and build a competitive model to reduce costs for readers. </w:t>
      </w:r>
    </w:p>
    <w:p w14:paraId="7474506C" w14:textId="2D3E3626" w:rsidR="0039136D" w:rsidRDefault="0039136D" w:rsidP="0039136D">
      <w:pPr>
        <w:rPr>
          <w:rFonts w:cstheme="minorHAnsi"/>
          <w:color w:val="000000"/>
          <w:sz w:val="28"/>
          <w:szCs w:val="28"/>
          <w:shd w:val="clear" w:color="auto" w:fill="FFFFFF"/>
        </w:rPr>
      </w:pPr>
    </w:p>
    <w:p w14:paraId="45153D1C" w14:textId="77777777" w:rsidR="0039136D" w:rsidRPr="0039136D" w:rsidRDefault="0039136D" w:rsidP="0039136D">
      <w:pPr>
        <w:rPr>
          <w:b/>
          <w:bCs/>
          <w:sz w:val="60"/>
          <w:szCs w:val="60"/>
        </w:rPr>
      </w:pPr>
      <w:r w:rsidRPr="0039136D">
        <w:rPr>
          <w:b/>
          <w:bCs/>
          <w:sz w:val="60"/>
          <w:szCs w:val="60"/>
        </w:rPr>
        <w:t>Token Details</w:t>
      </w:r>
    </w:p>
    <w:tbl>
      <w:tblPr>
        <w:tblW w:w="13500" w:type="dxa"/>
        <w:tblCellMar>
          <w:top w:w="15" w:type="dxa"/>
          <w:left w:w="15" w:type="dxa"/>
          <w:bottom w:w="15" w:type="dxa"/>
          <w:right w:w="15" w:type="dxa"/>
        </w:tblCellMar>
        <w:tblLook w:val="04A0" w:firstRow="1" w:lastRow="0" w:firstColumn="1" w:lastColumn="0" w:noHBand="0" w:noVBand="1"/>
      </w:tblPr>
      <w:tblGrid>
        <w:gridCol w:w="3328"/>
        <w:gridCol w:w="10172"/>
      </w:tblGrid>
      <w:tr w:rsidR="0039136D" w14:paraId="39CD2FFD" w14:textId="77777777" w:rsidTr="0039136D">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5AD64232" w14:textId="77777777" w:rsidR="0039136D" w:rsidRDefault="0039136D">
            <w:pPr>
              <w:spacing w:after="450"/>
              <w:rPr>
                <w:rFonts w:ascii="Times New Roman" w:hAnsi="Times New Roman" w:cs="Times New Roman"/>
                <w:color w:val="000000"/>
                <w:sz w:val="24"/>
                <w:szCs w:val="24"/>
              </w:rPr>
            </w:pPr>
            <w:r>
              <w:rPr>
                <w:color w:val="000000"/>
              </w:rPr>
              <w:t>Ticker</w:t>
            </w:r>
          </w:p>
        </w:tc>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68B66F00" w14:textId="2B523F74" w:rsidR="0039136D" w:rsidRDefault="0039136D">
            <w:pPr>
              <w:spacing w:after="450"/>
              <w:rPr>
                <w:color w:val="000000"/>
              </w:rPr>
            </w:pPr>
            <w:r>
              <w:rPr>
                <w:color w:val="000000"/>
              </w:rPr>
              <w:t>NFTBS</w:t>
            </w:r>
          </w:p>
        </w:tc>
      </w:tr>
      <w:tr w:rsidR="0039136D" w14:paraId="55F13C51" w14:textId="77777777" w:rsidTr="0039136D">
        <w:tc>
          <w:tcPr>
            <w:tcW w:w="0" w:type="auto"/>
            <w:tcBorders>
              <w:top w:val="nil"/>
              <w:left w:val="nil"/>
              <w:bottom w:val="nil"/>
              <w:right w:val="nil"/>
            </w:tcBorders>
            <w:tcMar>
              <w:top w:w="150" w:type="dxa"/>
              <w:left w:w="150" w:type="dxa"/>
              <w:bottom w:w="150" w:type="dxa"/>
              <w:right w:w="150" w:type="dxa"/>
            </w:tcMar>
            <w:vAlign w:val="center"/>
            <w:hideMark/>
          </w:tcPr>
          <w:p w14:paraId="0FB6C059" w14:textId="77777777" w:rsidR="0039136D" w:rsidRDefault="0039136D">
            <w:pPr>
              <w:spacing w:after="450"/>
              <w:rPr>
                <w:color w:val="000000"/>
              </w:rPr>
            </w:pPr>
            <w:r>
              <w:rPr>
                <w:color w:val="000000"/>
              </w:rPr>
              <w:t>Token type</w:t>
            </w:r>
          </w:p>
        </w:tc>
        <w:tc>
          <w:tcPr>
            <w:tcW w:w="0" w:type="auto"/>
            <w:tcBorders>
              <w:top w:val="nil"/>
              <w:left w:val="nil"/>
              <w:bottom w:val="nil"/>
              <w:right w:val="nil"/>
            </w:tcBorders>
            <w:tcMar>
              <w:top w:w="150" w:type="dxa"/>
              <w:left w:w="150" w:type="dxa"/>
              <w:bottom w:w="150" w:type="dxa"/>
              <w:right w:w="150" w:type="dxa"/>
            </w:tcMar>
            <w:vAlign w:val="center"/>
            <w:hideMark/>
          </w:tcPr>
          <w:p w14:paraId="70FDDC16" w14:textId="1B0189C0" w:rsidR="0039136D" w:rsidRDefault="0039136D">
            <w:pPr>
              <w:spacing w:after="450"/>
              <w:rPr>
                <w:color w:val="000000"/>
              </w:rPr>
            </w:pPr>
            <w:r>
              <w:rPr>
                <w:color w:val="000000"/>
              </w:rPr>
              <w:t>BEP-20</w:t>
            </w:r>
          </w:p>
        </w:tc>
      </w:tr>
      <w:tr w:rsidR="0039136D" w14:paraId="32F27383" w14:textId="77777777" w:rsidTr="0039136D">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22A3C0E0" w14:textId="19FE20BF" w:rsidR="0039136D" w:rsidRDefault="0039136D">
            <w:pPr>
              <w:spacing w:after="450"/>
              <w:rPr>
                <w:color w:val="000000"/>
              </w:rPr>
            </w:pPr>
            <w:r>
              <w:rPr>
                <w:color w:val="000000"/>
              </w:rPr>
              <w:t>BEP-20 Contract address</w:t>
            </w:r>
          </w:p>
        </w:tc>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7F2B15DB" w14:textId="27054038" w:rsidR="0039136D" w:rsidRDefault="003D36B9">
            <w:pPr>
              <w:spacing w:after="450"/>
              <w:rPr>
                <w:color w:val="000000"/>
              </w:rPr>
            </w:pPr>
            <w:r w:rsidRPr="003D36B9">
              <w:rPr>
                <w:color w:val="000000"/>
              </w:rPr>
              <w:t>0x3279510e89600ee1767a037dbd0ad49c974063ae</w:t>
            </w:r>
          </w:p>
        </w:tc>
      </w:tr>
      <w:tr w:rsidR="0039136D" w14:paraId="088C5D55" w14:textId="77777777" w:rsidTr="0039136D">
        <w:tc>
          <w:tcPr>
            <w:tcW w:w="0" w:type="auto"/>
            <w:tcBorders>
              <w:top w:val="nil"/>
              <w:left w:val="nil"/>
              <w:bottom w:val="nil"/>
              <w:right w:val="nil"/>
            </w:tcBorders>
            <w:tcMar>
              <w:top w:w="150" w:type="dxa"/>
              <w:left w:w="150" w:type="dxa"/>
              <w:bottom w:w="150" w:type="dxa"/>
              <w:right w:w="150" w:type="dxa"/>
            </w:tcMar>
            <w:vAlign w:val="center"/>
            <w:hideMark/>
          </w:tcPr>
          <w:p w14:paraId="1A46334C" w14:textId="02C5D7AA" w:rsidR="0039136D" w:rsidRDefault="00B837A9">
            <w:pPr>
              <w:spacing w:after="450"/>
              <w:rPr>
                <w:color w:val="000000"/>
              </w:rPr>
            </w:pPr>
            <w:r>
              <w:rPr>
                <w:color w:val="000000"/>
              </w:rPr>
              <w:t>Bscscan</w:t>
            </w:r>
            <w:r w:rsidR="0039136D">
              <w:rPr>
                <w:color w:val="000000"/>
              </w:rPr>
              <w:t xml:space="preserve"> link</w:t>
            </w:r>
          </w:p>
        </w:tc>
        <w:tc>
          <w:tcPr>
            <w:tcW w:w="0" w:type="auto"/>
            <w:tcBorders>
              <w:top w:val="nil"/>
              <w:left w:val="nil"/>
              <w:bottom w:val="nil"/>
              <w:right w:val="nil"/>
            </w:tcBorders>
            <w:tcMar>
              <w:top w:w="150" w:type="dxa"/>
              <w:left w:w="150" w:type="dxa"/>
              <w:bottom w:w="150" w:type="dxa"/>
              <w:right w:w="150" w:type="dxa"/>
            </w:tcMar>
            <w:vAlign w:val="center"/>
            <w:hideMark/>
          </w:tcPr>
          <w:p w14:paraId="122AA1C2" w14:textId="7923BFFE" w:rsidR="0039136D" w:rsidRDefault="003D36B9">
            <w:pPr>
              <w:spacing w:after="450"/>
              <w:rPr>
                <w:color w:val="000000"/>
              </w:rPr>
            </w:pPr>
            <w:r w:rsidRPr="003D36B9">
              <w:rPr>
                <w:color w:val="000000"/>
              </w:rPr>
              <w:t>https://bscscan.com/address/0x3279510e89600ee1767a037dbd0ad49c974063ae</w:t>
            </w:r>
          </w:p>
        </w:tc>
      </w:tr>
      <w:tr w:rsidR="0039136D" w14:paraId="3D4371BD" w14:textId="77777777" w:rsidTr="0039136D">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0BE52ECB" w14:textId="77777777" w:rsidR="0039136D" w:rsidRDefault="0039136D">
            <w:pPr>
              <w:spacing w:after="450"/>
              <w:rPr>
                <w:color w:val="000000"/>
              </w:rPr>
            </w:pPr>
            <w:r>
              <w:rPr>
                <w:color w:val="000000"/>
              </w:rPr>
              <w:t>Total Token Supply</w:t>
            </w:r>
          </w:p>
        </w:tc>
        <w:tc>
          <w:tcPr>
            <w:tcW w:w="0" w:type="auto"/>
            <w:tcBorders>
              <w:top w:val="nil"/>
              <w:left w:val="nil"/>
              <w:bottom w:val="nil"/>
              <w:right w:val="nil"/>
            </w:tcBorders>
            <w:shd w:val="clear" w:color="auto" w:fill="F1F2F2"/>
            <w:tcMar>
              <w:top w:w="150" w:type="dxa"/>
              <w:left w:w="150" w:type="dxa"/>
              <w:bottom w:w="150" w:type="dxa"/>
              <w:right w:w="150" w:type="dxa"/>
            </w:tcMar>
            <w:vAlign w:val="center"/>
            <w:hideMark/>
          </w:tcPr>
          <w:p w14:paraId="7240DBF6" w14:textId="14D0E6BC" w:rsidR="0039136D" w:rsidRDefault="0039136D">
            <w:pPr>
              <w:spacing w:after="450"/>
              <w:rPr>
                <w:color w:val="000000"/>
              </w:rPr>
            </w:pPr>
            <w:r w:rsidRPr="0039136D">
              <w:t>100,000,000,000,000,000</w:t>
            </w:r>
            <w:r>
              <w:rPr>
                <w:color w:val="000000"/>
              </w:rPr>
              <w:t xml:space="preserve"> NFTBS</w:t>
            </w:r>
          </w:p>
        </w:tc>
      </w:tr>
      <w:tr w:rsidR="0039136D" w14:paraId="6D380871" w14:textId="77777777" w:rsidTr="0039136D">
        <w:tc>
          <w:tcPr>
            <w:tcW w:w="0" w:type="auto"/>
            <w:tcBorders>
              <w:top w:val="nil"/>
              <w:left w:val="nil"/>
              <w:bottom w:val="nil"/>
              <w:right w:val="nil"/>
            </w:tcBorders>
            <w:tcMar>
              <w:top w:w="150" w:type="dxa"/>
              <w:left w:w="150" w:type="dxa"/>
              <w:bottom w:w="150" w:type="dxa"/>
              <w:right w:w="150" w:type="dxa"/>
            </w:tcMar>
            <w:vAlign w:val="center"/>
            <w:hideMark/>
          </w:tcPr>
          <w:p w14:paraId="5F6F45C9" w14:textId="69E0BD59" w:rsidR="0039136D" w:rsidRDefault="0039136D">
            <w:pPr>
              <w:spacing w:after="450"/>
              <w:rPr>
                <w:color w:val="000000"/>
              </w:rPr>
            </w:pPr>
            <w:r>
              <w:rPr>
                <w:color w:val="000000"/>
              </w:rPr>
              <w:t>Burned</w:t>
            </w:r>
            <w:r w:rsidR="00B837A9">
              <w:rPr>
                <w:color w:val="000000"/>
              </w:rPr>
              <w:t xml:space="preserve"> when launched</w:t>
            </w:r>
          </w:p>
        </w:tc>
        <w:tc>
          <w:tcPr>
            <w:tcW w:w="0" w:type="auto"/>
            <w:tcBorders>
              <w:top w:val="nil"/>
              <w:left w:val="nil"/>
              <w:bottom w:val="nil"/>
              <w:right w:val="nil"/>
            </w:tcBorders>
            <w:tcMar>
              <w:top w:w="150" w:type="dxa"/>
              <w:left w:w="150" w:type="dxa"/>
              <w:bottom w:w="150" w:type="dxa"/>
              <w:right w:w="150" w:type="dxa"/>
            </w:tcMar>
            <w:vAlign w:val="center"/>
            <w:hideMark/>
          </w:tcPr>
          <w:p w14:paraId="4AD51FF6" w14:textId="090CB14A" w:rsidR="0039136D" w:rsidRDefault="0039136D">
            <w:pPr>
              <w:spacing w:after="450"/>
              <w:rPr>
                <w:color w:val="000000"/>
              </w:rPr>
            </w:pPr>
            <w:r>
              <w:t>2</w:t>
            </w:r>
            <w:r w:rsidRPr="0039136D">
              <w:t>0,000,000,000,000,000</w:t>
            </w:r>
            <w:r>
              <w:rPr>
                <w:color w:val="000000"/>
              </w:rPr>
              <w:t xml:space="preserve"> NFTBS</w:t>
            </w:r>
          </w:p>
        </w:tc>
      </w:tr>
    </w:tbl>
    <w:p w14:paraId="38938989" w14:textId="46FA1DBA" w:rsidR="0039136D" w:rsidRDefault="0039136D" w:rsidP="0039136D">
      <w:pPr>
        <w:rPr>
          <w:rFonts w:cstheme="minorHAnsi"/>
          <w:sz w:val="28"/>
          <w:szCs w:val="28"/>
        </w:rPr>
      </w:pPr>
    </w:p>
    <w:p w14:paraId="5FF9759B" w14:textId="2C94A7A5" w:rsidR="0039136D" w:rsidRPr="0039136D" w:rsidRDefault="0039136D" w:rsidP="0039136D">
      <w:pPr>
        <w:rPr>
          <w:b/>
          <w:bCs/>
          <w:sz w:val="60"/>
          <w:szCs w:val="60"/>
        </w:rPr>
      </w:pPr>
      <w:r w:rsidRPr="0039136D">
        <w:rPr>
          <w:b/>
          <w:bCs/>
          <w:sz w:val="60"/>
          <w:szCs w:val="60"/>
        </w:rPr>
        <w:t>Token Allocation after Token Generation Event</w:t>
      </w:r>
    </w:p>
    <w:p w14:paraId="04534B1B" w14:textId="242CDB6D" w:rsidR="0039136D" w:rsidRDefault="0039136D" w:rsidP="0039136D">
      <w:pPr>
        <w:rPr>
          <w:rFonts w:cstheme="minorHAnsi"/>
          <w:sz w:val="28"/>
          <w:szCs w:val="28"/>
        </w:rPr>
      </w:pPr>
    </w:p>
    <w:p w14:paraId="099C0480" w14:textId="69989AB0" w:rsidR="0039136D" w:rsidRDefault="0039136D" w:rsidP="0039136D">
      <w:pPr>
        <w:pStyle w:val="NormalWeb"/>
        <w:shd w:val="clear" w:color="auto" w:fill="FFFFFF"/>
        <w:spacing w:after="600" w:afterAutospacing="0" w:line="348" w:lineRule="atLeast"/>
        <w:rPr>
          <w:rFonts w:ascii="Arial" w:hAnsi="Arial" w:cs="Arial"/>
          <w:color w:val="231F20"/>
          <w:spacing w:val="6"/>
          <w:sz w:val="27"/>
          <w:szCs w:val="27"/>
        </w:rPr>
      </w:pPr>
      <w:r>
        <w:rPr>
          <w:rStyle w:val="Strong"/>
          <w:rFonts w:ascii="Arial" w:eastAsiaTheme="majorEastAsia" w:hAnsi="Arial" w:cs="Arial"/>
          <w:color w:val="231F20"/>
          <w:spacing w:val="6"/>
          <w:sz w:val="27"/>
          <w:szCs w:val="27"/>
        </w:rPr>
        <w:lastRenderedPageBreak/>
        <w:t xml:space="preserve">4% Project </w:t>
      </w:r>
      <w:r>
        <w:rPr>
          <w:rStyle w:val="Strong"/>
          <w:rFonts w:ascii="Arial" w:hAnsi="Arial" w:cs="Arial"/>
          <w:color w:val="231F20"/>
          <w:spacing w:val="6"/>
          <w:sz w:val="27"/>
          <w:szCs w:val="27"/>
          <w:shd w:val="clear" w:color="auto" w:fill="FFFFFF"/>
        </w:rPr>
        <w:t>Team</w:t>
      </w:r>
      <w:r>
        <w:rPr>
          <w:rFonts w:ascii="Arial" w:hAnsi="Arial" w:cs="Arial"/>
          <w:color w:val="231F20"/>
          <w:spacing w:val="6"/>
          <w:sz w:val="27"/>
          <w:szCs w:val="27"/>
        </w:rPr>
        <w:br/>
        <w:t>U</w:t>
      </w:r>
      <w:r w:rsidRPr="0039136D">
        <w:rPr>
          <w:rFonts w:ascii="Arial" w:hAnsi="Arial" w:cs="Arial"/>
          <w:color w:val="231F20"/>
          <w:spacing w:val="6"/>
          <w:sz w:val="27"/>
          <w:szCs w:val="27"/>
        </w:rPr>
        <w:t xml:space="preserve">nlock 2% as soon as NFTBooks launches Standard Marketplace level 1. </w:t>
      </w:r>
      <w:r>
        <w:rPr>
          <w:rFonts w:ascii="Arial" w:hAnsi="Arial" w:cs="Arial"/>
          <w:color w:val="231F20"/>
          <w:spacing w:val="6"/>
          <w:sz w:val="27"/>
          <w:szCs w:val="27"/>
        </w:rPr>
        <w:t>U</w:t>
      </w:r>
      <w:r w:rsidRPr="0039136D">
        <w:rPr>
          <w:rFonts w:ascii="Arial" w:hAnsi="Arial" w:cs="Arial"/>
          <w:color w:val="231F20"/>
          <w:spacing w:val="6"/>
          <w:sz w:val="27"/>
          <w:szCs w:val="27"/>
        </w:rPr>
        <w:t xml:space="preserve">nlock 1% when NFTBooks launches Standard Marketplace level 2. </w:t>
      </w:r>
      <w:r>
        <w:rPr>
          <w:rFonts w:ascii="Arial" w:hAnsi="Arial" w:cs="Arial"/>
          <w:color w:val="231F20"/>
          <w:spacing w:val="6"/>
          <w:sz w:val="27"/>
          <w:szCs w:val="27"/>
        </w:rPr>
        <w:t>R</w:t>
      </w:r>
      <w:r w:rsidRPr="0039136D">
        <w:rPr>
          <w:rFonts w:ascii="Arial" w:hAnsi="Arial" w:cs="Arial"/>
          <w:color w:val="231F20"/>
          <w:spacing w:val="6"/>
          <w:sz w:val="27"/>
          <w:szCs w:val="27"/>
        </w:rPr>
        <w:t>emaining 1% at launch of Advanced Marketplace level 2.</w:t>
      </w:r>
    </w:p>
    <w:p w14:paraId="41654E42" w14:textId="32232856" w:rsidR="0039136D" w:rsidRDefault="0039136D" w:rsidP="0039136D">
      <w:pPr>
        <w:pStyle w:val="NormalWeb"/>
        <w:shd w:val="clear" w:color="auto" w:fill="FFFFFF"/>
        <w:spacing w:after="600" w:afterAutospacing="0" w:line="348" w:lineRule="atLeast"/>
        <w:rPr>
          <w:rFonts w:ascii="Arial" w:hAnsi="Arial" w:cs="Arial"/>
          <w:color w:val="231F20"/>
          <w:spacing w:val="6"/>
          <w:sz w:val="27"/>
          <w:szCs w:val="27"/>
        </w:rPr>
      </w:pPr>
      <w:r>
        <w:rPr>
          <w:rStyle w:val="Strong"/>
          <w:rFonts w:ascii="Arial" w:eastAsiaTheme="majorEastAsia" w:hAnsi="Arial" w:cs="Arial"/>
          <w:color w:val="231F20"/>
          <w:spacing w:val="6"/>
          <w:sz w:val="27"/>
          <w:szCs w:val="27"/>
        </w:rPr>
        <w:t>20% Burned</w:t>
      </w:r>
      <w:r>
        <w:rPr>
          <w:rFonts w:ascii="Arial" w:hAnsi="Arial" w:cs="Arial"/>
          <w:color w:val="231F20"/>
          <w:spacing w:val="6"/>
          <w:sz w:val="27"/>
          <w:szCs w:val="27"/>
        </w:rPr>
        <w:br/>
      </w:r>
      <w:r w:rsidRPr="0039136D">
        <w:rPr>
          <w:rFonts w:ascii="Arial" w:hAnsi="Arial" w:cs="Arial"/>
          <w:color w:val="231F20"/>
          <w:spacing w:val="6"/>
          <w:sz w:val="27"/>
          <w:szCs w:val="27"/>
        </w:rPr>
        <w:t xml:space="preserve">20% will be burned as soon as </w:t>
      </w:r>
      <w:r w:rsidRPr="0039136D">
        <w:rPr>
          <w:rFonts w:ascii="Arial" w:hAnsi="Arial" w:cs="Arial"/>
          <w:color w:val="231F20"/>
          <w:sz w:val="27"/>
          <w:szCs w:val="27"/>
        </w:rPr>
        <w:t>Token Generation Event</w:t>
      </w:r>
      <w:r w:rsidRPr="0039136D">
        <w:rPr>
          <w:rFonts w:ascii="Arial" w:hAnsi="Arial" w:cs="Arial"/>
          <w:color w:val="231F20"/>
          <w:spacing w:val="6"/>
          <w:sz w:val="27"/>
          <w:szCs w:val="27"/>
        </w:rPr>
        <w:t>.</w:t>
      </w:r>
    </w:p>
    <w:p w14:paraId="3ED96886" w14:textId="7B888D2E" w:rsidR="0039136D" w:rsidRDefault="0039136D" w:rsidP="0039136D">
      <w:pPr>
        <w:pStyle w:val="NormalWeb"/>
        <w:shd w:val="clear" w:color="auto" w:fill="FFFFFF"/>
        <w:spacing w:after="600" w:afterAutospacing="0" w:line="348" w:lineRule="atLeast"/>
        <w:rPr>
          <w:rFonts w:ascii="Arial" w:hAnsi="Arial" w:cs="Arial"/>
          <w:color w:val="231F20"/>
          <w:spacing w:val="6"/>
          <w:sz w:val="27"/>
          <w:szCs w:val="27"/>
        </w:rPr>
      </w:pPr>
      <w:r>
        <w:rPr>
          <w:rStyle w:val="Strong"/>
          <w:rFonts w:ascii="Arial" w:eastAsiaTheme="majorEastAsia" w:hAnsi="Arial" w:cs="Arial"/>
          <w:color w:val="231F20"/>
          <w:spacing w:val="6"/>
          <w:sz w:val="27"/>
          <w:szCs w:val="27"/>
        </w:rPr>
        <w:t>20% Early Investor</w:t>
      </w:r>
      <w:r>
        <w:rPr>
          <w:rFonts w:ascii="Arial" w:hAnsi="Arial" w:cs="Arial"/>
          <w:color w:val="231F20"/>
          <w:spacing w:val="6"/>
          <w:sz w:val="27"/>
          <w:szCs w:val="27"/>
        </w:rPr>
        <w:br/>
      </w:r>
      <w:r w:rsidRPr="0039136D">
        <w:rPr>
          <w:rFonts w:ascii="Arial" w:hAnsi="Arial" w:cs="Arial"/>
          <w:color w:val="231F20"/>
          <w:spacing w:val="6"/>
          <w:sz w:val="27"/>
          <w:szCs w:val="27"/>
        </w:rPr>
        <w:t>Contributors make the project easy to grow from the very beginning.</w:t>
      </w:r>
    </w:p>
    <w:p w14:paraId="667816D0" w14:textId="111523BB" w:rsidR="0039136D" w:rsidRDefault="0039136D" w:rsidP="0039136D">
      <w:pPr>
        <w:pStyle w:val="NormalWeb"/>
        <w:shd w:val="clear" w:color="auto" w:fill="FFFFFF"/>
        <w:spacing w:after="600" w:afterAutospacing="0" w:line="348" w:lineRule="atLeast"/>
        <w:rPr>
          <w:rFonts w:ascii="Arial" w:hAnsi="Arial" w:cs="Arial"/>
          <w:color w:val="231F20"/>
          <w:spacing w:val="6"/>
          <w:sz w:val="27"/>
          <w:szCs w:val="27"/>
        </w:rPr>
      </w:pPr>
      <w:r>
        <w:rPr>
          <w:rStyle w:val="Strong"/>
          <w:rFonts w:ascii="Arial" w:eastAsiaTheme="majorEastAsia" w:hAnsi="Arial" w:cs="Arial"/>
          <w:color w:val="231F20"/>
          <w:spacing w:val="6"/>
          <w:sz w:val="27"/>
          <w:szCs w:val="27"/>
        </w:rPr>
        <w:t>56% Fairlaunch</w:t>
      </w:r>
      <w:r>
        <w:rPr>
          <w:rFonts w:ascii="Arial" w:hAnsi="Arial" w:cs="Arial"/>
          <w:color w:val="231F20"/>
          <w:spacing w:val="6"/>
          <w:sz w:val="27"/>
          <w:szCs w:val="27"/>
        </w:rPr>
        <w:br/>
      </w:r>
      <w:r w:rsidRPr="0039136D">
        <w:rPr>
          <w:rFonts w:ascii="Arial" w:hAnsi="Arial" w:cs="Arial"/>
          <w:color w:val="231F20"/>
          <w:spacing w:val="6"/>
          <w:sz w:val="27"/>
          <w:szCs w:val="27"/>
        </w:rPr>
        <w:t>We use Pancakeswap to start selling tokens. In the hope that everyone has equal rights to buy the same</w:t>
      </w:r>
    </w:p>
    <w:p w14:paraId="24F4CA50" w14:textId="77777777" w:rsidR="0039136D" w:rsidRDefault="0039136D" w:rsidP="0039136D">
      <w:pPr>
        <w:pStyle w:val="NormalWeb"/>
        <w:shd w:val="clear" w:color="auto" w:fill="FFFFFF"/>
        <w:spacing w:after="600" w:afterAutospacing="0" w:line="348" w:lineRule="atLeast"/>
        <w:rPr>
          <w:rFonts w:ascii="Arial" w:hAnsi="Arial" w:cs="Arial"/>
          <w:color w:val="231F20"/>
          <w:spacing w:val="6"/>
          <w:sz w:val="27"/>
          <w:szCs w:val="27"/>
        </w:rPr>
      </w:pPr>
    </w:p>
    <w:p w14:paraId="67EAAA0E" w14:textId="308AD1EC" w:rsidR="0039136D" w:rsidRDefault="0039136D" w:rsidP="0039136D">
      <w:pPr>
        <w:rPr>
          <w:rFonts w:cstheme="minorHAnsi"/>
          <w:sz w:val="28"/>
          <w:szCs w:val="28"/>
        </w:rPr>
      </w:pPr>
    </w:p>
    <w:p w14:paraId="58A427B8" w14:textId="29DEA906" w:rsidR="0039136D" w:rsidRDefault="0039136D" w:rsidP="0039136D">
      <w:pPr>
        <w:rPr>
          <w:rFonts w:cstheme="minorHAnsi"/>
          <w:sz w:val="28"/>
          <w:szCs w:val="28"/>
        </w:rPr>
      </w:pPr>
    </w:p>
    <w:p w14:paraId="5E07180E" w14:textId="5132B8DC" w:rsidR="0039136D" w:rsidRDefault="0039136D" w:rsidP="0039136D">
      <w:pPr>
        <w:rPr>
          <w:rFonts w:cstheme="minorHAnsi"/>
          <w:sz w:val="28"/>
          <w:szCs w:val="28"/>
        </w:rPr>
      </w:pPr>
    </w:p>
    <w:p w14:paraId="21EABFB8" w14:textId="45C9A99F" w:rsidR="0039136D" w:rsidRDefault="0039136D" w:rsidP="0039136D">
      <w:pPr>
        <w:rPr>
          <w:rFonts w:cstheme="minorHAnsi"/>
          <w:sz w:val="28"/>
          <w:szCs w:val="28"/>
        </w:rPr>
      </w:pPr>
    </w:p>
    <w:p w14:paraId="647CFFF1" w14:textId="2A73AFD2" w:rsidR="0039136D" w:rsidRDefault="0039136D" w:rsidP="0039136D">
      <w:pPr>
        <w:rPr>
          <w:rFonts w:cstheme="minorHAnsi"/>
          <w:sz w:val="28"/>
          <w:szCs w:val="28"/>
        </w:rPr>
      </w:pPr>
    </w:p>
    <w:p w14:paraId="332CDB04" w14:textId="5ADAE61E" w:rsidR="0039136D" w:rsidRDefault="0039136D" w:rsidP="0039136D">
      <w:pPr>
        <w:rPr>
          <w:rFonts w:cstheme="minorHAnsi"/>
          <w:sz w:val="28"/>
          <w:szCs w:val="28"/>
        </w:rPr>
      </w:pPr>
    </w:p>
    <w:p w14:paraId="1ABAF98C" w14:textId="552DBE62" w:rsidR="0039136D" w:rsidRDefault="0039136D" w:rsidP="0039136D">
      <w:pPr>
        <w:rPr>
          <w:b/>
          <w:bCs/>
          <w:sz w:val="60"/>
          <w:szCs w:val="60"/>
        </w:rPr>
      </w:pPr>
      <w:r>
        <w:rPr>
          <w:b/>
          <w:bCs/>
          <w:sz w:val="60"/>
          <w:szCs w:val="60"/>
        </w:rPr>
        <w:t>Our value</w:t>
      </w:r>
    </w:p>
    <w:p w14:paraId="5F90EC9D" w14:textId="77777777" w:rsidR="0039136D" w:rsidRPr="0039136D" w:rsidRDefault="0039136D" w:rsidP="0039136D">
      <w:pPr>
        <w:rPr>
          <w:rFonts w:cstheme="minorHAnsi"/>
          <w:sz w:val="28"/>
          <w:szCs w:val="28"/>
        </w:rPr>
      </w:pPr>
      <w:r w:rsidRPr="0039136D">
        <w:rPr>
          <w:rFonts w:cstheme="minorHAnsi"/>
          <w:sz w:val="28"/>
          <w:szCs w:val="28"/>
        </w:rPr>
        <w:t>We are the pioneers for the automatic publishing model on the NFT platform, we hope that many teams will work together in this field, hope our model can help humanity. Competition to develop, that is inevitable.</w:t>
      </w:r>
    </w:p>
    <w:p w14:paraId="56ED8759" w14:textId="55D219CD" w:rsidR="0039136D" w:rsidRPr="0039136D" w:rsidRDefault="0039136D" w:rsidP="0039136D">
      <w:pPr>
        <w:rPr>
          <w:rFonts w:cstheme="minorHAnsi"/>
          <w:sz w:val="28"/>
          <w:szCs w:val="28"/>
        </w:rPr>
      </w:pPr>
      <w:r w:rsidRPr="0039136D">
        <w:rPr>
          <w:rFonts w:cstheme="minorHAnsi"/>
          <w:sz w:val="28"/>
          <w:szCs w:val="28"/>
        </w:rPr>
        <w:lastRenderedPageBreak/>
        <w:t>NFTBooks was born to solve problems such as these, whether or not it is partly through project developers like us, and partly to the development efforts of the community, authors who love their books, readers who want more good books to read or investors seeking ethical investments, but the value received by all is long-term and permanent.</w:t>
      </w:r>
    </w:p>
    <w:sectPr w:rsidR="0039136D" w:rsidRPr="0039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D"/>
    <w:rsid w:val="0039136D"/>
    <w:rsid w:val="003D36B9"/>
    <w:rsid w:val="00873F43"/>
    <w:rsid w:val="00B8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E473"/>
  <w15:chartTrackingRefBased/>
  <w15:docId w15:val="{6281C282-5D4F-41F6-B5B2-3B6DAE54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13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1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913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9136D"/>
    <w:rPr>
      <w:color w:val="0000FF"/>
      <w:u w:val="single"/>
    </w:rPr>
  </w:style>
  <w:style w:type="character" w:styleId="Emphasis">
    <w:name w:val="Emphasis"/>
    <w:basedOn w:val="DefaultParagraphFont"/>
    <w:uiPriority w:val="20"/>
    <w:qFormat/>
    <w:rsid w:val="0039136D"/>
    <w:rPr>
      <w:i/>
      <w:iCs/>
    </w:rPr>
  </w:style>
  <w:style w:type="character" w:styleId="Strong">
    <w:name w:val="Strong"/>
    <w:basedOn w:val="DefaultParagraphFont"/>
    <w:uiPriority w:val="22"/>
    <w:qFormat/>
    <w:rsid w:val="00391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40989">
      <w:bodyDiv w:val="1"/>
      <w:marLeft w:val="0"/>
      <w:marRight w:val="0"/>
      <w:marTop w:val="0"/>
      <w:marBottom w:val="0"/>
      <w:divBdr>
        <w:top w:val="none" w:sz="0" w:space="0" w:color="auto"/>
        <w:left w:val="none" w:sz="0" w:space="0" w:color="auto"/>
        <w:bottom w:val="none" w:sz="0" w:space="0" w:color="auto"/>
        <w:right w:val="none" w:sz="0" w:space="0" w:color="auto"/>
      </w:divBdr>
      <w:divsChild>
        <w:div w:id="42409450">
          <w:marLeft w:val="0"/>
          <w:marRight w:val="0"/>
          <w:marTop w:val="0"/>
          <w:marBottom w:val="0"/>
          <w:divBdr>
            <w:top w:val="none" w:sz="0" w:space="0" w:color="auto"/>
            <w:left w:val="none" w:sz="0" w:space="0" w:color="auto"/>
            <w:bottom w:val="single" w:sz="2" w:space="0" w:color="FFFFFF"/>
            <w:right w:val="single" w:sz="2" w:space="0" w:color="FFFFFF"/>
          </w:divBdr>
        </w:div>
      </w:divsChild>
    </w:div>
    <w:div w:id="844563181">
      <w:bodyDiv w:val="1"/>
      <w:marLeft w:val="0"/>
      <w:marRight w:val="0"/>
      <w:marTop w:val="0"/>
      <w:marBottom w:val="0"/>
      <w:divBdr>
        <w:top w:val="none" w:sz="0" w:space="0" w:color="auto"/>
        <w:left w:val="none" w:sz="0" w:space="0" w:color="auto"/>
        <w:bottom w:val="none" w:sz="0" w:space="0" w:color="auto"/>
        <w:right w:val="none" w:sz="0" w:space="0" w:color="auto"/>
      </w:divBdr>
    </w:div>
    <w:div w:id="1129318367">
      <w:bodyDiv w:val="1"/>
      <w:marLeft w:val="0"/>
      <w:marRight w:val="0"/>
      <w:marTop w:val="0"/>
      <w:marBottom w:val="0"/>
      <w:divBdr>
        <w:top w:val="none" w:sz="0" w:space="0" w:color="auto"/>
        <w:left w:val="none" w:sz="0" w:space="0" w:color="auto"/>
        <w:bottom w:val="none" w:sz="0" w:space="0" w:color="auto"/>
        <w:right w:val="none" w:sz="0" w:space="0" w:color="auto"/>
      </w:divBdr>
    </w:div>
    <w:div w:id="20822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lợi</dc:creator>
  <cp:keywords/>
  <dc:description/>
  <cp:lastModifiedBy>Picaso Nguyen</cp:lastModifiedBy>
  <cp:revision>4</cp:revision>
  <dcterms:created xsi:type="dcterms:W3CDTF">2021-07-16T06:44:00Z</dcterms:created>
  <dcterms:modified xsi:type="dcterms:W3CDTF">2021-07-16T10:40:00Z</dcterms:modified>
</cp:coreProperties>
</file>