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ourier New" w:cs="Courier New" w:eastAsia="Courier New" w:hAnsi="Courier New"/>
          <w:color w:val="999999"/>
          <w:sz w:val="16"/>
          <w:szCs w:val="16"/>
        </w:rPr>
        <w:t xml:space="preserve">POSITION PAPER  ·  DEFI INFRASTRUCTURE  ·  MONAD NETWORK</w:t>
      </w:r>
    </w:p>
    <w:p>
      <w:pPr>
        <w:pBdr>
          <w:top w:val="single" w:color="0F0E0C" w:sz="12" w:space="8"/>
        </w:pBdr>
        <w:spacing w:after="160" w:before="160"/>
      </w:pPr>
      <w:r>
        <w:t xml:space="preserve"/>
      </w:r>
    </w:p>
    <w:p>
      <w:pPr>
        <w:spacing w:after="120" w:before="0"/>
      </w:pPr>
      <w:r>
        <w:rPr>
          <w:rFonts w:ascii="Georgia" w:cs="Georgia" w:eastAsia="Georgia" w:hAnsi="Georgia"/>
          <w:b/>
          <w:bCs/>
          <w:color w:val="0F0E0C"/>
          <w:sz w:val="52"/>
          <w:szCs w:val="52"/>
        </w:rPr>
        <w:t xml:space="preserve">Governance-Minimized DeFi Infrastructure: Bridges, Oracles, and the Perpetuals DEX as Research Instrument</w:t>
      </w:r>
    </w:p>
    <w:p>
      <w:pPr>
        <w:spacing w:after="280" w:before="0"/>
      </w:pPr>
      <w:r>
        <w:rPr>
          <w:rFonts w:ascii="Georgia" w:cs="Georgia" w:eastAsia="Georgia" w:hAnsi="Georgia"/>
          <w:i/>
          <w:iCs/>
          <w:color w:val="4A4843"/>
          <w:sz w:val="24"/>
          <w:szCs w:val="24"/>
        </w:rPr>
        <w:t xml:space="preserve">Three propositions for building DeFi rails that earn trust through economic commitment rather than multisig keys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Pr>
          <w:p>
            <w:r>
              <w:rPr>
                <w:rFonts w:ascii="Courier New" w:cs="Courier New" w:eastAsia="Courier New" w:hAnsi="Courier New"/>
                <w:color w:val="AAAAAA"/>
                <w:sz w:val="16"/>
                <w:szCs w:val="16"/>
              </w:rPr>
              <w:t xml:space="preserve">DOMAIN</w:t>
            </w:r>
          </w:p>
          <w:p>
            <w:r>
              <w:rPr>
                <w:rFonts w:ascii="Arial" w:cs="Arial" w:eastAsia="Arial" w:hAnsi="Arial"/>
                <w:b/>
                <w:bCs/>
                <w:color w:val="0F0E0C"/>
                <w:sz w:val="20"/>
                <w:szCs w:val="20"/>
              </w:rPr>
              <w:t xml:space="preserve">Decentralized Finance</w:t>
            </w:r>
          </w:p>
        </w:tc>
        <w:tc>
          <w:tcPr>
            <w:tcW w:type="dxa" w:w="2340"/>
            <w:tcBorders>
              <w:top w:val="none" w:color="FFFFFF" w:sz="0"/>
              <w:left w:val="none" w:color="FFFFFF" w:sz="0"/>
              <w:bottom w:val="none" w:color="FFFFFF" w:sz="0"/>
              <w:right w:val="none" w:color="FFFFFF" w:sz="0"/>
            </w:tcBorders>
          </w:tcPr>
          <w:p>
            <w:r>
              <w:rPr>
                <w:rFonts w:ascii="Courier New" w:cs="Courier New" w:eastAsia="Courier New" w:hAnsi="Courier New"/>
                <w:color w:val="AAAAAA"/>
                <w:sz w:val="16"/>
                <w:szCs w:val="16"/>
              </w:rPr>
              <w:t xml:space="preserve">CHAIN</w:t>
            </w:r>
          </w:p>
          <w:p>
            <w:r>
              <w:rPr>
                <w:rFonts w:ascii="Arial" w:cs="Arial" w:eastAsia="Arial" w:hAnsi="Arial"/>
                <w:b/>
                <w:bCs/>
                <w:color w:val="0F0E0C"/>
                <w:sz w:val="20"/>
                <w:szCs w:val="20"/>
              </w:rPr>
              <w:t xml:space="preserve">Monad Network</w:t>
            </w:r>
          </w:p>
        </w:tc>
        <w:tc>
          <w:tcPr>
            <w:tcW w:type="dxa" w:w="2340"/>
            <w:tcBorders>
              <w:top w:val="none" w:color="FFFFFF" w:sz="0"/>
              <w:left w:val="none" w:color="FFFFFF" w:sz="0"/>
              <w:bottom w:val="none" w:color="FFFFFF" w:sz="0"/>
              <w:right w:val="none" w:color="FFFFFF" w:sz="0"/>
            </w:tcBorders>
          </w:tcPr>
          <w:p>
            <w:r>
              <w:rPr>
                <w:rFonts w:ascii="Courier New" w:cs="Courier New" w:eastAsia="Courier New" w:hAnsi="Courier New"/>
                <w:color w:val="AAAAAA"/>
                <w:sz w:val="16"/>
                <w:szCs w:val="16"/>
              </w:rPr>
              <w:t xml:space="preserve">STATUS</w:t>
            </w:r>
          </w:p>
          <w:p>
            <w:r>
              <w:rPr>
                <w:rFonts w:ascii="Arial" w:cs="Arial" w:eastAsia="Arial" w:hAnsi="Arial"/>
                <w:b/>
                <w:bCs/>
                <w:color w:val="0F0E0C"/>
                <w:sz w:val="20"/>
                <w:szCs w:val="20"/>
              </w:rPr>
              <w:t xml:space="preserve">Working draft</w:t>
            </w:r>
          </w:p>
        </w:tc>
        <w:tc>
          <w:tcPr>
            <w:tcW w:type="dxa" w:w="2340"/>
            <w:tcBorders>
              <w:top w:val="none" w:color="FFFFFF" w:sz="0"/>
              <w:left w:val="none" w:color="FFFFFF" w:sz="0"/>
              <w:bottom w:val="none" w:color="FFFFFF" w:sz="0"/>
              <w:right w:val="none" w:color="FFFFFF" w:sz="0"/>
            </w:tcBorders>
          </w:tcPr>
          <w:p>
            <w:r>
              <w:rPr>
                <w:rFonts w:ascii="Courier New" w:cs="Courier New" w:eastAsia="Courier New" w:hAnsi="Courier New"/>
                <w:color w:val="AAAAAA"/>
                <w:sz w:val="16"/>
                <w:szCs w:val="16"/>
              </w:rPr>
              <w:t xml:space="preserve">YEAR</w:t>
            </w:r>
          </w:p>
          <w:p>
            <w:r>
              <w:rPr>
                <w:rFonts w:ascii="Arial" w:cs="Arial" w:eastAsia="Arial" w:hAnsi="Arial"/>
                <w:b/>
                <w:bCs/>
                <w:color w:val="0F0E0C"/>
                <w:sz w:val="20"/>
                <w:szCs w:val="20"/>
              </w:rPr>
              <w:t xml:space="preserve">2026</w:t>
            </w:r>
          </w:p>
        </w:tc>
      </w:tr>
    </w:tbl>
    <w:p>
      <w:pPr>
        <w:spacing w:after="0" w:before="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3a2a" w:sz="4"/>
              <w:left w:val="single" w:color="1a3a2a" w:sz="4"/>
              <w:bottom w:val="single" w:color="1a3a2a" w:sz="4"/>
              <w:right w:val="single" w:color="1a3a2a" w:sz="4"/>
            </w:tcBorders>
            <w:shd w:fill="F0EDE6" w:val="clear"/>
            <w:tcMar>
              <w:top w:type="dxa" w:w="160"/>
              <w:left w:type="dxa" w:w="200"/>
              <w:bottom w:type="dxa" w:w="160"/>
              <w:right w:type="dxa" w:w="200"/>
            </w:tcMar>
          </w:tcPr>
          <w:p>
            <w:pPr>
              <w:spacing w:after="80" w:before="0"/>
            </w:pPr>
            <w:r>
              <w:rPr>
                <w:rFonts w:ascii="Courier New" w:cs="Courier New" w:eastAsia="Courier New" w:hAnsi="Courier New"/>
                <w:b/>
                <w:bCs/>
                <w:color w:val="1a3a2a"/>
                <w:sz w:val="16"/>
                <w:szCs w:val="16"/>
              </w:rPr>
              <w:t xml:space="preserve">ABSTRACT</w:t>
            </w:r>
          </w:p>
          <w:p>
            <w:pPr>
              <w:spacing w:after="0" w:before="0"/>
            </w:pPr>
            <w:r>
              <w:rPr>
                <w:rFonts w:ascii="Arial" w:cs="Arial" w:eastAsia="Arial" w:hAnsi="Arial"/>
                <w:color w:val="1a1a1a"/>
                <w:sz w:val="20"/>
                <w:szCs w:val="20"/>
              </w:rPr>
              <w:t xml:space="preserve">The dominant trust model in DeFi today relies on upgrade keys, governance votes, and multisig signers to manage protocol risk. This model is incompatible with immutable smart contracts — contracts that cannot be patched and therefore cannot afford to depend on infrastructure that changes. This paper argues that three primitives, built together, can replace governance-mediated trust with economic trust: bridges with immutability guarantees, oracles with on-chain skin-in-the-game, and a perpetuals DEX used as an empirical instrument to calibrate the risk parameters both primitives require. The result is a closed-loop infrastructure stack where economic incentives do the work that administrators currently do.</w:t>
            </w:r>
          </w:p>
        </w:tc>
      </w:tr>
    </w:tbl>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01</w:t>
      </w:r>
    </w:p>
    <w:p>
      <w:pPr>
        <w:pStyle w:val="Heading2"/>
        <w:spacing w:after="120" w:before="360"/>
      </w:pPr>
      <w:r>
        <w:rPr>
          <w:rFonts w:ascii="Georgia" w:cs="Georgia" w:eastAsia="Georgia" w:hAnsi="Georgia"/>
          <w:b/>
          <w:bCs/>
          <w:color w:val="0F0E0C"/>
          <w:sz w:val="32"/>
          <w:szCs w:val="32"/>
        </w:rPr>
        <w:t xml:space="preserve">The problem with governed infrastructure</w:t>
      </w:r>
    </w:p>
    <w:p>
      <w:pPr>
        <w:spacing w:after="0" w:before="80"/>
      </w:pPr>
      <w:r>
        <w:t xml:space="preserve"/>
      </w:r>
    </w:p>
    <w:p>
      <w:pPr>
        <w:spacing w:after="160" w:before="0"/>
      </w:pPr>
      <w:r>
        <w:rPr>
          <w:rFonts w:ascii="Arial" w:cs="Arial" w:eastAsia="Arial" w:hAnsi="Arial"/>
          <w:color w:val="1a1a1a"/>
          <w:sz w:val="22"/>
          <w:szCs w:val="22"/>
        </w:rPr>
        <w:t xml:space="preserve">Most DeFi protocols today carry an invisible dependency: they trust that the bridges, oracles, and liquidity venues they integrate with will not change under them in ways that break their assumptions. This trust is managed through social coordination — governance forums, multisig committees, emergency pause mechanisms. It works tolerably when every participant is paying attention and when the stakes are low enough that a bad decision can be recovered from.</w:t>
      </w:r>
    </w:p>
    <w:p>
      <w:pPr>
        <w:spacing w:after="160" w:before="0"/>
      </w:pPr>
      <w:r>
        <w:rPr>
          <w:rFonts w:ascii="Arial" w:cs="Arial" w:eastAsia="Arial" w:hAnsi="Arial"/>
          <w:color w:val="1a1a1a"/>
          <w:sz w:val="22"/>
          <w:szCs w:val="22"/>
        </w:rPr>
        <w:t xml:space="preserve">Immutable contracts break this assumption entirely. A contract deployed without an upgrade key cannot be patched. If it integrates with a bridge that gets exploited and replaced, the contract is broken. If it reads from an oracle that changes its price format in an upgrade, the contract miscomputes. The only honest response is for immutable contract developers to avoid integrating with anything they cannot guarantee will remain stable — which in practice means avoiding most of the ecosystem.</w:t>
      </w:r>
    </w:p>
    <w:p>
      <w:pPr>
        <w:pBdr>
          <w:top w:val="single" w:color="1a3a2a" w:sz="4" w:space="8"/>
          <w:bottom w:val="single" w:color="1a3a2a" w:sz="4" w:space="8"/>
        </w:pBdr>
        <w:spacing w:after="280" w:before="280"/>
      </w:pPr>
      <w:r>
        <w:rPr>
          <w:rFonts w:ascii="Georgia" w:cs="Georgia" w:eastAsia="Georgia" w:hAnsi="Georgia"/>
          <w:i/>
          <w:iCs/>
          <w:color w:val="1a3a2a"/>
          <w:sz w:val="28"/>
          <w:szCs w:val="28"/>
        </w:rPr>
        <w:t xml:space="preserve">“The practical effect of governed infrastructure is that immutable contracts cannot participate in DeFi. They are exiled to the periphery of an ecosystem they were supposed to define.”</w:t>
      </w:r>
    </w:p>
    <w:p>
      <w:pPr>
        <w:spacing w:after="160" w:before="0"/>
      </w:pPr>
      <w:r>
        <w:rPr>
          <w:rFonts w:ascii="Arial" w:cs="Arial" w:eastAsia="Arial" w:hAnsi="Arial"/>
          <w:color w:val="1a1a1a"/>
          <w:sz w:val="22"/>
          <w:szCs w:val="22"/>
        </w:rPr>
        <w:t xml:space="preserve">This is not a marginal problem. The immutability of smart contracts is one of the foundational properties that gives DeFi its credibility. An ecosystem where the most secure contracts are also the least interoperable has a structural contradiction at its core. Resolving that contradiction requires building infrastructure that earns the trust of immutable contracts — not by asking them to accept governance risk, but by making the infrastructure’s behavior economically guaranteed.</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02</w:t>
      </w:r>
    </w:p>
    <w:p>
      <w:pPr>
        <w:pStyle w:val="Heading2"/>
        <w:spacing w:after="120" w:before="360"/>
      </w:pPr>
      <w:r>
        <w:rPr>
          <w:rFonts w:ascii="Georgia" w:cs="Georgia" w:eastAsia="Georgia" w:hAnsi="Georgia"/>
          <w:b/>
          <w:bCs/>
          <w:color w:val="0F0E0C"/>
          <w:sz w:val="32"/>
          <w:szCs w:val="32"/>
        </w:rPr>
        <w:t xml:space="preserve">Three propositions</w:t>
      </w:r>
    </w:p>
    <w:p>
      <w:pPr>
        <w:spacing w:after="0" w:before="80"/>
      </w:pPr>
      <w:r>
        <w:t xml:space="preserve"/>
      </w:r>
    </w:p>
    <w:p>
      <w:pPr>
        <w:spacing w:after="160" w:before="0"/>
      </w:pPr>
      <w:r>
        <w:rPr>
          <w:rFonts w:ascii="Arial" w:cs="Arial" w:eastAsia="Arial" w:hAnsi="Arial"/>
          <w:color w:val="1a1a1a"/>
          <w:sz w:val="22"/>
          <w:szCs w:val="22"/>
        </w:rPr>
        <w:t xml:space="preserve">The following three propositions form a coherent infrastructure thesis. They are not independent features — each one depends on the others to function. Together they describe a stack where trust is structural rather than social.</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none" w:color="FFFFFF" w:sz="0"/>
            </w:tcBorders>
            <w:shd w:fill="EDE9E2" w:val="clear"/>
            <w:tcMar>
              <w:top w:type="dxa" w:w="160"/>
              <w:left w:type="dxa" w:w="160"/>
              <w:bottom w:type="dxa" w:w="160"/>
              <w:right w:type="dxa" w:w="160"/>
            </w:tcMar>
            <w:vAlign w:val="center"/>
          </w:tcPr>
          <w:p>
            <w:pPr>
              <w:jc w:val="center"/>
            </w:pPr>
            <w:r>
              <w:rPr>
                <w:rFonts w:ascii="Courier New" w:cs="Courier New" w:eastAsia="Courier New" w:hAnsi="Courier New"/>
                <w:color w:val="AAAAAA"/>
                <w:sz w:val="40"/>
                <w:szCs w:val="40"/>
              </w:rPr>
              <w:t xml:space="preserve">1</w:t>
            </w:r>
          </w:p>
        </w:tc>
        <w:tc>
          <w:tcPr>
            <w:tcW w:type="dxa" w:w="8720"/>
            <w:tcBorders>
              <w:top w:val="single" w:color="CCCCCC" w:sz="1"/>
              <w:left w:val="none" w:color="FFFFFF" w:sz="0"/>
              <w:bottom w:val="single" w:color="CCCCCC" w:sz="1"/>
              <w:right w:val="single" w:color="CCCCCC" w:sz="1"/>
            </w:tcBorders>
            <w:shd w:fill="F7F4EF" w:val="clear"/>
            <w:tcMar>
              <w:top w:type="dxa" w:w="160"/>
              <w:left w:type="dxa" w:w="200"/>
              <w:bottom w:type="dxa" w:w="160"/>
              <w:right w:type="dxa" w:w="200"/>
            </w:tcMar>
          </w:tcPr>
          <w:p>
            <w:pPr>
              <w:spacing w:after="80" w:before="0"/>
            </w:pPr>
            <w:r>
              <w:rPr>
                <w:rFonts w:ascii="Arial" w:cs="Arial" w:eastAsia="Arial" w:hAnsi="Arial"/>
                <w:b/>
                <w:bCs/>
                <w:color w:val="0F0E0C"/>
                <w:sz w:val="22"/>
                <w:szCs w:val="22"/>
              </w:rPr>
              <w:t xml:space="preserve">Bridges should be sturdy enough that immutable contracts integrate with them permanently</w:t>
            </w:r>
          </w:p>
          <w:p>
            <w:pPr>
              <w:spacing w:after="0" w:before="0"/>
            </w:pPr>
            <w:r>
              <w:rPr>
                <w:rFonts w:ascii="Arial" w:cs="Arial" w:eastAsia="Arial" w:hAnsi="Arial"/>
                <w:color w:val="4A4843"/>
                <w:sz w:val="20"/>
                <w:szCs w:val="20"/>
              </w:rPr>
              <w:t xml:space="preserve">A bridge designed for immutable contract integration must commit to behavioral stability as a first-class property. This means no upgrade keys on critical message-passing logic, bond-backed relayers whose collateral is slashed on equivocation, and a security model that does not degrade as TVL grows. The bar is not “safe enough for now” — it is “safe enough to hardcode.”</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none" w:color="FFFFFF" w:sz="0"/>
            </w:tcBorders>
            <w:shd w:fill="EDE9E2" w:val="clear"/>
            <w:tcMar>
              <w:top w:type="dxa" w:w="160"/>
              <w:left w:type="dxa" w:w="160"/>
              <w:bottom w:type="dxa" w:w="160"/>
              <w:right w:type="dxa" w:w="160"/>
            </w:tcMar>
            <w:vAlign w:val="center"/>
          </w:tcPr>
          <w:p>
            <w:pPr>
              <w:jc w:val="center"/>
            </w:pPr>
            <w:r>
              <w:rPr>
                <w:rFonts w:ascii="Courier New" w:cs="Courier New" w:eastAsia="Courier New" w:hAnsi="Courier New"/>
                <w:color w:val="AAAAAA"/>
                <w:sz w:val="40"/>
                <w:szCs w:val="40"/>
              </w:rPr>
              <w:t xml:space="preserve">2</w:t>
            </w:r>
          </w:p>
        </w:tc>
        <w:tc>
          <w:tcPr>
            <w:tcW w:type="dxa" w:w="8720"/>
            <w:tcBorders>
              <w:top w:val="single" w:color="CCCCCC" w:sz="1"/>
              <w:left w:val="none" w:color="FFFFFF" w:sz="0"/>
              <w:bottom w:val="single" w:color="CCCCCC" w:sz="1"/>
              <w:right w:val="single" w:color="CCCCCC" w:sz="1"/>
            </w:tcBorders>
            <w:shd w:fill="F7F4EF" w:val="clear"/>
            <w:tcMar>
              <w:top w:type="dxa" w:w="160"/>
              <w:left w:type="dxa" w:w="200"/>
              <w:bottom w:type="dxa" w:w="160"/>
              <w:right w:type="dxa" w:w="200"/>
            </w:tcMar>
          </w:tcPr>
          <w:p>
            <w:pPr>
              <w:spacing w:after="80" w:before="0"/>
            </w:pPr>
            <w:r>
              <w:rPr>
                <w:rFonts w:ascii="Arial" w:cs="Arial" w:eastAsia="Arial" w:hAnsi="Arial"/>
                <w:b/>
                <w:bCs/>
                <w:color w:val="0F0E0C"/>
                <w:sz w:val="22"/>
                <w:szCs w:val="22"/>
              </w:rPr>
              <w:t xml:space="preserve">Oracles should have economic incentives that immutable contracts can trust</w:t>
            </w:r>
          </w:p>
          <w:p>
            <w:pPr>
              <w:spacing w:after="0" w:before="0"/>
            </w:pPr>
            <w:r>
              <w:rPr>
                <w:rFonts w:ascii="Arial" w:cs="Arial" w:eastAsia="Arial" w:hAnsi="Arial"/>
                <w:color w:val="4A4843"/>
                <w:sz w:val="20"/>
                <w:szCs w:val="20"/>
              </w:rPr>
              <w:t xml:space="preserve">An oracle whose accuracy is enforced only by reputation or governance is not safe for immutable contracts to depend on. The oracle needs collateral at risk — a publisher who stakes capital that is slashed if their published data diverges materially from realised outcomes. The economic incentive becomes the security model. No multisig can override it. No governance vote can suspend it.</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single" w:color="CCCCCC" w:sz="1"/>
              <w:left w:val="single" w:color="CCCCCC" w:sz="1"/>
              <w:bottom w:val="single" w:color="CCCCCC" w:sz="1"/>
              <w:right w:val="none" w:color="FFFFFF" w:sz="0"/>
            </w:tcBorders>
            <w:shd w:fill="EDE9E2" w:val="clear"/>
            <w:tcMar>
              <w:top w:type="dxa" w:w="160"/>
              <w:left w:type="dxa" w:w="160"/>
              <w:bottom w:type="dxa" w:w="160"/>
              <w:right w:type="dxa" w:w="160"/>
            </w:tcMar>
            <w:vAlign w:val="center"/>
          </w:tcPr>
          <w:p>
            <w:pPr>
              <w:jc w:val="center"/>
            </w:pPr>
            <w:r>
              <w:rPr>
                <w:rFonts w:ascii="Courier New" w:cs="Courier New" w:eastAsia="Courier New" w:hAnsi="Courier New"/>
                <w:color w:val="AAAAAA"/>
                <w:sz w:val="40"/>
                <w:szCs w:val="40"/>
              </w:rPr>
              <w:t xml:space="preserve">3</w:t>
            </w:r>
          </w:p>
        </w:tc>
        <w:tc>
          <w:tcPr>
            <w:tcW w:type="dxa" w:w="8720"/>
            <w:tcBorders>
              <w:top w:val="single" w:color="CCCCCC" w:sz="1"/>
              <w:left w:val="none" w:color="FFFFFF" w:sz="0"/>
              <w:bottom w:val="single" w:color="CCCCCC" w:sz="1"/>
              <w:right w:val="single" w:color="CCCCCC" w:sz="1"/>
            </w:tcBorders>
            <w:shd w:fill="F7F4EF" w:val="clear"/>
            <w:tcMar>
              <w:top w:type="dxa" w:w="160"/>
              <w:left w:type="dxa" w:w="200"/>
              <w:bottom w:type="dxa" w:w="160"/>
              <w:right w:type="dxa" w:w="200"/>
            </w:tcMar>
          </w:tcPr>
          <w:p>
            <w:pPr>
              <w:spacing w:after="80" w:before="0"/>
            </w:pPr>
            <w:r>
              <w:rPr>
                <w:rFonts w:ascii="Arial" w:cs="Arial" w:eastAsia="Arial" w:hAnsi="Arial"/>
                <w:b/>
                <w:bCs/>
                <w:color w:val="0F0E0C"/>
                <w:sz w:val="22"/>
                <w:szCs w:val="22"/>
              </w:rPr>
              <w:t xml:space="preserve">A perpetuals DEX prototype is the empirical instrument that calibrates the stack</w:t>
            </w:r>
          </w:p>
          <w:p>
            <w:pPr>
              <w:spacing w:after="0" w:before="0"/>
            </w:pPr>
            <w:r>
              <w:rPr>
                <w:rFonts w:ascii="Arial" w:cs="Arial" w:eastAsia="Arial" w:hAnsi="Arial"/>
                <w:color w:val="4A4843"/>
                <w:sz w:val="20"/>
                <w:szCs w:val="20"/>
              </w:rPr>
              <w:t xml:space="preserve">Risk parameters — maximum open interest, liquidation thresholds, funding rate bands — cannot be derived from theory alone. They require data from real positions under real market conditions. A prototype perpetuals DEX, consuming oracle data and bridge liquidity as inputs, generates the empirical feedback loop that tells builders whether their scoring models are calibrated correctly and what additional data the oracle needs to produce.</w:t>
            </w:r>
          </w:p>
        </w:tc>
      </w:tr>
    </w:tbl>
    <w:p>
      <w:pPr>
        <w:spacing w:after="0" w:before="160"/>
      </w:pPr>
      <w:r>
        <w:t xml:space="preserve"/>
      </w:r>
    </w:p>
    <w:p>
      <w:pPr>
        <w:spacing w:after="160" w:before="0"/>
      </w:pPr>
      <w:r>
        <w:rPr>
          <w:rFonts w:ascii="Arial" w:cs="Arial" w:eastAsia="Arial" w:hAnsi="Arial"/>
          <w:color w:val="1a1a1a"/>
          <w:sz w:val="22"/>
          <w:szCs w:val="22"/>
        </w:rPr>
        <w:t xml:space="preserve">The relationship between propositions II and III is particularly important. The oracle publishes risk scores that the DEX uses to set its parameters. The DEX generates trading data that reveals whether those risk scores were accurate. Accurate scores mean no slashing. Inaccurate scores trigger slashing, which selects against publishers with weak models. Over time the oracle becomes more accurate not through governance intervention but through market selection.</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03</w:t>
      </w:r>
    </w:p>
    <w:p>
      <w:pPr>
        <w:pStyle w:val="Heading2"/>
        <w:spacing w:after="120" w:before="360"/>
      </w:pPr>
      <w:r>
        <w:rPr>
          <w:rFonts w:ascii="Georgia" w:cs="Georgia" w:eastAsia="Georgia" w:hAnsi="Georgia"/>
          <w:b/>
          <w:bCs/>
          <w:color w:val="0F0E0C"/>
          <w:sz w:val="32"/>
          <w:szCs w:val="32"/>
        </w:rPr>
        <w:t xml:space="preserve">The oracle as the structural core</w:t>
      </w:r>
    </w:p>
    <w:p>
      <w:pPr>
        <w:spacing w:after="0" w:before="80"/>
      </w:pPr>
      <w:r>
        <w:t xml:space="preserve"/>
      </w:r>
    </w:p>
    <w:p>
      <w:pPr>
        <w:spacing w:after="160" w:before="0"/>
      </w:pPr>
      <w:r>
        <w:rPr>
          <w:rFonts w:ascii="Arial" w:cs="Arial" w:eastAsia="Arial" w:hAnsi="Arial"/>
          <w:color w:val="1a1a1a"/>
          <w:sz w:val="22"/>
          <w:szCs w:val="22"/>
        </w:rPr>
        <w:t xml:space="preserve">Of the three propositions, the incentive-aligned oracle is the most novel and the most load-bearing. Bridges with strong security guarantees exist in various forms. Perpetuals DEXs are well-understood. But an oracle whose security model is entirely economic — where the correctness of data is enforced by collateral at risk rather than by the identity of signers — represents a meaningful departure from current practice.</w:t>
      </w:r>
    </w:p>
    <w:p>
      <w:pPr>
        <w:pStyle w:val="Heading3"/>
        <w:spacing w:after="100" w:before="280"/>
      </w:pPr>
      <w:r>
        <w:rPr>
          <w:rFonts w:ascii="Georgia" w:cs="Georgia" w:eastAsia="Georgia" w:hAnsi="Georgia"/>
          <w:i/>
          <w:iCs/>
          <w:color w:val="1a3a2a"/>
          <w:sz w:val="26"/>
          <w:szCs w:val="26"/>
        </w:rPr>
        <w:t xml:space="preserve">What economic enforcement actually means</w:t>
      </w:r>
    </w:p>
    <w:p>
      <w:pPr>
        <w:spacing w:after="160" w:before="0"/>
      </w:pPr>
      <w:r>
        <w:rPr>
          <w:rFonts w:ascii="Arial" w:cs="Arial" w:eastAsia="Arial" w:hAnsi="Arial"/>
          <w:color w:val="1a1a1a"/>
          <w:sz w:val="22"/>
          <w:szCs w:val="22"/>
        </w:rPr>
        <w:t xml:space="preserve">The conventional oracle design relies on a committee of reputable data providers. Providers are selected for their reputation and can be replaced by governance if they misbehave. This design works but it depends on the governance mechanism being trustworthy, responsive, and uncaptured — conditions that cannot be guaranteed at the contract level.</w:t>
      </w:r>
    </w:p>
    <w:p>
      <w:pPr>
        <w:spacing w:after="160" w:before="0"/>
      </w:pPr>
      <w:r>
        <w:rPr>
          <w:rFonts w:ascii="Arial" w:cs="Arial" w:eastAsia="Arial" w:hAnsi="Arial"/>
          <w:color w:val="1a1a1a"/>
          <w:sz w:val="22"/>
          <w:szCs w:val="22"/>
        </w:rPr>
        <w:t xml:space="preserve">Economic enforcement replaces this with a simpler guarantee: a publisher who stakes collateral and publishes inaccurate data loses that collateral. The slash condition is defined in the contract and executed by anyone who submits valid proof of the deviation. No governance vote is required. No emergency committee needs to convene. The incentive structure polices itself.</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8D5A0" w:sz="4"/>
              <w:left w:val="single" w:color="E8D5A0" w:sz="4"/>
              <w:bottom w:val="single" w:color="E8D5A0" w:sz="4"/>
              <w:right w:val="single" w:color="E8D5A0" w:sz="4"/>
            </w:tcBorders>
            <w:shd w:fill="FDF3DB" w:val="clear"/>
            <w:tcMar>
              <w:top w:type="dxa" w:w="160"/>
              <w:left w:type="dxa" w:w="200"/>
              <w:bottom w:type="dxa" w:w="160"/>
              <w:right w:type="dxa" w:w="200"/>
            </w:tcMar>
          </w:tcPr>
          <w:p>
            <w:pPr>
              <w:spacing w:after="80" w:before="0"/>
            </w:pPr>
            <w:r>
              <w:rPr>
                <w:rFonts w:ascii="Courier New" w:cs="Courier New" w:eastAsia="Courier New" w:hAnsi="Courier New"/>
                <w:b/>
                <w:bCs/>
                <w:color w:val="8B5E00"/>
                <w:sz w:val="16"/>
                <w:szCs w:val="16"/>
              </w:rPr>
              <w:t xml:space="preserve">DESIGN NOTE</w:t>
            </w:r>
          </w:p>
          <w:p>
            <w:pPr>
              <w:spacing w:after="0" w:before="0"/>
            </w:pPr>
            <w:r>
              <w:rPr>
                <w:rFonts w:ascii="Arial" w:cs="Arial" w:eastAsia="Arial" w:hAnsi="Arial"/>
                <w:color w:val="5A3D00"/>
                <w:sz w:val="20"/>
                <w:szCs w:val="20"/>
              </w:rPr>
              <w:t xml:space="preserve">Staking collateral in shMON rather than MON is deliberate. Publishers earn MEV-enhanced staking yield on locked collateral, which reduces the opportunity cost of participation and widens the publisher set. A larger publisher set means more independent pricing — the oracle becomes more accurate as participation grows, not less. The economic incentive to publish correctly and the economic incentive to publish at all are aligned rather than competing.</w:t>
            </w:r>
          </w:p>
        </w:tc>
      </w:tr>
    </w:tbl>
    <w:p>
      <w:pPr>
        <w:pStyle w:val="Heading3"/>
        <w:spacing w:after="100" w:before="280"/>
      </w:pPr>
      <w:r>
        <w:rPr>
          <w:rFonts w:ascii="Georgia" w:cs="Georgia" w:eastAsia="Georgia" w:hAnsi="Georgia"/>
          <w:i/>
          <w:iCs/>
          <w:color w:val="1a3a2a"/>
          <w:sz w:val="26"/>
          <w:szCs w:val="26"/>
        </w:rPr>
        <w:t xml:space="preserve">The three slash conditions</w:t>
      </w:r>
    </w:p>
    <w:p>
      <w:pPr>
        <w:spacing w:after="160" w:before="0"/>
      </w:pPr>
      <w:r>
        <w:rPr>
          <w:rFonts w:ascii="Arial" w:cs="Arial" w:eastAsia="Arial" w:hAnsi="Arial"/>
          <w:color w:val="1a1a1a"/>
          <w:sz w:val="22"/>
          <w:szCs w:val="22"/>
        </w:rPr>
        <w:t xml:space="preserve">Three independent conditions are sufficient to cover the failure modes that matter for a yield intelligence oracle feeding a perpetuals DEX: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CONDITION</w:t>
            </w:r>
          </w:p>
        </w:tc>
        <w:tc>
          <w:tcPr>
            <w:tcW w:type="dxa" w:w="400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TRIGGER</w:t>
            </w:r>
          </w:p>
        </w:tc>
        <w:tc>
          <w:tcPr>
            <w:tcW w:type="dxa" w:w="316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WHAT IT CATCHES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APY deviation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Published APY differs from realised APY by more than 500bps over the settlement window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Systematically optimistic yield projections that inflate apparent attractiveness of pools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Risk score flip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Pool rated safe (score ≥70) suffers a TVL loss event of 20% or more within the settlement window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Failure to detect smart contract risk, liquidity concentration, or protocol insolvency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Confidence fraud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Publisher reports high confidence (≥80) but makes zero updates during the settlement window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Stale data presented as current, which is particularly dangerous in volatile market conditions</w:t>
            </w:r>
          </w:p>
        </w:tc>
      </w:tr>
    </w:tbl>
    <w:p>
      <w:pPr>
        <w:spacing w:after="0" w:before="160"/>
      </w:pPr>
      <w:r>
        <w:t xml:space="preserve"/>
      </w:r>
    </w:p>
    <w:p>
      <w:pPr>
        <w:spacing w:after="160" w:before="0"/>
      </w:pPr>
      <w:r>
        <w:rPr>
          <w:rFonts w:ascii="Arial" w:cs="Arial" w:eastAsia="Arial" w:hAnsi="Arial"/>
          <w:color w:val="1a1a1a"/>
          <w:sz w:val="22"/>
          <w:szCs w:val="22"/>
        </w:rPr>
        <w:t xml:space="preserve">Each condition is verifiable on-chain using merkle proofs of historical snapshots. No trusted third party is required to adjudicate. The watchdog who submits a valid slash proof receives a bounty from the slashed stake — creating a natural economic incentive for monitoring that scales with the value secured by the oracle.</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04</w:t>
      </w:r>
    </w:p>
    <w:p>
      <w:pPr>
        <w:pStyle w:val="Heading2"/>
        <w:spacing w:after="120" w:before="360"/>
      </w:pPr>
      <w:r>
        <w:rPr>
          <w:rFonts w:ascii="Georgia" w:cs="Georgia" w:eastAsia="Georgia" w:hAnsi="Georgia"/>
          <w:b/>
          <w:bCs/>
          <w:color w:val="0F0E0C"/>
          <w:sz w:val="32"/>
          <w:szCs w:val="32"/>
        </w:rPr>
        <w:t xml:space="preserve">The on-chain architecture</w:t>
      </w:r>
    </w:p>
    <w:p>
      <w:pPr>
        <w:spacing w:after="0" w:before="80"/>
      </w:pPr>
      <w:r>
        <w:t xml:space="preserve"/>
      </w:r>
    </w:p>
    <w:p>
      <w:pPr>
        <w:spacing w:after="160" w:before="0"/>
      </w:pPr>
      <w:r>
        <w:rPr>
          <w:rFonts w:ascii="Arial" w:cs="Arial" w:eastAsia="Arial" w:hAnsi="Arial"/>
          <w:color w:val="1a1a1a"/>
          <w:sz w:val="22"/>
          <w:szCs w:val="22"/>
        </w:rPr>
        <w:t xml:space="preserve">The four contracts that implement this thesis form a strict dependency hierarchy. Each layer communicates with exactly one layer above and one below. There are no circular dependencies. The immutability of the registry propagates upward through the stack — nothing above it can be more trustworthy than the foundation it reads from.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LAYER</w:t>
            </w:r>
          </w:p>
        </w:tc>
        <w:tc>
          <w:tcPr>
            <w:tcW w:type="dxa" w:w="380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DESCRIPTION</w:t>
            </w:r>
          </w:p>
        </w:tc>
        <w:tc>
          <w:tcPr>
            <w:tcW w:type="dxa" w:w="3560"/>
            <w:tcBorders>
              <w:top w:val="single" w:color="CCCCCC" w:sz="1"/>
              <w:left w:val="single" w:color="CCCCCC" w:sz="1"/>
              <w:bottom w:val="single" w:color="CCCCCC" w:sz="1"/>
              <w:right w:val="single" w:color="CCCCCC" w:sz="1"/>
            </w:tcBorders>
            <w:shd w:fill="EDE9E2" w:val="clear"/>
            <w:tcMar>
              <w:top w:type="dxa" w:w="80"/>
              <w:left w:type="dxa" w:w="120"/>
              <w:bottom w:type="dxa" w:w="80"/>
              <w:right w:type="dxa" w:w="120"/>
            </w:tcMar>
          </w:tcPr>
          <w:p>
            <w:r>
              <w:rPr>
                <w:rFonts w:ascii="Courier New" w:cs="Courier New" w:eastAsia="Courier New" w:hAnsi="Courier New"/>
                <w:b/>
                <w:bCs/>
                <w:color w:val="888888"/>
                <w:sz w:val="16"/>
                <w:szCs w:val="16"/>
              </w:rPr>
              <w:t xml:space="preserve">TRUST 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ScoreRegistry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Immutable. Stores yield scores, risk data, and historical snapshots. No admin keys.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Write access gated entirely by PublisherStake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PublisherStake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shMON collateral locked per publisher. Authorises writes to the registry.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Executes slashes on instruction from DeviationAdjudicator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DeviationAdjudicator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Permissionless watchdog. Accepts merkle proofs of realised outcomes.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Triggers slashes when deviation thresholds are breached. Rewards watchdogs from slashed stake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2a"/>
                <w:sz w:val="18"/>
                <w:szCs w:val="18"/>
              </w:rPr>
              <w:t xml:space="preserve">PerpRiskParams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Derives max OI, leverage limits, margin requirements, and funding rate multipliers.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843"/>
                <w:sz w:val="18"/>
                <w:szCs w:val="18"/>
              </w:rPr>
              <w:t xml:space="preserve">Deterministic from registry data. Circuit breaker halts trading on stale or low-confidence scores</w:t>
            </w:r>
          </w:p>
        </w:tc>
      </w:tr>
    </w:tbl>
    <w:p>
      <w:pPr>
        <w:spacing w:after="0" w:before="160"/>
      </w:pPr>
      <w:r>
        <w:t xml:space="preserve"/>
      </w:r>
    </w:p>
    <w:p>
      <w:pPr>
        <w:spacing w:after="160" w:before="0"/>
      </w:pPr>
      <w:r>
        <w:rPr>
          <w:rFonts w:ascii="Arial" w:cs="Arial" w:eastAsia="Arial" w:hAnsi="Arial"/>
          <w:color w:val="1a1a1a"/>
          <w:sz w:val="22"/>
          <w:szCs w:val="22"/>
        </w:rPr>
        <w:t xml:space="preserve">The determinism of PerpRiskParams deserves emphasis. Given the same inputs from the registry, it always produces the same parameters. There is no administrator who can override a leverage limit or relax a margin requirement for a favoured pool. The risk parameters are as immutable as the data that drives them — which is as immutable as the economic incentive that enforces the data’s accuracy.</w:t>
      </w:r>
    </w:p>
    <w:p>
      <w:pPr>
        <w:pStyle w:val="Heading3"/>
        <w:spacing w:after="100" w:before="280"/>
      </w:pPr>
      <w:r>
        <w:rPr>
          <w:rFonts w:ascii="Georgia" w:cs="Georgia" w:eastAsia="Georgia" w:hAnsi="Georgia"/>
          <w:i/>
          <w:iCs/>
          <w:color w:val="1a3a2a"/>
          <w:sz w:val="26"/>
          <w:szCs w:val="26"/>
        </w:rPr>
        <w:t xml:space="preserve">What the perps DEX actually measures</w:t>
      </w:r>
    </w:p>
    <w:p>
      <w:pPr>
        <w:spacing w:after="160" w:before="0"/>
      </w:pPr>
      <w:r>
        <w:rPr>
          <w:rFonts w:ascii="Arial" w:cs="Arial" w:eastAsia="Arial" w:hAnsi="Arial"/>
          <w:color w:val="1a1a1a"/>
          <w:sz w:val="22"/>
          <w:szCs w:val="22"/>
        </w:rPr>
        <w:t xml:space="preserve">The prototype perpetuals DEX is not built to generate revenue. It is built to answer specific empirical questions that cannot be answered from oracle data alone:</w:t>
      </w:r>
    </w:p>
    <w:p>
      <w:pPr>
        <w:spacing w:after="160" w:before="0"/>
      </w:pPr>
      <w:r>
        <w:rPr>
          <w:rFonts w:ascii="Arial" w:cs="Arial" w:eastAsia="Arial" w:hAnsi="Arial"/>
          <w:color w:val="1a1a1a"/>
          <w:sz w:val="22"/>
          <w:szCs w:val="22"/>
        </w:rPr>
        <w:t xml:space="preserve">What fraction of positions opened at maximum OI result in liquidations before expiry? If the answer is high, the OI cap derived from the 30%-of-TVL formula is too generous. What is the distribution of funding rates across market conditions? If funding rates consistently hit the ceiling, the APY volatility multiplier in the derivation formula needs recalibration. Which pools generate the most liquidation events despite high risk scores? These are the pools where the risk score model has a systematic blind spot.</w:t>
      </w:r>
    </w:p>
    <w:p>
      <w:pPr>
        <w:spacing w:after="160" w:before="0"/>
      </w:pPr>
      <w:r>
        <w:rPr>
          <w:rFonts w:ascii="Arial" w:cs="Arial" w:eastAsia="Arial" w:hAnsi="Arial"/>
          <w:color w:val="1a1a1a"/>
          <w:sz w:val="22"/>
          <w:szCs w:val="22"/>
        </w:rPr>
        <w:t xml:space="preserve">This feedback loop is the mechanism by which the oracle improves over time without requiring governance intervention. Publishers whose scores generate bad DEX outcomes lose stake. Publishers whose scores generate accurate DEX outcomes retain stake and earn yield. The market selects for accuracy.</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05</w:t>
      </w:r>
    </w:p>
    <w:p>
      <w:pPr>
        <w:pStyle w:val="Heading2"/>
        <w:spacing w:after="120" w:before="360"/>
      </w:pPr>
      <w:r>
        <w:rPr>
          <w:rFonts w:ascii="Georgia" w:cs="Georgia" w:eastAsia="Georgia" w:hAnsi="Georgia"/>
          <w:b/>
          <w:bCs/>
          <w:color w:val="0F0E0C"/>
          <w:sz w:val="32"/>
          <w:szCs w:val="32"/>
        </w:rPr>
        <w:t xml:space="preserve">Honest risks</w:t>
      </w:r>
    </w:p>
    <w:p>
      <w:pPr>
        <w:spacing w:after="0" w:before="80"/>
      </w:pPr>
      <w:r>
        <w:t xml:space="preserve"/>
      </w:r>
    </w:p>
    <w:p>
      <w:pPr>
        <w:spacing w:after="160" w:before="0"/>
      </w:pPr>
      <w:r>
        <w:rPr>
          <w:rFonts w:ascii="Arial" w:cs="Arial" w:eastAsia="Arial" w:hAnsi="Arial"/>
          <w:color w:val="1a1a1a"/>
          <w:sz w:val="22"/>
          <w:szCs w:val="22"/>
        </w:rPr>
        <w:t xml:space="preserve">This thesis has several failure modes that deserve honest treatment.</w:t>
      </w:r>
    </w:p>
    <w:p>
      <w:pPr>
        <w:pStyle w:val="Heading3"/>
        <w:spacing w:after="100" w:before="280"/>
      </w:pPr>
      <w:r>
        <w:rPr>
          <w:rFonts w:ascii="Georgia" w:cs="Georgia" w:eastAsia="Georgia" w:hAnsi="Georgia"/>
          <w:i/>
          <w:iCs/>
          <w:color w:val="1a3a2a"/>
          <w:sz w:val="26"/>
          <w:szCs w:val="26"/>
        </w:rPr>
        <w:t xml:space="preserve">The collusion problem</w:t>
      </w:r>
    </w:p>
    <w:p>
      <w:pPr>
        <w:spacing w:after="160" w:before="0"/>
      </w:pPr>
      <w:r>
        <w:rPr>
          <w:rFonts w:ascii="Arial" w:cs="Arial" w:eastAsia="Arial" w:hAnsi="Arial"/>
          <w:color w:val="1a1a1a"/>
          <w:sz w:val="22"/>
          <w:szCs w:val="22"/>
        </w:rPr>
        <w:t xml:space="preserve">A publisher with enough stake can absorb expected slashing costs and continue publishing inaccurate data if the benefit of doing so — for example, inflating the apparent attractiveness of a pool in which they hold a large position — exceeds the slash penalty. This is not fully solved by the design. It is mitigated by requiring multiple independent publishers for each pool and by scaling the slash amount with the magnitude of the deviation rather than applying a flat penalty. But it cannot be eliminated.</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8B0B0" w:sz="4"/>
              <w:left w:val="single" w:color="E8B0B0" w:sz="4"/>
              <w:bottom w:val="single" w:color="E8B0B0" w:sz="4"/>
              <w:right w:val="single" w:color="E8B0B0" w:sz="4"/>
            </w:tcBorders>
            <w:shd w:fill="FDF0F0" w:val="clear"/>
            <w:tcMar>
              <w:top w:type="dxa" w:w="160"/>
              <w:left w:type="dxa" w:w="200"/>
              <w:bottom w:type="dxa" w:w="160"/>
              <w:right w:type="dxa" w:w="200"/>
            </w:tcMar>
          </w:tcPr>
          <w:p>
            <w:pPr>
              <w:spacing w:after="80" w:before="0"/>
            </w:pPr>
            <w:r>
              <w:rPr>
                <w:rFonts w:ascii="Courier New" w:cs="Courier New" w:eastAsia="Courier New" w:hAnsi="Courier New"/>
                <w:b/>
                <w:bCs/>
                <w:color w:val="7A1F1F"/>
                <w:sz w:val="16"/>
                <w:szCs w:val="16"/>
              </w:rPr>
              <w:t xml:space="preserve">KNOWN LIMITATION</w:t>
            </w:r>
          </w:p>
          <w:p>
            <w:pPr>
              <w:spacing w:after="0" w:before="0"/>
            </w:pPr>
            <w:r>
              <w:rPr>
                <w:rFonts w:ascii="Arial" w:cs="Arial" w:eastAsia="Arial" w:hAnsi="Arial"/>
                <w:color w:val="4A1010"/>
                <w:sz w:val="20"/>
                <w:szCs w:val="20"/>
              </w:rPr>
              <w:t xml:space="preserve">The settlement window of 30 days is a meaningful lag. In fast-moving markets, a bad risk score published today can cause significant losses before the evidence window closes and a slash can be executed. The prototype DEX should log every liquidation event with the oracle score that was active at the time, and this data should inform whether a shorter settlement window — with correspondingly tighter deviation thresholds — is feasible.</w:t>
            </w:r>
          </w:p>
        </w:tc>
      </w:tr>
    </w:tbl>
    <w:p>
      <w:pPr>
        <w:pStyle w:val="Heading3"/>
        <w:spacing w:after="100" w:before="280"/>
      </w:pPr>
      <w:r>
        <w:rPr>
          <w:rFonts w:ascii="Georgia" w:cs="Georgia" w:eastAsia="Georgia" w:hAnsi="Georgia"/>
          <w:i/>
          <w:iCs/>
          <w:color w:val="1a3a2a"/>
          <w:sz w:val="26"/>
          <w:szCs w:val="26"/>
        </w:rPr>
        <w:t xml:space="preserve">The bootstrap problem</w:t>
      </w:r>
    </w:p>
    <w:p>
      <w:pPr>
        <w:spacing w:after="160" w:before="0"/>
      </w:pPr>
      <w:r>
        <w:rPr>
          <w:rFonts w:ascii="Arial" w:cs="Arial" w:eastAsia="Arial" w:hAnsi="Arial"/>
          <w:color w:val="1a1a1a"/>
          <w:sz w:val="22"/>
          <w:szCs w:val="22"/>
        </w:rPr>
        <w:t xml:space="preserve">A yield intelligence oracle with no publishers has no data. A perpetuals DEX with no liquidity has no trading activity. The feedback loop that improves the oracle requires the DEX to be generating data — which requires the oracle to already be useful enough to attract DEX users. This is a genuine chicken-and-egg problem that requires a seeding strategy: an initial publisher set willing to stake at a loss in exchange for a position in the network that becomes valuable as it scales.</w:t>
      </w:r>
    </w:p>
    <w:p>
      <w:pPr>
        <w:pStyle w:val="Heading3"/>
        <w:spacing w:after="100" w:before="280"/>
      </w:pPr>
      <w:r>
        <w:rPr>
          <w:rFonts w:ascii="Georgia" w:cs="Georgia" w:eastAsia="Georgia" w:hAnsi="Georgia"/>
          <w:i/>
          <w:iCs/>
          <w:color w:val="1a3a2a"/>
          <w:sz w:val="26"/>
          <w:szCs w:val="26"/>
        </w:rPr>
        <w:t xml:space="preserve">The shMON exchange rate risk</w:t>
      </w:r>
    </w:p>
    <w:p>
      <w:pPr>
        <w:spacing w:after="160" w:before="0"/>
      </w:pPr>
      <w:r>
        <w:rPr>
          <w:rFonts w:ascii="Arial" w:cs="Arial" w:eastAsia="Arial" w:hAnsi="Arial"/>
          <w:color w:val="1a1a1a"/>
          <w:sz w:val="22"/>
          <w:szCs w:val="22"/>
        </w:rPr>
        <w:t xml:space="preserve">Publisher stake is held in shMON but slash amounts are denominated in MON. A significant depeg between shMON and MON — caused by validator slashing at the Monad protocol level, for example — would reduce the real-value deterrent of the slash mechanism. The contract mitigates this by recomputing the shMON equivalent of the MON-denominated slash amount at execution time using the live exchange rate from the shMON contract. It does not eliminate the tail risk of a catastrophic depeg.</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06</w:t>
      </w:r>
    </w:p>
    <w:p>
      <w:pPr>
        <w:pStyle w:val="Heading2"/>
        <w:spacing w:after="120" w:before="360"/>
      </w:pPr>
      <w:r>
        <w:rPr>
          <w:rFonts w:ascii="Georgia" w:cs="Georgia" w:eastAsia="Georgia" w:hAnsi="Georgia"/>
          <w:b/>
          <w:bCs/>
          <w:color w:val="0F0E0C"/>
          <w:sz w:val="32"/>
          <w:szCs w:val="32"/>
        </w:rPr>
        <w:t xml:space="preserve">Why Monad is the right environment</w:t>
      </w:r>
    </w:p>
    <w:p>
      <w:pPr>
        <w:spacing w:after="0" w:before="80"/>
      </w:pPr>
      <w:r>
        <w:t xml:space="preserve"/>
      </w:r>
    </w:p>
    <w:p>
      <w:pPr>
        <w:spacing w:after="160" w:before="0"/>
      </w:pPr>
      <w:r>
        <w:rPr>
          <w:rFonts w:ascii="Arial" w:cs="Arial" w:eastAsia="Arial" w:hAnsi="Arial"/>
          <w:color w:val="1a1a1a"/>
          <w:sz w:val="22"/>
          <w:szCs w:val="22"/>
        </w:rPr>
        <w:t xml:space="preserve">The three propositions in this thesis require a chain that can support atomic cross-contract reads within a single transaction at latency low enough for a perpetuals DEX to function. Most chains cannot satisfy this constraint. A perp DEX reading risk parameters from an oracle, checking bridge liquidity depth, and updating a position in a single atomic transaction requires both the execution parallelism to process many such transactions concurrently and the block time to make the oracle data fresh enough to be trusted.</w:t>
      </w:r>
    </w:p>
    <w:p>
      <w:pPr>
        <w:spacing w:after="160" w:before="0"/>
      </w:pPr>
      <w:r>
        <w:rPr>
          <w:rFonts w:ascii="Arial" w:cs="Arial" w:eastAsia="Arial" w:hAnsi="Arial"/>
          <w:color w:val="1a1a1a"/>
          <w:sz w:val="22"/>
          <w:szCs w:val="22"/>
        </w:rPr>
        <w:t xml:space="preserve">Monad’s parallel execution architecture addresses the concurrency requirement. The existing oracle infrastructure — RedStone Bolt delivering sub-20ms data, and Atlas now inside Chainlink’s ecosystem providing the execution abstraction layer for OEV capture — addresses the freshness requirement. The shMON liquid staking protocol provides the collateral layer that makes publisher staking economically attractive rather than purely punitive.</w:t>
      </w:r>
    </w:p>
    <w:p>
      <w:pPr>
        <w:spacing w:after="160" w:before="0"/>
      </w:pPr>
      <w:r>
        <w:rPr>
          <w:rFonts w:ascii="Arial" w:cs="Arial" w:eastAsia="Arial" w:hAnsi="Arial"/>
          <w:color w:val="1a1a1a"/>
          <w:sz w:val="22"/>
          <w:szCs w:val="22"/>
        </w:rPr>
        <w:t xml:space="preserve">The infrastructure needed to build this stack exists on Monad today. What does not yet exist is the stack itself — an integrated set of contracts that uses that infrastructure to provide governance-minimized risk parameters to immutable contracts. That is the gap this thesis proposes to fill.</w:t>
      </w:r>
    </w:p>
    <w:p>
      <w:pPr>
        <w:pBdr>
          <w:bottom w:val="single" w:color="D4CFC7" w:sz="2" w:space="1"/>
        </w:pBdr>
        <w:spacing w:after="280" w:before="280"/>
      </w:pPr>
      <w:r>
        <w:t xml:space="preserve"/>
      </w:r>
    </w:p>
    <w:p>
      <w:pPr>
        <w:spacing w:after="60" w:before="480"/>
      </w:pPr>
      <w:r>
        <w:rPr>
          <w:rFonts w:ascii="Courier New" w:cs="Courier New" w:eastAsia="Courier New" w:hAnsi="Courier New"/>
          <w:color w:val="AAAAAA"/>
          <w:sz w:val="16"/>
          <w:szCs w:val="16"/>
        </w:rPr>
        <w:t xml:space="preserve">07</w:t>
      </w:r>
    </w:p>
    <w:p>
      <w:pPr>
        <w:pStyle w:val="Heading2"/>
        <w:spacing w:after="120" w:before="360"/>
      </w:pPr>
      <w:r>
        <w:rPr>
          <w:rFonts w:ascii="Georgia" w:cs="Georgia" w:eastAsia="Georgia" w:hAnsi="Georgia"/>
          <w:b/>
          <w:bCs/>
          <w:color w:val="0F0E0C"/>
          <w:sz w:val="32"/>
          <w:szCs w:val="32"/>
        </w:rPr>
        <w:t xml:space="preserve">Conclusion</w:t>
      </w:r>
    </w:p>
    <w:p>
      <w:pPr>
        <w:spacing w:after="0" w:before="80"/>
      </w:pPr>
      <w:r>
        <w:t xml:space="preserve"/>
      </w:r>
    </w:p>
    <w:p>
      <w:pPr>
        <w:spacing w:after="160" w:before="0"/>
      </w:pPr>
      <w:r>
        <w:rPr>
          <w:rFonts w:ascii="Arial" w:cs="Arial" w:eastAsia="Arial" w:hAnsi="Arial"/>
          <w:color w:val="1a1a1a"/>
          <w:sz w:val="22"/>
          <w:szCs w:val="22"/>
        </w:rPr>
        <w:t xml:space="preserve">The three propositions in this paper — sturdy bridges, economically incentivized oracles, and the perpetuals DEX as a calibration instrument — are individually recognizable ideas. What is less recognized is that they are mutually dependent in a way that makes each one stronger when built together than when built in isolation.</w:t>
      </w:r>
    </w:p>
    <w:p>
      <w:pPr>
        <w:spacing w:after="160" w:before="0"/>
      </w:pPr>
      <w:r>
        <w:rPr>
          <w:rFonts w:ascii="Arial" w:cs="Arial" w:eastAsia="Arial" w:hAnsi="Arial"/>
          <w:color w:val="1a1a1a"/>
          <w:sz w:val="22"/>
          <w:szCs w:val="22"/>
        </w:rPr>
        <w:t xml:space="preserve">A bridge without an accurate oracle cannot know whether the assets crossing it are properly priced. An oracle without an empirical instrument to test its accuracy cannot know whether its risk scores are calibrated correctly. A perpetuals DEX without trustworthy oracle data and reliable cross-chain liquidity cannot operate safely with immutable risk contracts.</w:t>
      </w:r>
    </w:p>
    <w:p>
      <w:pPr>
        <w:pBdr>
          <w:top w:val="single" w:color="1a3a2a" w:sz="4" w:space="8"/>
          <w:bottom w:val="single" w:color="1a3a2a" w:sz="4" w:space="8"/>
        </w:pBdr>
        <w:spacing w:after="280" w:before="280"/>
      </w:pPr>
      <w:r>
        <w:rPr>
          <w:rFonts w:ascii="Georgia" w:cs="Georgia" w:eastAsia="Georgia" w:hAnsi="Georgia"/>
          <w:i/>
          <w:iCs/>
          <w:color w:val="1a3a2a"/>
          <w:sz w:val="28"/>
          <w:szCs w:val="28"/>
        </w:rPr>
        <w:t xml:space="preserve">“The goal is not to build safer DeFi. It is to build DeFi where safety is structural — where the economic design makes unsafe behavior more expensive than safe behavior, without requiring anyone to be trusted to enforce it.”</w:t>
      </w:r>
    </w:p>
    <w:p>
      <w:pPr>
        <w:spacing w:after="160" w:before="0"/>
      </w:pPr>
      <w:r>
        <w:rPr>
          <w:rFonts w:ascii="Arial" w:cs="Arial" w:eastAsia="Arial" w:hAnsi="Arial"/>
          <w:color w:val="1a1a1a"/>
          <w:sz w:val="22"/>
          <w:szCs w:val="22"/>
        </w:rPr>
        <w:t xml:space="preserve">The contracts described in this paper — ScoreRegistry, PublisherStake, DeviationAdjudicator, and PerpRiskParams — are a first implementation of this thesis on Monad. They are intentionally incomplete. The perpetuals DEX that consumes them does not yet exist. The off-chain indexer that posts evidence roots does not yet exist. The publisher set that stakes shMON and begins publishing scores does not yet exist.</w:t>
      </w:r>
    </w:p>
    <w:p>
      <w:pPr>
        <w:spacing w:after="160" w:before="0"/>
      </w:pPr>
      <w:r>
        <w:rPr>
          <w:rFonts w:ascii="Arial" w:cs="Arial" w:eastAsia="Arial" w:hAnsi="Arial"/>
          <w:color w:val="1a1a1a"/>
          <w:sz w:val="22"/>
          <w:szCs w:val="22"/>
        </w:rPr>
        <w:t xml:space="preserve">What exists is the foundation: an immutable registry that cannot be governed away, a staking mechanism that makes accuracy the economically rational choice, a watchdog system that anyone can participate in, and a parameter derivation engine that no administrator can override. The rest will be built from the data that trading on this foundation produces.</w:t>
      </w:r>
    </w:p>
    <w:p>
      <w:pPr>
        <w:spacing w:after="0" w:before="240"/>
      </w:pPr>
      <w:r>
        <w:t xml:space="preserve"/>
      </w:r>
    </w:p>
    <w:p>
      <w:pPr>
        <w:pBdr>
          <w:top w:val="single" w:color="D4CFC7" w:sz="2" w:space="4"/>
        </w:pBdr>
        <w:spacing w:after="0" w:before="160"/>
      </w:pPr>
      <w:r>
        <w:rPr>
          <w:rFonts w:ascii="Courier New" w:cs="Courier New" w:eastAsia="Courier New" w:hAnsi="Courier New"/>
          <w:color w:val="AAAAAA"/>
          <w:sz w:val="16"/>
          <w:szCs w:val="16"/>
        </w:rPr>
        <w:t xml:space="preserve">Governance-Minimized DeFi Infrastructure  ·  Working Draft 2026  ·  Monad Network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7" w:sz="2" w:space="4"/>
      </w:pBdr>
      <w:tabs>
        <w:tab w:val="right" w:pos="9360"/>
      </w:tabs>
      <w:spacing w:before="160"/>
    </w:pPr>
    <w:r>
      <w:rPr>
        <w:rFonts w:ascii="Courier New" w:cs="Courier New" w:eastAsia="Courier New" w:hAnsi="Courier New"/>
        <w:color w:val="AAAAAA"/>
        <w:sz w:val="16"/>
        <w:szCs w:val="16"/>
      </w:rPr>
      <w:t xml:space="preserve">Governance-Minimized DeFi Infrastructure  ·  Working Draft 2026</w:t>
    </w:r>
    <w:r>
      <w:rPr>
        <w:rFonts w:ascii="Courier New" w:cs="Courier New" w:eastAsia="Courier New" w:hAnsi="Courier New"/>
        <w:color w:val="AAAAAA"/>
        <w:sz w:val="16"/>
        <w:szCs w:val="16"/>
      </w:rPr>
      <w:tab/>
    </w: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0F0E0C"/>
      <w:sz w:val="44"/>
      <w:szCs w:val="44"/>
    </w:rPr>
  </w:style>
  <w:style w:type="paragraph" w:styleId="Heading2">
    <w:name w:val="Heading 2"/>
    <w:basedOn w:val="Normal"/>
    <w:next w:val="Normal"/>
    <w:qFormat/>
    <w:pPr>
      <w:spacing w:after="120" w:before="360"/>
      <w:outlineLvl w:val="1"/>
    </w:pPr>
    <w:rPr>
      <w:rFonts w:ascii="Georgia" w:cs="Georgia" w:eastAsia="Georgia" w:hAnsi="Georgia"/>
      <w:b/>
      <w:bCs/>
      <w:color w:val="0F0E0C"/>
      <w:sz w:val="32"/>
      <w:szCs w:val="32"/>
    </w:rPr>
  </w:style>
  <w:style w:type="paragraph" w:styleId="Heading3">
    <w:name w:val="Heading 3"/>
    <w:basedOn w:val="Normal"/>
    <w:next w:val="Normal"/>
    <w:qFormat/>
    <w:pPr>
      <w:spacing w:after="100" w:before="280"/>
      <w:outlineLvl w:val="2"/>
    </w:pPr>
    <w:rPr>
      <w:rFonts w:ascii="Georgia" w:cs="Georgia" w:eastAsia="Georgia" w:hAnsi="Georgia"/>
      <w:i/>
      <w:iCs/>
      <w:color w:val="1a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2026-04-11T06:03:12.915Z</dcterms:created>
  <dcterms:modified xsi:type="dcterms:W3CDTF">2026-04-11T06:03:12.916Z</dcterms:modified>
</cp:coreProperties>
</file>

<file path=docProps/custom.xml><?xml version="1.0" encoding="utf-8"?>
<Properties xmlns="http://schemas.openxmlformats.org/officeDocument/2006/custom-properties" xmlns:vt="http://schemas.openxmlformats.org/officeDocument/2006/docPropsVTypes"/>
</file>