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条款修订历史与背景分析报告</w:t>
      </w:r>
    </w:p>
    <w:p>
      <w:pPr>
        <w:spacing w:before="0" w:after="120" w:line="324" w:lineRule="auto"/>
        <w:jc w:val="center"/>
      </w:pPr>
      <w:r>
        <w:rPr>
          <w:rFonts w:ascii="Calibri" w:hAnsi="Calibri" w:eastAsia="微软雅黑"/>
          <w:b/>
          <w:i w:val="0"/>
          <w:color w:val="2E74B5"/>
          <w:sz w:val="34"/>
        </w:rPr>
        <w:t>A 分部　总则</w:t>
      </w:r>
    </w:p>
    <w:p>
      <w:pPr>
        <w:spacing w:before="0" w:after="320" w:line="324" w:lineRule="auto"/>
        <w:jc w:val="center"/>
      </w:pPr>
      <w:r>
        <w:rPr>
          <w:rFonts w:ascii="Calibri" w:hAnsi="Calibri" w:eastAsia="微软雅黑"/>
          <w:b w:val="0"/>
          <w:i w:val="0"/>
          <w:color w:val="595959"/>
          <w:sz w:val="22"/>
        </w:rPr>
        <w:t>Subpart A - General</w:t>
      </w:r>
    </w:p>
    <w:p>
      <w:pPr>
        <w:spacing w:before="0" w:after="360" w:line="324" w:lineRule="auto"/>
        <w:jc w:val="center"/>
      </w:pPr>
      <w:r>
        <w:rPr>
          <w:rFonts w:ascii="Calibri" w:hAnsi="Calibri" w:eastAsia="微软雅黑"/>
          <w:b w:val="0"/>
          <w:i w:val="0"/>
          <w:color w:val="595959"/>
          <w:sz w:val="22"/>
        </w:rPr>
        <w:t>快照：Part 23 @ Amdt 23-63 as of 08/29/2017 and earlier　｜　共 3 个条款 / 10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修订日期、修订案号、NPRM 与 Final Rule 编号：取自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w:t>
            </w:r>
          </w:p>
          <w:p>
            <w:pPr>
              <w:spacing w:before="20" w:after="20" w:line="324" w:lineRule="auto"/>
            </w:pPr>
            <w:r>
              <w:rPr>
                <w:rFonts w:ascii="Calibri" w:hAnsi="Calibri" w:eastAsia="微软雅黑"/>
                <w:b w:val="0"/>
                <w:i w:val="0"/>
                <w:color w:val="1A1A1A"/>
                <w:sz w:val="19"/>
              </w:rPr>
              <w:t xml:space="preserve">　• 修订指令与讨论/评论处置段落：逐条引自本地已下载的 NPRM 与 Final Rule 官方文本，已译为中文；条文英文原文另附以供核对。</w:t>
            </w:r>
          </w:p>
          <w:p>
            <w:pPr>
              <w:spacing w:before="20" w:after="20" w:line="324" w:lineRule="auto"/>
            </w:pPr>
            <w:r>
              <w:rPr>
                <w:rFonts w:ascii="Calibri" w:hAnsi="Calibri" w:eastAsia="微软雅黑"/>
                <w:b w:val="0"/>
                <w:i w:val="0"/>
                <w:color w:val="1A1A1A"/>
                <w:sz w:val="19"/>
              </w:rPr>
              <w:t xml:space="preserve">　• 更正通告与 CFR 编纂校正：由官方 CFR 2016 版溯源注、federalregister.gov API 与govinfo 整期影印件三源交叉验证，详见 FAR23_更正通告权威台账.csv。</w:t>
            </w:r>
          </w:p>
          <w:p>
            <w:pPr>
              <w:spacing w:before="20" w:after="20" w:line="324" w:lineRule="auto"/>
            </w:pPr>
            <w:r>
              <w:rPr>
                <w:rFonts w:ascii="Calibri" w:hAnsi="Calibri" w:eastAsia="微软雅黑"/>
                <w:b w:val="0"/>
                <w:i w:val="0"/>
                <w:color w:val="1A1A1A"/>
                <w:sz w:val="19"/>
              </w:rPr>
              <w:t xml:space="preserve">　• 每个条款统一按「五节 + 一附录」编排：1 修订历史汇总 / 2 各阶段修订背景与原因深度剖析 / 3 条款原文演变对比 / 4 总结 / 5 参考文献 / 附录 DRS 条款版本记录 ID。</w:t>
            </w:r>
          </w:p>
          <w:p>
            <w:pPr>
              <w:spacing w:before="20" w:after="20" w:line="324" w:lineRule="auto"/>
            </w:pPr>
            <w:r>
              <w:rPr>
                <w:rFonts w:ascii="Calibri" w:hAnsi="Calibri" w:eastAsia="微软雅黑"/>
                <w:b w:val="0"/>
                <w:i w:val="0"/>
                <w:color w:val="1A1A1A"/>
                <w:sz w:val="19"/>
              </w:rPr>
              <w:t xml:space="preserve">　• 标题已写入 Word 大纲级别（1 级＝条款，2 级＝五节与附录，3 级＝小节，4 级＝子题），可在导航窗格或大纲视图中按级跳转。</w:t>
            </w:r>
          </w:p>
        </w:tc>
      </w:tr>
    </w:tbl>
    <w:p/>
    <w:p>
      <w:pPr>
        <w:pStyle w:val="Heading1"/>
        <w:keepNext/>
        <w:spacing w:before="320" w:after="160"/>
      </w:pPr>
      <w:r>
        <w:rPr>
          <w:rFonts w:ascii="Calibri" w:hAnsi="Calibri" w:eastAsia="微软雅黑"/>
          <w:b/>
          <w:i w:val="0"/>
          <w:color w:val="1F4E79"/>
          <w:sz w:val="32"/>
        </w:rPr>
        <w:t>本卷大纲</w:t>
      </w:r>
    </w:p>
    <w:p>
      <w:pPr>
        <w:spacing w:before="60" w:after="60" w:line="324" w:lineRule="auto"/>
      </w:pPr>
      <w:r>
        <w:rPr>
          <w:rFonts w:ascii="Calibri" w:hAnsi="Calibri" w:eastAsia="微软雅黑"/>
          <w:b w:val="0"/>
          <w:i w:val="0"/>
          <w:color w:val="1A1A1A"/>
          <w:sz w:val="20"/>
        </w:rPr>
        <w:t>下按条款列出本卷结构。每一条款下统一设 1–5 节与附录；二级及以下标题可在 Word 导航窗格中展开。</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020"/>
            <w:shd w:val="clear" w:color="auto" w:fill="1F4E79"/>
          </w:tcPr>
          <w:p>
            <w:pPr>
              <w:spacing w:before="40" w:after="40" w:line="324" w:lineRule="auto"/>
              <w:jc w:val="center"/>
            </w:pPr>
            <w:r/>
            <w:r>
              <w:rPr>
                <w:rFonts w:ascii="Calibri" w:hAnsi="Calibri" w:eastAsia="微软雅黑"/>
                <w:b/>
                <w:i w:val="0"/>
                <w:color w:val="FFFFFF"/>
                <w:sz w:val="17"/>
              </w:rPr>
              <w:t>条款</w:t>
            </w:r>
          </w:p>
        </w:tc>
        <w:tc>
          <w:tcPr>
            <w:tcW w:type="dxa" w:w="3175"/>
            <w:shd w:val="clear" w:color="auto" w:fill="1F4E79"/>
          </w:tcPr>
          <w:p>
            <w:pPr>
              <w:spacing w:before="40" w:after="40" w:line="324" w:lineRule="auto"/>
              <w:jc w:val="center"/>
            </w:pPr>
            <w:r/>
            <w:r>
              <w:rPr>
                <w:rFonts w:ascii="Calibri" w:hAnsi="Calibri" w:eastAsia="微软雅黑"/>
                <w:b/>
                <w:i w:val="0"/>
                <w:color w:val="FFFFFF"/>
                <w:sz w:val="17"/>
              </w:rPr>
              <w:t>中文名称</w:t>
            </w:r>
          </w:p>
        </w:tc>
        <w:tc>
          <w:tcPr>
            <w:tcW w:type="dxa" w:w="3628"/>
            <w:shd w:val="clear" w:color="auto" w:fill="1F4E79"/>
          </w:tcPr>
          <w:p>
            <w:pPr>
              <w:spacing w:before="40" w:after="40" w:line="324" w:lineRule="auto"/>
              <w:jc w:val="center"/>
            </w:pPr>
            <w:r/>
            <w:r>
              <w:rPr>
                <w:rFonts w:ascii="Calibri" w:hAnsi="Calibri" w:eastAsia="微软雅黑"/>
                <w:b/>
                <w:i w:val="0"/>
                <w:color w:val="FFFFFF"/>
                <w:sz w:val="17"/>
              </w:rPr>
              <w:t>英文标题（原文）</w:t>
            </w:r>
          </w:p>
        </w:tc>
        <w:tc>
          <w:tcPr>
            <w:tcW w:type="dxa" w:w="794"/>
            <w:shd w:val="clear" w:color="auto" w:fill="1F4E79"/>
          </w:tcPr>
          <w:p>
            <w:pPr>
              <w:spacing w:before="40" w:after="40" w:line="324" w:lineRule="auto"/>
              <w:jc w:val="center"/>
            </w:pPr>
            <w:r/>
            <w:r>
              <w:rPr>
                <w:rFonts w:ascii="Calibri" w:hAnsi="Calibri" w:eastAsia="微软雅黑"/>
                <w:b/>
                <w:i w:val="0"/>
                <w:color w:val="FFFFFF"/>
                <w:sz w:val="17"/>
              </w:rPr>
              <w:t>版本数</w:t>
            </w:r>
          </w:p>
        </w:tc>
        <w:tc>
          <w:tcPr>
            <w:tcW w:type="dxa" w:w="1361"/>
            <w:shd w:val="clear" w:color="auto" w:fill="1F4E79"/>
          </w:tcPr>
          <w:p>
            <w:pPr>
              <w:spacing w:before="40" w:after="40" w:line="324" w:lineRule="auto"/>
              <w:jc w:val="center"/>
            </w:pPr>
            <w:r/>
            <w:r>
              <w:rPr>
                <w:rFonts w:ascii="Calibri" w:hAnsi="Calibri" w:eastAsia="微软雅黑"/>
                <w:b/>
                <w:i w:val="0"/>
                <w:color w:val="FFFFFF"/>
                <w:sz w:val="17"/>
              </w:rPr>
              <w:t>更正件</w:t>
            </w:r>
          </w:p>
        </w:tc>
      </w:tr>
      <w:tr>
        <w:tc>
          <w:tcPr>
            <w:tcW w:type="dxa" w:w="1020"/>
          </w:tcPr>
          <w:p>
            <w:pPr>
              <w:spacing w:before="40" w:after="40" w:line="324" w:lineRule="auto"/>
              <w:jc w:val="center"/>
            </w:pPr>
            <w:r/>
            <w:r>
              <w:rPr>
                <w:rFonts w:ascii="Calibri" w:hAnsi="Calibri" w:eastAsia="微软雅黑"/>
                <w:b w:val="0"/>
                <w:i w:val="0"/>
                <w:color w:val="1A1A1A"/>
                <w:sz w:val="17"/>
              </w:rPr>
              <w:t>§ 23.1</w:t>
            </w:r>
          </w:p>
        </w:tc>
        <w:tc>
          <w:tcPr>
            <w:tcW w:type="dxa" w:w="3175"/>
          </w:tcPr>
          <w:p>
            <w:pPr>
              <w:spacing w:before="40" w:after="40" w:line="324" w:lineRule="auto"/>
            </w:pPr>
            <w:r/>
            <w:r>
              <w:rPr>
                <w:rFonts w:ascii="Calibri" w:hAnsi="Calibri" w:eastAsia="微软雅黑"/>
                <w:b w:val="0"/>
                <w:i w:val="0"/>
                <w:color w:val="1A1A1A"/>
                <w:sz w:val="17"/>
              </w:rPr>
              <w:t>适用范围</w:t>
            </w:r>
          </w:p>
        </w:tc>
        <w:tc>
          <w:tcPr>
            <w:tcW w:type="dxa" w:w="3628"/>
          </w:tcPr>
          <w:p>
            <w:pPr>
              <w:spacing w:before="40" w:after="40" w:line="324" w:lineRule="auto"/>
            </w:pPr>
            <w:r/>
            <w:r>
              <w:rPr>
                <w:rFonts w:ascii="Calibri" w:hAnsi="Calibri" w:eastAsia="微软雅黑"/>
                <w:b w:val="0"/>
                <w:i w:val="0"/>
                <w:color w:val="1A1A1A"/>
                <w:sz w:val="17"/>
              </w:rPr>
              <w:t>Applicability.</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23.2</w:t>
            </w:r>
          </w:p>
        </w:tc>
        <w:tc>
          <w:tcPr>
            <w:tcW w:type="dxa" w:w="3175"/>
            <w:shd w:val="clear" w:color="auto" w:fill="F7F9FC"/>
          </w:tcPr>
          <w:p>
            <w:pPr>
              <w:spacing w:before="40" w:after="40" w:line="324" w:lineRule="auto"/>
            </w:pPr>
            <w:r/>
            <w:r>
              <w:rPr>
                <w:rFonts w:ascii="Calibri" w:hAnsi="Calibri" w:eastAsia="微软雅黑"/>
                <w:b w:val="0"/>
                <w:i w:val="0"/>
                <w:color w:val="1A1A1A"/>
                <w:sz w:val="17"/>
              </w:rPr>
              <w:t>特别追溯要求</w:t>
            </w:r>
          </w:p>
        </w:tc>
        <w:tc>
          <w:tcPr>
            <w:tcW w:type="dxa" w:w="3628"/>
            <w:shd w:val="clear" w:color="auto" w:fill="F7F9FC"/>
          </w:tcPr>
          <w:p>
            <w:pPr>
              <w:spacing w:before="40" w:after="40" w:line="324" w:lineRule="auto"/>
            </w:pPr>
            <w:r/>
            <w:r>
              <w:rPr>
                <w:rFonts w:ascii="Calibri" w:hAnsi="Calibri" w:eastAsia="微软雅黑"/>
                <w:b w:val="0"/>
                <w:i w:val="0"/>
                <w:color w:val="1A1A1A"/>
                <w:sz w:val="17"/>
              </w:rPr>
              <w:t>Special retroactive requirements.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w:t>
            </w:r>
          </w:p>
        </w:tc>
        <w:tc>
          <w:tcPr>
            <w:tcW w:type="dxa" w:w="3175"/>
          </w:tcPr>
          <w:p>
            <w:pPr>
              <w:spacing w:before="40" w:after="40" w:line="324" w:lineRule="auto"/>
            </w:pPr>
            <w:r/>
            <w:r>
              <w:rPr>
                <w:rFonts w:ascii="Calibri" w:hAnsi="Calibri" w:eastAsia="微软雅黑"/>
                <w:b w:val="0"/>
                <w:i w:val="0"/>
                <w:color w:val="1A1A1A"/>
                <w:sz w:val="17"/>
              </w:rPr>
              <w:t>飞机类别</w:t>
            </w:r>
          </w:p>
        </w:tc>
        <w:tc>
          <w:tcPr>
            <w:tcW w:type="dxa" w:w="3628"/>
          </w:tcPr>
          <w:p>
            <w:pPr>
              <w:spacing w:before="40" w:after="40" w:line="324" w:lineRule="auto"/>
            </w:pPr>
            <w:r/>
            <w:r>
              <w:rPr>
                <w:rFonts w:ascii="Calibri" w:hAnsi="Calibri" w:eastAsia="微软雅黑"/>
                <w:b w:val="0"/>
                <w:i w:val="0"/>
                <w:color w:val="1A1A1A"/>
                <w:sz w:val="17"/>
              </w:rPr>
              <w:t>Airplane categories.</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52 FR 34745</w:t>
            </w:r>
          </w:p>
        </w:tc>
      </w:tr>
    </w:tbl>
    <w:p>
      <w:r>
        <w:br w:type="page"/>
      </w:r>
    </w:p>
    <w:p>
      <w:pPr>
        <w:pStyle w:val="Heading1"/>
        <w:keepNext/>
        <w:spacing w:before="320" w:after="16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r>
        <w:br w:type="page"/>
      </w:r>
    </w:p>
    <w:p>
      <w:pPr>
        <w:pStyle w:val="Heading1"/>
        <w:keepNext/>
        <w:spacing w:before="320" w:after="160"/>
      </w:pPr>
      <w:r>
        <w:rPr>
          <w:rFonts w:ascii="Calibri" w:hAnsi="Calibri" w:eastAsia="微软雅黑"/>
          <w:b/>
          <w:i w:val="0"/>
          <w:color w:val="1F4E79"/>
          <w:sz w:val="32"/>
        </w:rPr>
        <w:t>§ 23.1　适用范围（Applicability.）</w:t>
      </w:r>
    </w:p>
    <w:p>
      <w:pPr>
        <w:spacing w:before="60" w:after="60" w:line="324" w:lineRule="auto"/>
      </w:pPr>
      <w:r>
        <w:rPr>
          <w:rFonts w:ascii="Calibri" w:hAnsi="Calibri" w:eastAsia="微软雅黑"/>
          <w:b w:val="0"/>
          <w:i w:val="0"/>
          <w:color w:val="595959"/>
          <w:sz w:val="21"/>
        </w:rPr>
        <w:t>1965-02-01 初版　｜　1987-02-17 Amdt 23-34　｜　共 3 个历史版本</w:t>
      </w:r>
    </w:p>
    <w:p>
      <w:pPr>
        <w:pStyle w:val="Heading2"/>
        <w:keepNext/>
        <w:spacing w:before="240" w:after="120"/>
      </w:pPr>
      <w:r>
        <w:rPr>
          <w:rFonts w:ascii="Calibri" w:hAnsi="Calibri" w:eastAsia="微软雅黑"/>
          <w:b/>
          <w:i w:val="0"/>
          <w:color w:val="2E74B5"/>
          <w:sz w:val="27"/>
        </w:rPr>
        <w:t>1　§23.1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Applicability.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适用范围</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A 分部　总则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1987-02-17　（约 22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1971-03-13</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70-25，1970-06-30 签发，35 FR 10911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10405，1971-02-05 签发，36 FR 2862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修订段落：(a)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1971 23-10　修订　→　1987 23-34　修订段落：(a)</w:t>
      </w:r>
    </w:p>
    <w:p>
      <w:pPr>
        <w:pStyle w:val="Heading2"/>
        <w:keepNext/>
        <w:spacing w:before="240" w:after="120"/>
      </w:pPr>
      <w:r>
        <w:rPr>
          <w:rFonts w:ascii="Calibri" w:hAnsi="Calibri" w:eastAsia="微软雅黑"/>
          <w:b/>
          <w:i w:val="0"/>
          <w:color w:val="2E74B5"/>
          <w:sz w:val="27"/>
        </w:rPr>
        <w:t>2　§23.1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初始颁行（1965-02-01，初始版）：适用范围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23-10（1971-03-13 生效）：第23.1条(a)段修订如下：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70-25，1970-06-30 签发，35 FR 10911　提出；最终规章 Docket 10405，1971-02-05 签发，36 FR 2862，1971-03-13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第23.1条(a)段修订如下：　通过将§23.1(a)段修订为以下内容：</w:t>
      </w:r>
    </w:p>
    <w:p>
      <w:pPr>
        <w:spacing w:before="80" w:after="20" w:line="324" w:lineRule="auto"/>
        <w:ind w:left="510"/>
      </w:pPr>
      <w:r>
        <w:rPr>
          <w:rFonts w:ascii="Calibri" w:hAnsi="Calibri" w:eastAsia="微软雅黑"/>
          <w:b w:val="0"/>
          <w:i w:val="0"/>
          <w:color w:val="999999"/>
          <w:sz w:val="17"/>
        </w:rPr>
        <w:t>来源：Final Rule｜36 FR 2862｜FinalRule_Docket 10405_Amdt23-10_36FR2862_1971-02-11.txt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针对若干评论，拟议的§23.1583(l) 段的标题已改为“最大乘客座位布局”，以明确关于乘客座位的使用限制旨在落实对§23.1适用性规定的变更。在将座位容量确定为限制时，并不打算包括驾驶员座位，对于具有双套飞行操纵装置的飞机，也不包括第二个驾驶员座位。此外，并不打算阻止目前两名幼儿“合用”一个座位或一名成人抱着婴儿的做法。</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response to several comments, the title of proposed Sec. 23.1583(l) has been changed to read "Maximum passenger seating configuration" in order to make it clear that the operating limitation on passenger seats is intended to implement the change to the applicability provisions of Sec. 23.1. In establishing the seating capacity as a limitation it was not intended to include the pilot's seat and, in the case of airplanes having dual flight controls, the second pilot's seat. Furthermore, it was not intended to prevent the present practice of two small children "doubling up" on a seat or an adult holding an infant.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Paragraph (a) of Sec. 23.1 is amended to read as follows:</w:t>
      </w:r>
    </w:p>
    <w:p>
      <w:pPr>
        <w:spacing w:before="60" w:after="60" w:line="324" w:lineRule="auto"/>
        <w:ind w:left="567"/>
      </w:pPr>
      <w:r>
        <w:rPr>
          <w:rFonts w:ascii="Calibri" w:hAnsi="Calibri" w:eastAsia="微软雅黑"/>
          <w:b w:val="0"/>
          <w:i w:val="0"/>
          <w:color w:val="606060"/>
          <w:sz w:val="17"/>
        </w:rPr>
        <w:t>1. By amending paragraph (a) of Sec. 23.1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2.3　Amdt 23-34（1987-02-17 生效）：3. 通过修订 §23.1</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通过修订 §23.1，将 (a) 段修订为以下内容：　2. 修订 §23.1(a) 段：删除"飞机"一词前的"小型"一词；删除"特技类"一词前的"和"一词；在"类别"一词前增加"，以及通勤类"；删除"乘客座位配置（不包括驾驶员座位）为九个或以下的"这一短语；并在"类别"一词后增加句号。</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提案2——针对§23.1条的拟议修订未收到具体评论意见；然而，与§23.1条相关的一般性评论意见已在本前言前述一般性评论中予以讨论。§23.1条按提案通过。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2 -- No specific comments were received in response to the proposed amendment of Sec. 23.1; however, general comments related to Sec. 23.1 have been discussed under the previous general comments of this preamble. Sec. 23.1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By amending Sec. 23.1 by revising paragraph (a) to read as follows:</w:t>
      </w:r>
    </w:p>
    <w:p>
      <w:pPr>
        <w:spacing w:before="60" w:after="60" w:line="324" w:lineRule="auto"/>
        <w:ind w:left="567"/>
      </w:pPr>
      <w:r>
        <w:rPr>
          <w:rFonts w:ascii="Calibri" w:hAnsi="Calibri" w:eastAsia="微软雅黑"/>
          <w:b w:val="0"/>
          <w:i w:val="0"/>
          <w:color w:val="606060"/>
          <w:sz w:val="17"/>
        </w:rPr>
        <w:t>2. By amending Sec. 23.1(a) by removing the word "small" before the word "airplane"; by removing the word "and" before the word "acrobatic"; by adding the words ", and commuter" before the word "categories"; by removing the phrase "that have a passenger seating configuration, excluding pilot seats, of nine seats or less."; and by adding a period after the word "categories".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2"/>
        <w:keepNext/>
        <w:spacing w:before="240" w:after="120"/>
      </w:pPr>
      <w:r>
        <w:rPr>
          <w:rFonts w:ascii="Calibri" w:hAnsi="Calibri" w:eastAsia="微软雅黑"/>
          <w:b/>
          <w:i w:val="0"/>
          <w:color w:val="2E74B5"/>
          <w:sz w:val="27"/>
        </w:rPr>
        <w:t>3　§23.1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This part prescribes airworthiness standards for the issue of type certificates, and changes to those certificates, for small airplanes in the normal, utility, and acrobatic categories.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person who applies under Part 21 [New] for such a certificate or change must show compliance with the applicable requirements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23-10（1971-03-13 生效）　来源：Docket 10405，1971-02-05 签发，36 FR 2862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This part prescribes airworthiness standards for the issue of type certificates, and changes to those certificates, for small airplanes in the normal, utility, and acrobatic categories that have a passenger seating configuration, excluding pilot seats, of nine seats or less.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This Part prescribes airworthiness standards for the issue of type certificates, and changes to those certificates, for airplanes in the normal, utility, acrobatic and commuter categories.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23-10</w:t>
              <w:br/>
              <w:t>(1971-03-13)</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23-10, Amdt 23-34。</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10405</w:t>
            </w:r>
          </w:p>
        </w:tc>
        <w:tc>
          <w:tcPr>
            <w:tcW w:type="dxa" w:w="2381"/>
          </w:tcPr>
          <w:p>
            <w:pPr>
              <w:spacing w:before="40" w:after="40" w:line="324" w:lineRule="auto"/>
            </w:pPr>
            <w:r/>
            <w:r>
              <w:rPr>
                <w:rFonts w:ascii="Calibri" w:hAnsi="Calibri" w:eastAsia="微软雅黑"/>
                <w:b w:val="0"/>
                <w:i w:val="0"/>
                <w:color w:val="1A1A1A"/>
                <w:sz w:val="16"/>
              </w:rPr>
              <w:t>36 FR 2862</w:t>
            </w:r>
          </w:p>
        </w:tc>
        <w:tc>
          <w:tcPr>
            <w:tcW w:type="dxa" w:w="2948"/>
          </w:tcPr>
          <w:p>
            <w:pPr>
              <w:spacing w:before="40" w:after="40" w:line="324" w:lineRule="auto"/>
            </w:pPr>
            <w:r/>
            <w:r>
              <w:rPr>
                <w:rFonts w:ascii="Calibri" w:hAnsi="Calibri" w:eastAsia="微软雅黑"/>
                <w:b w:val="0"/>
                <w:i w:val="0"/>
                <w:color w:val="1A1A1A"/>
                <w:sz w:val="16"/>
              </w:rPr>
              <w:t>FinalRule_Docket 10405_Amdt23-10_36FR2862_1971-02-11.txt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70-25 / Docket 10405</w:t>
            </w:r>
          </w:p>
        </w:tc>
        <w:tc>
          <w:tcPr>
            <w:tcW w:type="dxa" w:w="2381"/>
            <w:shd w:val="clear" w:color="auto" w:fill="F7F9FC"/>
          </w:tcPr>
          <w:p>
            <w:pPr>
              <w:spacing w:before="40" w:after="40" w:line="324" w:lineRule="auto"/>
            </w:pPr>
            <w:r/>
            <w:r>
              <w:rPr>
                <w:rFonts w:ascii="Calibri" w:hAnsi="Calibri" w:eastAsia="微软雅黑"/>
                <w:b w:val="0"/>
                <w:i w:val="0"/>
                <w:color w:val="1A1A1A"/>
                <w:sz w:val="16"/>
              </w:rPr>
              <w:t>35 FR 10911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70-25_Docket10405_35FR10911_1970-07-07.txt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5d6140f9-f34b-4760-a774-2b88646c529b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23-10</w:t>
            </w:r>
          </w:p>
        </w:tc>
        <w:tc>
          <w:tcPr>
            <w:tcW w:type="dxa" w:w="1701"/>
            <w:shd w:val="clear" w:color="auto" w:fill="F7F9FC"/>
          </w:tcPr>
          <w:p>
            <w:pPr>
              <w:spacing w:before="40" w:after="40" w:line="324" w:lineRule="auto"/>
            </w:pPr>
            <w:r/>
            <w:r>
              <w:rPr>
                <w:rFonts w:ascii="Calibri" w:hAnsi="Calibri" w:eastAsia="微软雅黑"/>
                <w:b w:val="0"/>
                <w:i w:val="0"/>
                <w:color w:val="1A1A1A"/>
                <w:sz w:val="17"/>
              </w:rPr>
              <w:t>1971-03-13</w:t>
            </w:r>
          </w:p>
        </w:tc>
        <w:tc>
          <w:tcPr>
            <w:tcW w:type="dxa" w:w="6350"/>
            <w:shd w:val="clear" w:color="auto" w:fill="F7F9FC"/>
          </w:tcPr>
          <w:p>
            <w:pPr>
              <w:spacing w:before="40" w:after="40" w:line="324" w:lineRule="auto"/>
            </w:pPr>
            <w:r/>
            <w:r>
              <w:rPr>
                <w:rFonts w:ascii="Calibri" w:hAnsi="Calibri" w:eastAsia="微软雅黑"/>
                <w:b w:val="0"/>
                <w:i w:val="0"/>
                <w:color w:val="1A1A1A"/>
                <w:sz w:val="17"/>
              </w:rPr>
              <w:t>534a1799-eeb0-4cb8-a7c9-aa1c0680ed0b</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8721f4a3-12be-4ab9-b77d-1ee89c7cc168</w:t>
            </w:r>
          </w:p>
        </w:tc>
      </w:tr>
    </w:tbl>
    <w:p>
      <w:pPr>
        <w:pStyle w:val="Heading1"/>
        <w:keepNext/>
        <w:spacing w:before="320" w:after="160"/>
      </w:pPr>
      <w:r>
        <w:rPr>
          <w:rFonts w:ascii="Calibri" w:hAnsi="Calibri" w:eastAsia="微软雅黑"/>
          <w:b/>
          <w:i w:val="0"/>
          <w:color w:val="1F4E79"/>
          <w:sz w:val="32"/>
        </w:rPr>
        <w:t>§ 23.2　特别追溯要求（Special retroactive requirements.）</w:t>
      </w:r>
    </w:p>
    <w:p>
      <w:pPr>
        <w:spacing w:before="60" w:after="60" w:line="324" w:lineRule="auto"/>
      </w:pPr>
      <w:r>
        <w:rPr>
          <w:rFonts w:ascii="Calibri" w:hAnsi="Calibri" w:eastAsia="微软雅黑"/>
          <w:b w:val="0"/>
          <w:i w:val="0"/>
          <w:color w:val="595959"/>
          <w:sz w:val="21"/>
        </w:rPr>
        <w:t>1985-12-12 初版　｜　1988-09-14 Amdt 23-36　｜　共 2 个历史版本</w:t>
      </w:r>
    </w:p>
    <w:p>
      <w:pPr>
        <w:pStyle w:val="Heading2"/>
        <w:keepNext/>
        <w:spacing w:before="240" w:after="120"/>
      </w:pPr>
      <w:r>
        <w:rPr>
          <w:rFonts w:ascii="Calibri" w:hAnsi="Calibri" w:eastAsia="微软雅黑"/>
          <w:b/>
          <w:i w:val="0"/>
          <w:color w:val="2E74B5"/>
          <w:sz w:val="27"/>
        </w:rPr>
        <w:t>1　§23.2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Special retroactive requirements.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特别追溯要求</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A 分部　总则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1985-12-12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1985-12-12 → 1988-09-14　（约 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23815，1985-11-06 签发，50 FR 46872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§23.2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23-32</w:t>
            </w:r>
          </w:p>
        </w:tc>
        <w:tc>
          <w:tcPr>
            <w:tcW w:type="dxa" w:w="1134"/>
          </w:tcPr>
          <w:p>
            <w:pPr>
              <w:spacing w:before="40" w:after="40" w:line="324" w:lineRule="auto"/>
              <w:jc w:val="center"/>
            </w:pPr>
            <w:r/>
            <w:r>
              <w:rPr>
                <w:rFonts w:ascii="Calibri" w:hAnsi="Calibri" w:eastAsia="微软雅黑"/>
                <w:b w:val="0"/>
                <w:i w:val="0"/>
                <w:color w:val="1A1A1A"/>
                <w:sz w:val="17"/>
              </w:rPr>
              <w:t>1985-12-12</w:t>
            </w:r>
          </w:p>
        </w:tc>
        <w:tc>
          <w:tcPr>
            <w:tcW w:type="dxa" w:w="1984"/>
          </w:tcPr>
          <w:p>
            <w:pPr>
              <w:spacing w:before="40" w:after="40" w:line="324" w:lineRule="auto"/>
            </w:pPr>
            <w:r/>
            <w:r>
              <w:rPr>
                <w:rFonts w:ascii="Calibri" w:hAnsi="Calibri" w:eastAsia="微软雅黑"/>
                <w:b w:val="0"/>
                <w:i w:val="0"/>
                <w:color w:val="1A1A1A"/>
                <w:sz w:val="17"/>
              </w:rPr>
              <w:t>Notice 85-11，1985-04-28 签发，50 FR 19108</w:t>
            </w:r>
          </w:p>
        </w:tc>
        <w:tc>
          <w:tcPr>
            <w:tcW w:type="dxa" w:w="1984"/>
          </w:tcPr>
          <w:p>
            <w:pPr>
              <w:spacing w:before="40" w:after="40" w:line="324" w:lineRule="auto"/>
            </w:pPr>
            <w:r/>
            <w:r>
              <w:rPr>
                <w:rFonts w:ascii="Calibri" w:hAnsi="Calibri" w:eastAsia="微软雅黑"/>
                <w:b w:val="0"/>
                <w:i w:val="0"/>
                <w:color w:val="1A1A1A"/>
                <w:sz w:val="17"/>
              </w:rPr>
              <w:t>Docket 23815，1985-11-06 签发，50 FR 46872</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1988-09-14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86-19，1986-11-28 签发，51 FR 44878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25147，1988-08-08 签发，53 FR 30802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1985 初版　修订　→　1988 23-36　修订</w:t>
      </w:r>
    </w:p>
    <w:p>
      <w:pPr>
        <w:pStyle w:val="Heading2"/>
        <w:keepNext/>
        <w:spacing w:before="240" w:after="120"/>
      </w:pPr>
      <w:r>
        <w:rPr>
          <w:rFonts w:ascii="Calibri" w:hAnsi="Calibri" w:eastAsia="微软雅黑"/>
          <w:b/>
          <w:i w:val="0"/>
          <w:color w:val="2E74B5"/>
          <w:sz w:val="27"/>
        </w:rPr>
        <w:t>2　§23.2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初始颁行（1985-12-12，Amdt 23-32）：特别追溯要求</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85-11，1985-04-28 签发，50 FR 19108　提出；最终规章 Docket 23815，1985-11-06 签发，50 FR 46872，1985-12-12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在第23部中新增一条第23.2条，内容如下：　2. 修订§21.17，在(a)段中紧接“§25.2”之前插入“§23.2,”。　3. 修订第21.101条：在(a)段中，紧接在"第25.2条"之前插入"第23.2条,"。　1. 通过增加新的 §23.2 条，内容如下：</w:t>
      </w:r>
    </w:p>
    <w:p>
      <w:pPr>
        <w:spacing w:before="80" w:after="20" w:line="324" w:lineRule="auto"/>
        <w:ind w:left="510"/>
      </w:pPr>
      <w:r>
        <w:rPr>
          <w:rFonts w:ascii="Calibri" w:hAnsi="Calibri" w:eastAsia="微软雅黑"/>
          <w:b w:val="0"/>
          <w:i w:val="0"/>
          <w:color w:val="999999"/>
          <w:sz w:val="17"/>
        </w:rPr>
        <w:t>来源：NPRM（提案）｜50 FR 19108｜NPRM_Notice 85-11_Docket23815_50FR19108_1985-05-06.txt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Federal Aviation Administration proposes a new Sec. 23.2 of the FAR to require, at the time of manufacture, the installation of shoulder harnesses at all seat positions in small normal, utility, and acrobatic category airplanes with a passenger seating configuration, excluding pilot seats, of nine or less, manufactured one year after the effective date of the proposed amendment. This proposal would assure that shoulder harnesses are available in small normal, utility, and acrobatic category airplanes manufactured one year after the effective date of the proposed amendment, prior to their use in air commerce and, thereby, have an enhanced level of crashworthiness.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A new Sec. 23.2 is added to Part 23 to read as follows:</w:t>
      </w:r>
    </w:p>
    <w:p>
      <w:pPr>
        <w:spacing w:before="60" w:after="60" w:line="324" w:lineRule="auto"/>
        <w:ind w:left="567"/>
      </w:pPr>
      <w:r>
        <w:rPr>
          <w:rFonts w:ascii="Calibri" w:hAnsi="Calibri" w:eastAsia="微软雅黑"/>
          <w:b w:val="0"/>
          <w:i w:val="0"/>
          <w:color w:val="606060"/>
          <w:sz w:val="17"/>
        </w:rPr>
        <w:t>2. Sec. 21.17 is amended by inserting "Sec. 23.2," immediately before "Sec. 25.2" in paragraph (a).</w:t>
      </w:r>
    </w:p>
    <w:p>
      <w:pPr>
        <w:spacing w:before="60" w:after="60" w:line="324" w:lineRule="auto"/>
        <w:ind w:left="567"/>
      </w:pPr>
      <w:r>
        <w:rPr>
          <w:rFonts w:ascii="Calibri" w:hAnsi="Calibri" w:eastAsia="微软雅黑"/>
          <w:b w:val="0"/>
          <w:i w:val="0"/>
          <w:color w:val="606060"/>
          <w:sz w:val="17"/>
        </w:rPr>
        <w:t>3. Sec. 21.101 is amended by inserting "Sec. 23.2," immediately before "Sec. 25.2" in paragraph (a).</w:t>
      </w:r>
    </w:p>
    <w:p>
      <w:pPr>
        <w:spacing w:before="60" w:after="60" w:line="324" w:lineRule="auto"/>
        <w:ind w:left="567"/>
      </w:pPr>
      <w:r>
        <w:rPr>
          <w:rFonts w:ascii="Calibri" w:hAnsi="Calibri" w:eastAsia="微软雅黑"/>
          <w:b w:val="0"/>
          <w:i w:val="0"/>
          <w:color w:val="606060"/>
          <w:sz w:val="17"/>
        </w:rPr>
        <w:t>1. By adding a new Sec. 23.2 to read as follows:</w:t>
      </w:r>
    </w:p>
    <w:p>
      <w:pPr>
        <w:pStyle w:val="Heading3"/>
        <w:keepNext/>
        <w:spacing w:before="200" w:after="100"/>
      </w:pPr>
      <w:r>
        <w:rPr>
          <w:rFonts w:ascii="Calibri" w:hAnsi="Calibri" w:eastAsia="微软雅黑"/>
          <w:b/>
          <w:i w:val="0"/>
          <w:color w:val="404040"/>
          <w:sz w:val="24"/>
        </w:rPr>
        <w:t>2.2　Amdt 23-36（1988-09-14 生效）：2. 第23.2条修订后内容如下：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86-19，1986-11-28 签发，51 FR 44878　提出；最终规章 Docket 25147，1988-08-08 签发，53 FR 30802，1988-09-14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第23.2条修订后内容如下：</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一位评论者建议，应当将通告中的法规引用与第 23 部的最新修订版本进行交叉核对。经审查《联邦航空规章》，美国联邦航空局确定需对第 23 部中的若干条款进行修改，使其与座椅/约束系统动力试验的新要求相匹配。本次审查所确定的法规修改并非实质性的，而是为了与本修订案所做的其他修改保持一致。审查结果为本最终规章增加了若干内容。修订 §23.2，删除对 §23.785(g) 和 (h) 段的引用，并改为直接阐明此前以引述方式纳入的约束系统乘员保护要求。修订 §23.967，使其 (e)(1) 段引用 §23.561(b)(2) 段。修订 §23.1411，使其 (b)(2) 段引用 §23.561(b)(3) 段。</w:t>
        <w:br/>
        <w:t>第23.1413条修订为仅包含要求，即每条安全带和肩带束缚装置均须配备金属对金属锁定装置，因为现有第23.1413条的段(a)的要求与本最终规章第23.785条的段(a)和段(b)的要求重复，且现有第23.1413条的段(b)的要求与第23.785条(m)(2)的要求不兼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the regulatory references in the notice should be crosschecked with the latest revisions of Part 23. As a result of reviewing the FAR, the FAA identified several sections of Part 23 which need to be changed for compatibility with the new requirements for dynamic testing of seat/restraint systems. The regulatory changes identified by this review are not substantive but provide consistency with the other changes made by this amendment. This review resulted in several additions to this final rule. Section 23.2 is revised to delete the reference to Section 23.785(g) and (h) and, instead, states these previously incorporated-by-reference occupant protection requirements for restraint systems. Section 23.967 is revised so that paragraph (e)(1) refers to Section 23.561(b)(2). Section 23.1411 is revised so that paragraph (b)(2) refers to section 23.561(b)(3). Section 23.1413 is revised to include only the requirement that each safety belt and shoulder harness be equipped with a metal-to-metal latching device since the requirements of paragraph (a) of existing Section 23.1413 are redundant to the requirements in paragraphs (a) and (b) of Section 23.785 of this final rule, and the requirements of paragraph (b) of existing Section 23.1413 are not compatible with the requirements of Section 23.785(m)(2).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23.2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(a)、(b)、(c)、(1)、(2)</w:t>
      </w:r>
    </w:p>
    <w:p>
      <w:pPr>
        <w:pStyle w:val="Heading2"/>
        <w:keepNext/>
        <w:spacing w:before="240" w:after="120"/>
      </w:pPr>
      <w:r>
        <w:rPr>
          <w:rFonts w:ascii="Calibri" w:hAnsi="Calibri" w:eastAsia="微软雅黑"/>
          <w:b/>
          <w:i w:val="0"/>
          <w:color w:val="2E74B5"/>
          <w:sz w:val="27"/>
        </w:rPr>
        <w:t>3　§23.2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版本1：初始版（1985-12-12 生效）　来源：Docket 23815，1985-11-06 签发，50 FR 46872</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date the inspection acceptance records, or equivalent, reflect that the airplane is complete and meets the FAA Approved Type Design Data;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In the case of a foreign manufactured airplane, the date the foreign civil airworthiness authority certifies the airplane is complete and issues an original standard airworthiness certificate, or the equivalent in that country.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23-36（1988-09-14 生效）　来源：Docket 25147，1988-08-08 签发，53 FR 30802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Notwithstanding Secs. 21.17 and 21.101 of this chapter and irrespective of the type certification basis, each normal, utility, and acrobatic category airplane having a passenger seating configuration, excluding pilot seats, of nine or less, manufactured after December 12, 1986, or any such foreign airplane for entry into the United States must provide a safety belt and shoulder harness for each forward- or aft-facing seat which will protect the occupant from serious head injury when subjected to the inertia loads resulting from the ultimate static load factors prescribed in Sec. 23.561(b)(2) of this part, or which will provide the occupant protection specified in Sec. 23.562 of this part when that section is applicable to the airplane. For other seat orientations, the seat/restraint system must be designed to provide a level of occupant protection equivalent to that provided for forward- or aft-facing seats with a safety belt and shoulder harness installed.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shoulder harness installed at a flight crewmember station, as required by this section, must allow the crewmember, when seated with the safety belt and shoulder harness fastened, to perform all functions necessary for flight operations.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the purpose of this section, the date of manufacture is: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date the inspection acceptance records, or equivalent, reflect that the airplane is complete and meets the FAA approved type design data;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In the case of a foreign manufactured airplane, the date the foreign civil airworthiness authority certifies the airplane is complete and issues an original standard airworthiness certificate, or the equivalent in that country.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23-32</w:t>
              <w:br/>
              <w:t>(1985-12-12)</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23-36</w:t>
              <w:br/>
              <w:t>(1988-09-14)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§23.2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use in air commerce and, thereby, have an enhanced level of crashworthiness. 2. A new Sec. 23.2 is added to Part 23 to read as follows: Sec. 23.2 Special retroactive requirements. Notwithstanding Secs. 21.17 and 21.101 o…</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23-32, Amdt 23-36。</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23815</w:t>
            </w:r>
          </w:p>
        </w:tc>
        <w:tc>
          <w:tcPr>
            <w:tcW w:type="dxa" w:w="2381"/>
          </w:tcPr>
          <w:p>
            <w:pPr>
              <w:spacing w:before="40" w:after="40" w:line="324" w:lineRule="auto"/>
            </w:pPr>
            <w:r/>
            <w:r>
              <w:rPr>
                <w:rFonts w:ascii="Calibri" w:hAnsi="Calibri" w:eastAsia="微软雅黑"/>
                <w:b w:val="0"/>
                <w:i w:val="0"/>
                <w:color w:val="1A1A1A"/>
                <w:sz w:val="16"/>
              </w:rPr>
              <w:t>50 FR 46872</w:t>
            </w:r>
          </w:p>
        </w:tc>
        <w:tc>
          <w:tcPr>
            <w:tcW w:type="dxa" w:w="2948"/>
          </w:tcPr>
          <w:p>
            <w:pPr>
              <w:spacing w:before="40" w:after="40" w:line="324" w:lineRule="auto"/>
            </w:pPr>
            <w:r/>
            <w:r>
              <w:rPr>
                <w:rFonts w:ascii="Calibri" w:hAnsi="Calibri" w:eastAsia="微软雅黑"/>
                <w:b w:val="0"/>
                <w:i w:val="0"/>
                <w:color w:val="1A1A1A"/>
                <w:sz w:val="16"/>
              </w:rPr>
              <w:t>FinalRule_Docket 23815_Amdt21-58_23-32_91-191_50FR46872_1985-11-13_0002.txt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85-11 / Docket 23815</w:t>
            </w:r>
          </w:p>
        </w:tc>
        <w:tc>
          <w:tcPr>
            <w:tcW w:type="dxa" w:w="2381"/>
            <w:shd w:val="clear" w:color="auto" w:fill="F7F9FC"/>
          </w:tcPr>
          <w:p>
            <w:pPr>
              <w:spacing w:before="40" w:after="40" w:line="324" w:lineRule="auto"/>
            </w:pPr>
            <w:r/>
            <w:r>
              <w:rPr>
                <w:rFonts w:ascii="Calibri" w:hAnsi="Calibri" w:eastAsia="微软雅黑"/>
                <w:b w:val="0"/>
                <w:i w:val="0"/>
                <w:color w:val="1A1A1A"/>
                <w:sz w:val="16"/>
              </w:rPr>
              <w:t>50 FR 19108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85-11_Docket23815_50FR19108_1985-05-06.txt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25147</w:t>
            </w:r>
          </w:p>
        </w:tc>
        <w:tc>
          <w:tcPr>
            <w:tcW w:type="dxa" w:w="2381"/>
          </w:tcPr>
          <w:p>
            <w:pPr>
              <w:spacing w:before="40" w:after="40" w:line="324" w:lineRule="auto"/>
            </w:pPr>
            <w:r/>
            <w:r>
              <w:rPr>
                <w:rFonts w:ascii="Calibri" w:hAnsi="Calibri" w:eastAsia="微软雅黑"/>
                <w:b w:val="0"/>
                <w:i w:val="0"/>
                <w:color w:val="1A1A1A"/>
                <w:sz w:val="16"/>
              </w:rPr>
              <w:t>53 FR 30802</w:t>
            </w:r>
          </w:p>
        </w:tc>
        <w:tc>
          <w:tcPr>
            <w:tcW w:type="dxa" w:w="2948"/>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86-19 / Docket 25147</w:t>
            </w:r>
          </w:p>
        </w:tc>
        <w:tc>
          <w:tcPr>
            <w:tcW w:type="dxa" w:w="2381"/>
            <w:shd w:val="clear" w:color="auto" w:fill="F7F9FC"/>
          </w:tcPr>
          <w:p>
            <w:pPr>
              <w:spacing w:before="40" w:after="40" w:line="324" w:lineRule="auto"/>
            </w:pPr>
            <w:r/>
            <w:r>
              <w:rPr>
                <w:rFonts w:ascii="Calibri" w:hAnsi="Calibri" w:eastAsia="微软雅黑"/>
                <w:b w:val="0"/>
                <w:i w:val="0"/>
                <w:color w:val="1A1A1A"/>
                <w:sz w:val="16"/>
              </w:rPr>
              <w:t>51 FR 44878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86-19_Docket25147_51FR44878_1986-12-12.txt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§23.2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23-32</w:t>
            </w:r>
          </w:p>
        </w:tc>
        <w:tc>
          <w:tcPr>
            <w:tcW w:type="dxa" w:w="1701"/>
          </w:tcPr>
          <w:p>
            <w:pPr>
              <w:spacing w:before="40" w:after="40" w:line="324" w:lineRule="auto"/>
            </w:pPr>
            <w:r/>
            <w:r>
              <w:rPr>
                <w:rFonts w:ascii="Calibri" w:hAnsi="Calibri" w:eastAsia="微软雅黑"/>
                <w:b w:val="0"/>
                <w:i w:val="0"/>
                <w:color w:val="1A1A1A"/>
                <w:sz w:val="17"/>
              </w:rPr>
              <w:t>1985-12-12</w:t>
            </w:r>
          </w:p>
        </w:tc>
        <w:tc>
          <w:tcPr>
            <w:tcW w:type="dxa" w:w="6350"/>
          </w:tcPr>
          <w:p>
            <w:pPr>
              <w:spacing w:before="40" w:after="40" w:line="324" w:lineRule="auto"/>
            </w:pPr>
            <w:r/>
            <w:r>
              <w:rPr>
                <w:rFonts w:ascii="Calibri" w:hAnsi="Calibri" w:eastAsia="微软雅黑"/>
                <w:b w:val="0"/>
                <w:i w:val="0"/>
                <w:color w:val="1A1A1A"/>
                <w:sz w:val="17"/>
              </w:rPr>
              <w:t>2fb186bd-1b22-4ef0-8bac-ef3306e96df1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23-36</w:t>
            </w:r>
          </w:p>
        </w:tc>
        <w:tc>
          <w:tcPr>
            <w:tcW w:type="dxa" w:w="1701"/>
            <w:shd w:val="clear" w:color="auto" w:fill="F7F9FC"/>
          </w:tcPr>
          <w:p>
            <w:pPr>
              <w:spacing w:before="40" w:after="40" w:line="324" w:lineRule="auto"/>
            </w:pPr>
            <w:r/>
            <w:r>
              <w:rPr>
                <w:rFonts w:ascii="Calibri" w:hAnsi="Calibri" w:eastAsia="微软雅黑"/>
                <w:b w:val="0"/>
                <w:i w:val="0"/>
                <w:color w:val="1A1A1A"/>
                <w:sz w:val="17"/>
              </w:rPr>
              <w:t>1988-09-14</w:t>
            </w:r>
          </w:p>
        </w:tc>
        <w:tc>
          <w:tcPr>
            <w:tcW w:type="dxa" w:w="6350"/>
            <w:shd w:val="clear" w:color="auto" w:fill="F7F9FC"/>
          </w:tcPr>
          <w:p>
            <w:pPr>
              <w:spacing w:before="40" w:after="40" w:line="324" w:lineRule="auto"/>
            </w:pPr>
            <w:r/>
            <w:r>
              <w:rPr>
                <w:rFonts w:ascii="Calibri" w:hAnsi="Calibri" w:eastAsia="微软雅黑"/>
                <w:b w:val="0"/>
                <w:i w:val="0"/>
                <w:color w:val="1A1A1A"/>
                <w:sz w:val="17"/>
              </w:rPr>
              <w:t>c1370550-f445-4b9e-9c61-86b57953e3c5</w:t>
            </w:r>
          </w:p>
        </w:tc>
      </w:tr>
    </w:tbl>
    <w:p>
      <w:pPr>
        <w:pStyle w:val="Heading1"/>
        <w:keepNext/>
        <w:spacing w:before="320" w:after="160"/>
      </w:pPr>
      <w:r>
        <w:rPr>
          <w:rFonts w:ascii="Calibri" w:hAnsi="Calibri" w:eastAsia="微软雅黑"/>
          <w:b/>
          <w:i w:val="0"/>
          <w:color w:val="1F4E79"/>
          <w:sz w:val="32"/>
        </w:rPr>
        <w:t>§ 23.3　飞机类别（Airplane categories.）</w:t>
      </w:r>
    </w:p>
    <w:p>
      <w:pPr>
        <w:spacing w:before="60" w:after="60" w:line="324" w:lineRule="auto"/>
      </w:pPr>
      <w:r>
        <w:rPr>
          <w:rFonts w:ascii="Calibri" w:hAnsi="Calibri" w:eastAsia="微软雅黑"/>
          <w:b w:val="0"/>
          <w:i w:val="0"/>
          <w:color w:val="595959"/>
          <w:sz w:val="21"/>
        </w:rPr>
        <w:t>1965-02-01 初版　｜　2012-01-31 Amdt 23-62　｜　共 5 个历史版本</w:t>
      </w:r>
    </w:p>
    <w:p>
      <w:pPr>
        <w:pStyle w:val="Heading2"/>
        <w:keepNext/>
        <w:spacing w:before="240" w:after="120"/>
      </w:pPr>
      <w:r>
        <w:rPr>
          <w:rFonts w:ascii="Calibri" w:hAnsi="Calibri" w:eastAsia="微软雅黑"/>
          <w:b/>
          <w:i w:val="0"/>
          <w:color w:val="2E74B5"/>
          <w:sz w:val="27"/>
        </w:rPr>
        <w:t>1　§23.3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Airplane categories.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飞机类别</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A 分部　总则</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1967-04-14</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8092，1967-04-07 签发，32 FR 5984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新增段落：(a)、(d)</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23-50</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94-22，1994-07-19 签发，59 FR 37878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27807，1996-01-29 签发，61 FR 5171</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修订段落：(b)</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1967 23-4　修订：(a)　→　1987 23-34　新增段落：(a)、(d)　→　1996 23-50　修订段落：(b)　→　2012 23-62　条文未改动（本版为交叉引用或其他条款修订所致</w:t>
      </w:r>
    </w:p>
    <w:p>
      <w:pPr>
        <w:pStyle w:val="Heading2"/>
        <w:keepNext/>
        <w:spacing w:before="240" w:after="120"/>
      </w:pPr>
      <w:r>
        <w:rPr>
          <w:rFonts w:ascii="Calibri" w:hAnsi="Calibri" w:eastAsia="微软雅黑"/>
          <w:b/>
          <w:i w:val="0"/>
          <w:color w:val="2E74B5"/>
          <w:sz w:val="27"/>
        </w:rPr>
        <w:t>2　§23.3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初始颁行（1965-02-01，初始版）：飞机类别</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23-4（1967-04-14 生效）：规章文本：鉴于上述情况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Docket 8092，1967-04-07 签发，32 FR 5984，1967-04-14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规章文本：鉴于上述情况，《联邦航空规章》§23.3(a)段和(b)段修订为如下内容，自《联邦公报》发布之日起生效。</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REGULATORY TEXT: In consideration of the foregoing, paragraphs (a) and (b) of Sec. 23.3 of the Federal Aviation Regulations are amended to read as follows, effective upon publication in the Federal Register.</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(a)、(1)、(2)、(3)、(b)、(1)、(2)</w:t>
      </w:r>
    </w:p>
    <w:p>
      <w:pPr>
        <w:pStyle w:val="Heading3"/>
        <w:keepNext/>
        <w:spacing w:before="200" w:after="100"/>
      </w:pPr>
      <w:r>
        <w:rPr>
          <w:rFonts w:ascii="Calibri" w:hAnsi="Calibri" w:eastAsia="微软雅黑"/>
          <w:b/>
          <w:i w:val="0"/>
          <w:color w:val="404040"/>
          <w:sz w:val="24"/>
        </w:rPr>
        <w:t>2.3　Amdt 23-34（1987-02-17 生效）：4. 对第23.3条进行修订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对第23.3条进行修订，修订(a)段引言、(b)段引言和(c)段；将(d)段修订并重新编号为(e)段，并新增(d)段，内容如下：　3. 修订 §23.3 条，修订 (a) 和 (b) 段的引言文字以及 (c) 和 (d) 段的全部内容；将 (d) 段重新编号为 (e)；并增加新的 (d)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3——一位评论者认为，应修订第23.3(d)条，以适用于最大起飞重量限于12,500磅且不包括驾驶员座位的座位配置为十个或以上的飞机。美国联邦航空局不同意。此处所采用的适航标准为通勤类飞机确立了要求，无论其重量如何（从小于12,500磅至并包括19,000磅），或乘客座位配置（不包括驾驶员座位）不超过19。</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3 -- One commenter contends Sec. 23.3(d) should be revised to provide for airplanes limited to 12,500 pounds maximum takeoff weight and a seating configuration, excluding pilot seats, of ten or more. The FAA does not agree. The airworthiness standards, adopted herein establish requirements for the commuter category, regardless of weight, from less than 12,500 pounds up to and including 19,000 pounds, or passenger seating configuration, excluding pilot seats, not to exceed 19.</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位评论者建议修订§23.3，要求定期航空承运人使用的所有飞机均按通勤类取证，因为根据现行及拟议规则，九座或更少乘客座位的飞机将继续有资格根据现行第23部规则取证，而非依据强化的通勤类规则。美国联邦航空局认可该评论的合理之处，并将考虑在证明符合公共利益或为安全所必需时，开展额外的规章制定，以提升定期航空承运人使用的、乘客座位配置为九座或以下的飞机的安全水平。美国联邦航空局认为该评论超出本次规章制定活动的范围，且除非对此类提案另行征求公众参与，否则不能与这些修订同时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recommends that Sec. 23.3 be amended to require all airplanes used by scheduled air carriers to be certificated as commuter category since, under the present and proposed rules, airplanes of nine or fewer passenger seats will continue to be eligible for certification under existing Part 23 rules and not the enhanced commuter category rules. The FAA recognizes the merit of the comment and will consider additional rulemaking to enhance the level of safety of airplanes used by scheduled air carriers with a passenger configuration of nine or less when shown to be in the public interest or necessary for safety. The FAA considers this comment to be outside the scope of this rulemaking activity and one that cannot be adopted concurrently with these amendments without additional public participation in such a proposal.</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另一评论者建议修改第23.3(d)条，将单发涡桨飞机增加至通勤类。美国联邦航空局不同意将单发涡桨飞机纳入通勤类。尽管评论者主张涡桨发动机的可靠性记录优于活塞式发动机，但单发失效的可能性未能提供通勤类飞机适航标准所期望的安全水平，该标准要求通勤类飞机在包括发动机失效在内的可能故障发生后，必须具备继续安全飞行和着陆的能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recommends that Sec. 23.3(d) be changed to add single-engine, turbopropeller-powered airplanes to the commuter category. The FAA does not agree with the inclusion of single-engine, turbopropeller-powered airplanes within the commuter category. While the commenter contends that turbopropeller engines have a record of increased reliability over reciprocating engines, the prospect of a single-engine failure does not provide the level of safety expected from the airworthiness standards for commuter category airplanes which must have the ability for continued safe flight and landing after probable failures, including the failure of an engine.</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对拟议的 §23.3(e) 段作了一处小的澄清性修改，即在“certificated”前插入“type”。这明确表明该段中的取证是指型号取证，而非适航取证。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minor clarifying change was made to proposed Sec. 23.3(e) by inserting the word "type" before the word "certificated." This makes clear that certification in that paragraph was with reference to type certification and not to airworthiness certification.</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一名</w:t>
        <w:br/>
        <w:t>还有其他与乘务员座位安装相关的适航和运行要求。与这些要求相关的问题需要在单独的规章制定行动中予以考虑，因此超出本次规章制定的范围。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considered the seat demarcation to be well placed at 19 passengers since this configuration avoids the burden that would be imposed by the requirement for a flight attendant. Another commenter recommends that Section 23.3(d) be changed to read, "The commuter category is limited to * * * airplanes that have a seating configuration, excluding crew seats, of 19 or less * * *." This substitution of "crew seats" for "pilot seats" would permit certification of commuter category airplanes with 19 passenger seats plus a cabin attendant's seat. The commenter contends that this would enhance safety and that should an operator seek to include an additional crew seat in the cabin for a cabin attendant, the FAA would probably grant such an exemption to the current rule.</w:t>
      </w:r>
    </w:p>
    <w:p>
      <w:pPr>
        <w:spacing w:before="60" w:after="60" w:line="324" w:lineRule="auto"/>
        <w:ind w:left="680"/>
      </w:pPr>
      <w:r>
        <w:rPr>
          <w:rFonts w:ascii="Calibri" w:hAnsi="Calibri" w:eastAsia="微软雅黑"/>
          <w:b w:val="0"/>
          <w:i w:val="0"/>
          <w:color w:val="808080"/>
          <w:sz w:val="17"/>
        </w:rPr>
        <w:t>The FAA did not propose airworthiness criteria appropriate to a flight attendant's seat in Notice 83-17 and the criteria applicable to a passenger seat is not appropriate for a flight attendant's seat. There are other airworthiness and operational requirements that are related to the installation of a flight attendant seat. Issues related to those requirements need to be considered in a separate rulemaking action and, therefore, are beyond the scope of this rulemaking.</w:t>
      </w:r>
    </w:p>
    <w:p>
      <w:pPr>
        <w:spacing w:before="80" w:after="20" w:line="324" w:lineRule="auto"/>
        <w:ind w:left="510"/>
      </w:pPr>
      <w:r>
        <w:rPr>
          <w:rFonts w:ascii="Calibri" w:hAnsi="Calibri" w:eastAsia="微软雅黑"/>
          <w:b w:val="0"/>
          <w:i w:val="0"/>
          <w:color w:val="999999"/>
          <w:sz w:val="17"/>
        </w:rPr>
        <w:t>来源：NPRM（提案）｜48 FR 52010｜NPRM_Notice 83-17_Docket23516_48FR52010_1983-11-15.txt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说明：与“小型”一词相关的飞机重量限制以及段(a)中的座位布局限制，正被移至 §23.3 条中各个类别的描述中，以便在一般适用性声明中纳入通勤类。</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limitation on airplane weight associated with the word "small" and the limitations on seating configuration in paragraph (a) are being transferred to the descriptions of individual categories in Sec. 23.3 to allow inclusion of the commuter category under the general applicability statement.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By amending Sec. 23.3 by revising paragraphs(a) introductory text, (b) introductory text, and (c); by revising and redesignating paragraph (d) as (e), and by adding a new paragraph (d) to read as follows:</w:t>
      </w:r>
    </w:p>
    <w:p>
      <w:pPr>
        <w:spacing w:before="60" w:after="60" w:line="324" w:lineRule="auto"/>
        <w:ind w:left="567"/>
      </w:pPr>
      <w:r>
        <w:rPr>
          <w:rFonts w:ascii="Calibri" w:hAnsi="Calibri" w:eastAsia="微软雅黑"/>
          <w:b w:val="0"/>
          <w:i w:val="0"/>
          <w:color w:val="606060"/>
          <w:sz w:val="17"/>
        </w:rPr>
        <w:t>3. By amending Sec. 23.3 by revising the introductory text of paragraphs (a), (b), and all of paragraphs (c) and (d); by redesignating paragraph (d) as (e); and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(a)、(b)、(c)、(d)、(e)</w:t>
      </w:r>
    </w:p>
    <w:p>
      <w:pPr>
        <w:pStyle w:val="Heading3"/>
        <w:keepNext/>
        <w:spacing w:before="200" w:after="100"/>
      </w:pPr>
      <w:r>
        <w:rPr>
          <w:rFonts w:ascii="Calibri" w:hAnsi="Calibri" w:eastAsia="微软雅黑"/>
          <w:b/>
          <w:i w:val="0"/>
          <w:color w:val="404040"/>
          <w:sz w:val="24"/>
        </w:rPr>
        <w:t>2.4　Amdt 23-50（1996-03-11 生效）：4. 第23.3条经修订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第23.3条经修订，将(b)(2)段、(d)段和(e)段修改为以下内容：　拟对 §23.3(d) 段进行修订，删除作为通勤类飞机核准运行项目的战斗转弯和懒八字机动，因为美国联邦航空局预计对此类机动不存在任何运行需求。　此外，将修订第23.3条（e）段，禁止在通勤类之外的任何其他类别对通勤类飞机进行型号取证。在关于第23-34号修正案提案3的前言讨论中（52 FR 1806，1987年1月15日），美国联邦航空局（FAA）讨论了双重取证问题，重点涉及适航证书的颁发。此后，美国联邦航空局获得了在正常类和通勤类两个类别中均取得取证的飞机的相关经验。美国联邦航空局发现，飞行员和运营人对适当的性能限制感到困惑。</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美国联邦航空局提议修订§23.3(b)(2)段，为懒8字、急上升转弯和seep转弯增加一个90度坡度角的外侧限制。</w:t>
        <w:br/>
        <w:t>美国联邦航空局提议修订§23.3(d)段，以删除作为通勤类飞机批准运行的急上升转弯和懒8字。美国联邦航空局预计对此类机动没有任何运行需求。</w:t>
        <w:br/>
        <w:t>美国联邦航空局提议修订§23.3(e)段，以禁止按任何其他类别对通勤类飞机进行型号认证。本规则变更不会妨碍采用不同型号编号的类似飞机的型号认证，例如现有的赛斯纳500和501型飞机。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23.3(b)(2) to add an outside limit of 90 degrees in angle of bank for lazy eights, chandelles, and seep turns.</w:t>
      </w:r>
    </w:p>
    <w:p>
      <w:pPr>
        <w:spacing w:before="60" w:after="60" w:line="324" w:lineRule="auto"/>
        <w:ind w:left="680"/>
      </w:pPr>
      <w:r>
        <w:rPr>
          <w:rFonts w:ascii="Calibri" w:hAnsi="Calibri" w:eastAsia="微软雅黑"/>
          <w:b w:val="0"/>
          <w:i w:val="0"/>
          <w:color w:val="808080"/>
          <w:sz w:val="17"/>
        </w:rPr>
        <w:t>The FAA proposed to revise Sec. 23.3(d) to remove chandelles and lazy eights as approved operations in commuter category airplanes. The FAA does not anticipate any operational need for such maneuvers.</w:t>
      </w:r>
    </w:p>
    <w:p>
      <w:pPr>
        <w:spacing w:before="60" w:after="60" w:line="324" w:lineRule="auto"/>
        <w:ind w:left="680"/>
      </w:pPr>
      <w:r>
        <w:rPr>
          <w:rFonts w:ascii="Calibri" w:hAnsi="Calibri" w:eastAsia="微软雅黑"/>
          <w:b w:val="0"/>
          <w:i w:val="0"/>
          <w:color w:val="808080"/>
          <w:sz w:val="17"/>
        </w:rPr>
        <w:t>The FAA proposed to revise Sec. 23.3(e) to prohibit type certification of commuter category airplanes in any other category. This rule change will not preclude the type certification of similar airplanes with different model numbers, such as the present Cessna models 500 and 501.</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美国联邦航空局提议修订第23.3条(d)段，以取消急跃升转弯和懒八字作为通勤类飞机中获准的运行机动。美国联邦航空局预计不会有任何对此类机动的运行需求。</w:t>
        <w:br/>
        <w:br/>
        <w:t>美国联邦航空局提议修订第23.3条(e)段，以禁止通勤类飞机在任何其他类别中进行型号合格审定。本规章变更将不排除对具有不同型号编号的类似飞机进行型号合格审定，例如现有的塞斯纳500型和501型。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23.3(d) to remove chandelles and lazy eights as approved operations in commuter category airplanes. The FAA does not anticipate any operational need for such maneuvers.</w:t>
      </w:r>
    </w:p>
    <w:p>
      <w:pPr>
        <w:spacing w:before="60" w:after="60" w:line="324" w:lineRule="auto"/>
        <w:ind w:left="680"/>
      </w:pPr>
      <w:r>
        <w:rPr>
          <w:rFonts w:ascii="Calibri" w:hAnsi="Calibri" w:eastAsia="微软雅黑"/>
          <w:b w:val="0"/>
          <w:i w:val="0"/>
          <w:color w:val="808080"/>
          <w:sz w:val="17"/>
        </w:rPr>
        <w:t>The FAA proposed to revise Sec. 23.3(e) to prohibit type certification of commuter category airplanes in any other category. This rule change will not preclude the type certification of similar airplanes with different model numbers, such as the present Cessna models 500 and 501.</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美国联邦航空局（FAA）提议修订§23.3(e)段，以禁止通勤类飞机在任何其他类别中取得型号合格证。本规章修订不会妨碍具有不同型号编号的类似飞机取得型号合格证，例如当前的赛斯纳500和501型飞机。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23.3(e) to prohibit type certification of commuter category airplanes in any other category. This rule change will not preclude the type certification of similar airplanes with different model numbers, such as the present Cessna models 500 and 501.</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美国联邦航空局提议修订第23.1583条(e)(5)段，该段基于适用于通勤类飞机的原(e)(4)段。这将机动动作重述为第23.3条中为通勤类飞机提议的机动动作。</w:t>
        <w:br/>
        <w:t>美国联邦航空局提议修订第23.1583条(f)段的标题，并为特技类飞机增加一个限制负载荷因数。</w:t>
        <w:br/>
        <w:t>美国联邦航空局提议修订第23.1583条(g)段，仅作编辑性修改，不改变要求，并引用第23.1523条中的飞行机组要求。按照提议，第23.1583条(k)、(l)和(m)段被重新指定为第23.1583条(i)、(j)和(k)段。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23.1583(e)(5) based on former paragraph (e)(4) for commuter category airplanes. This restates the maneuvers as those proposed for commuter category airplanes in Sec. 23.3.</w:t>
      </w:r>
    </w:p>
    <w:p>
      <w:pPr>
        <w:spacing w:before="60" w:after="60" w:line="324" w:lineRule="auto"/>
        <w:ind w:left="680"/>
      </w:pPr>
      <w:r>
        <w:rPr>
          <w:rFonts w:ascii="Calibri" w:hAnsi="Calibri" w:eastAsia="微软雅黑"/>
          <w:b w:val="0"/>
          <w:i w:val="0"/>
          <w:color w:val="808080"/>
          <w:sz w:val="17"/>
        </w:rPr>
        <w:t>The FAA proposed to revise the heading of Sec. 23.1583(f) and to add a limit negative load factor for acrobatic category airplanes.</w:t>
      </w:r>
    </w:p>
    <w:p>
      <w:pPr>
        <w:spacing w:before="60" w:after="60" w:line="324" w:lineRule="auto"/>
        <w:ind w:left="680"/>
      </w:pPr>
      <w:r>
        <w:rPr>
          <w:rFonts w:ascii="Calibri" w:hAnsi="Calibri" w:eastAsia="微软雅黑"/>
          <w:b w:val="0"/>
          <w:i w:val="0"/>
          <w:color w:val="808080"/>
          <w:sz w:val="17"/>
        </w:rPr>
        <w:t>The FAA proposed to revise Sec. 23.1583(g) to make editorial changes with no change in requirements and to reference the flight crews' requirements in Sec. 23.1523. As proposed, Sec. 23.1583(k), (l), and (m) are redesignated as Sec. 23.1583(i), (j), and (k).</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Section 23.3 is amended by revising paragraphs (b)(2), (d), and (e) to read as follows:</w:t>
      </w:r>
    </w:p>
    <w:p>
      <w:pPr>
        <w:spacing w:before="60" w:after="60" w:line="324" w:lineRule="auto"/>
        <w:ind w:left="567"/>
      </w:pPr>
      <w:r>
        <w:rPr>
          <w:rFonts w:ascii="Calibri" w:hAnsi="Calibri" w:eastAsia="微软雅黑"/>
          <w:b w:val="0"/>
          <w:i w:val="0"/>
          <w:color w:val="606060"/>
          <w:sz w:val="17"/>
        </w:rPr>
        <w:t>Section 23.3 (d) would be revised to delete chandelles and lazy eights as approved operations in commuter category airplanes because the FAA does not anticipate any operational need for such maneuvers.</w:t>
      </w:r>
    </w:p>
    <w:p>
      <w:pPr>
        <w:spacing w:before="60" w:after="60" w:line="324" w:lineRule="auto"/>
        <w:ind w:left="567"/>
      </w:pPr>
      <w:r>
        <w:rPr>
          <w:rFonts w:ascii="Calibri" w:hAnsi="Calibri" w:eastAsia="微软雅黑"/>
          <w:b w:val="0"/>
          <w:i w:val="0"/>
          <w:color w:val="606060"/>
          <w:sz w:val="17"/>
        </w:rPr>
        <w:t>Further, Sec. 23.3 (e) would be revised to prohibit type certification of commuter category airplanes in any other category. In the preamble discussion of Proposal 3 for Amendment No. 23-34 (52 FR 1806, January 15, 1987), the FAA discussed the issue of dual certification, with emphasis on the issuance of airworthiness certificates. Since then, the FAA has gained experience with airplanes certificated in both normal and commuter categories. The FAA has found confusion among pilots and operators about the appropriate performance limitations.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(b)、(2)、(d)、(e)</w:t>
      </w:r>
    </w:p>
    <w:p>
      <w:pPr>
        <w:pStyle w:val="Heading3"/>
        <w:keepNext/>
        <w:spacing w:before="200" w:after="100"/>
      </w:pPr>
      <w:r>
        <w:rPr>
          <w:rFonts w:ascii="Calibri" w:hAnsi="Calibri" w:eastAsia="微软雅黑"/>
          <w:b/>
          <w:i w:val="0"/>
          <w:color w:val="404040"/>
          <w:sz w:val="24"/>
        </w:rPr>
        <w:t>2.5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2.6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§23.3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normal category is limited to airplanes intended for nonacrobatic operation. Nonacrobatic operation includes any maneuvers incident to normal flying, stalls (except whip stalls), and turns in which the angle of bank is not more than 60 degrees.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utility category is limited to airplanes intended for limited acrobatic operation. Limited acrobatic operation includes any maneuvers incident to normal flying, stalls (except whip stalls), spins (if approved for the particular type of airplane), lazy eights, chandelles, and steep turns in which the angle of bank is more than 60 degrees.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acrobatic category is limited to airplanes intended for use without restrictions other than those shown to be necessary as a result of required flight tests.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Small airplanes may be certificated in more than one category if the requirements of each requested category are met.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23-4（1967-04-14 生效）　来源：Docket 8092，1967-04-07 签发，32 FR 5984</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normal category is limited to airplanes intended for nonacrobatic operation. Nonacrobatic operation includes--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Any maneuver incident to normal flying;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Stalls (except whip stalls);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Lazy eights, chandelles, and steep turns, in which the angle of bank is not more than 60 degrees.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utility category is limited to airplanes intended for limited acrobatic operation. Airplanes certificated in the utility category may be used in any of the operations covered under paragraph (a) of this section and in limited acrobatic operation included--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Spins (if approved for the particular type of airplane);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Lazy eights, chandelles, and steep turns, in which the angle of bank is more than 60 degrees. FOOTER: Issued in Washington, DC, on April 7, 1967. William F. McKee, Administrator. [FR Doc. 67-4069 Filed 4-13-67; 8:45 am] NPRM ACTIONS: Not Applicable. FINAL RULE ACTIONS: Not Applicable.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新增段落：(a)、(d)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normal category is limited to airplanes that have a seating configuration, excluding pilot seats, of nine or less, a maximum certificated takeoff weight of 12,500 pounds or less, and intended for nonacrobatic operation. Nonacrobatic operation includes: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utility category is limited to airplanes that have a seating configuration, excluding pilot seats, of nine or less, a maximum certificated takeoff weight of 12,500 pounds or less, and intended for limited acrobatic operation. Airplanes certificated in the utility category may be used in any of the operations covered under paragraph (a) of this section and in limited acrobatic operations. Limited acrobatic operation includes: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acrobatic category is limited to airplanes that have a seating configuration, excluding pilot seats, of nine or less, a maximum certificated takeoff weight of 12,500 pounds or less, and intended for use without restrictions, other than those shown to be necessary as a result of required flight tests.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commuter category is limited to propeller-driven, multiengine airplanes that have a seating configuration, excluding pilot seats, of 19 or less, and a maximum certificated takeoff weight of 19,000 pounds or less, intended for nonacrobatic operation as described in paragraph (a)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Airplanes may be certificated in more than one category of this part if the requirements of each requested category are met.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23-50（1996-03-11 生效）　来源：Docket 27807，1996-01-29 签发，61 FR 5171</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Lazy eights, chandelles, and steep turns, or similar maneuvers, in which the angle of bank is more than 60 degrees but not more than 90 degrees.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The commuter category is limited to propeller-driven, multiengine airplanes that have a seating configuration, excluding pilot seats, of 19 or less, and a maximum certificated takeoff weight of 19,000 pounds or less. The commuter category operation is limited to any maneuver incident to normal flying, stalls (except whip stalls), and steep turns, in which the angle of bank is not more than 60 degrees.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Except for commuter category, airplanes may be type certificated in more than one category if the requirements of each requested category are met.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w:t>
              <w:br/>
              <w:t>(1967-04-14)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placed at 19 passengers since this configuration avoids the burden that would be imposed by the requirement for a flight attendant. Another commenter recommends that Section 23.3(d) be changed to read, "The commuter cate…</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rplanes. The FAA proposed to revise Sec. 23.1583(g) to make editorial changes with no change in requirements and to reference the flight crews' requirements in Sec. 23.1523. As proposed, Sec. 23.1583(k), (l), and (m) are…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23-4, Amdt 23-34, Amdt 23-50, Amdt 23-62。</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8092</w:t>
            </w:r>
          </w:p>
        </w:tc>
        <w:tc>
          <w:tcPr>
            <w:tcW w:type="dxa" w:w="2381"/>
          </w:tcPr>
          <w:p>
            <w:pPr>
              <w:spacing w:before="40" w:after="40" w:line="324" w:lineRule="auto"/>
            </w:pPr>
            <w:r/>
            <w:r>
              <w:rPr>
                <w:rFonts w:ascii="Calibri" w:hAnsi="Calibri" w:eastAsia="微软雅黑"/>
                <w:b w:val="0"/>
                <w:i w:val="0"/>
                <w:color w:val="1A1A1A"/>
                <w:sz w:val="16"/>
              </w:rPr>
              <w:t>32 FR 5984</w:t>
            </w:r>
          </w:p>
        </w:tc>
        <w:tc>
          <w:tcPr>
            <w:tcW w:type="dxa" w:w="2948"/>
          </w:tcPr>
          <w:p>
            <w:pPr>
              <w:spacing w:before="40" w:after="40" w:line="324" w:lineRule="auto"/>
            </w:pPr>
            <w:r/>
            <w:r>
              <w:rPr>
                <w:rFonts w:ascii="Calibri" w:hAnsi="Calibri" w:eastAsia="微软雅黑"/>
                <w:b w:val="0"/>
                <w:i w:val="0"/>
                <w:color w:val="1A1A1A"/>
                <w:sz w:val="16"/>
              </w:rPr>
              <w:t>FinalRule_Docket 8092_Amdt23-4_32FR5984_1967-04-14.txt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52 FR 34745</w:t>
            </w:r>
          </w:p>
        </w:tc>
        <w:tc>
          <w:tcPr>
            <w:tcW w:type="dxa" w:w="2381"/>
            <w:shd w:val="clear" w:color="auto" w:fill="F7F9FC"/>
          </w:tcPr>
          <w:p>
            <w:pPr>
              <w:spacing w:before="40" w:after="40" w:line="324" w:lineRule="auto"/>
            </w:pPr>
            <w:r/>
            <w:r>
              <w:rPr>
                <w:rFonts w:ascii="Calibri" w:hAnsi="Calibri" w:eastAsia="微软雅黑"/>
                <w:b w:val="0"/>
                <w:i w:val="0"/>
                <w:color w:val="1A1A1A"/>
                <w:sz w:val="16"/>
              </w:rPr>
              <w:t>1987-09-14</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Correction_52FR34745_1987-09-14.clean.txt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a145256b-b078-4d80-a70c-49bd57b0264c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w:t>
            </w:r>
          </w:p>
        </w:tc>
        <w:tc>
          <w:tcPr>
            <w:tcW w:type="dxa" w:w="1701"/>
            <w:shd w:val="clear" w:color="auto" w:fill="F7F9FC"/>
          </w:tcPr>
          <w:p>
            <w:pPr>
              <w:spacing w:before="40" w:after="40" w:line="324" w:lineRule="auto"/>
            </w:pPr>
            <w:r/>
            <w:r>
              <w:rPr>
                <w:rFonts w:ascii="Calibri" w:hAnsi="Calibri" w:eastAsia="微软雅黑"/>
                <w:b w:val="0"/>
                <w:i w:val="0"/>
                <w:color w:val="1A1A1A"/>
                <w:sz w:val="17"/>
              </w:rPr>
              <w:t>1967-04-14</w:t>
            </w:r>
          </w:p>
        </w:tc>
        <w:tc>
          <w:tcPr>
            <w:tcW w:type="dxa" w:w="6350"/>
            <w:shd w:val="clear" w:color="auto" w:fill="F7F9FC"/>
          </w:tcPr>
          <w:p>
            <w:pPr>
              <w:spacing w:before="40" w:after="40" w:line="324" w:lineRule="auto"/>
            </w:pPr>
            <w:r/>
            <w:r>
              <w:rPr>
                <w:rFonts w:ascii="Calibri" w:hAnsi="Calibri" w:eastAsia="微软雅黑"/>
                <w:b w:val="0"/>
                <w:i w:val="0"/>
                <w:color w:val="1A1A1A"/>
                <w:sz w:val="17"/>
              </w:rPr>
              <w:t>dc4299e3-2998-44b6-9bd3-cf1c9ca7118c</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90e5e1aa-3983-4a20-a883-851611864e66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23-50</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1c509f0f-c47f-41f8-9c71-a02b21a7434d</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d69e700b-90e9-4dc5-9cec-33171388f3db</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Part 23 条款修订历史与背景分析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微软雅黑"/>
      <w:b/>
      <w:bCs/>
      <w:i w:val="0"/>
      <w:color w:val="1F4E79"/>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微软雅黑"/>
      <w:b/>
      <w:bCs/>
      <w:i w:val="0"/>
      <w:color w:val="2E74B5"/>
      <w:sz w:val="27"/>
      <w:szCs w:val="26"/>
      <w:u w:val="none"/>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Calibri" w:hAnsi="Calibri" w:eastAsia="微软雅黑"/>
      <w:b/>
      <w:bCs/>
      <w:i w:val="0"/>
      <w:color w:val="40404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Theme="majorHAnsi" w:eastAsiaTheme="majorEastAsia" w:hAnsiTheme="majorHAnsi" w:cstheme="majorBidi" w:ascii="Calibri" w:hAnsi="Calibri" w:eastAsia="微软雅黑"/>
      <w:b/>
      <w:bCs/>
      <w:i w:val="0"/>
      <w:iCs/>
      <w:color w:val="595959"/>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