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附录 D　机轮起旋载荷</w:t>
      </w:r>
    </w:p>
    <w:p>
      <w:pPr>
        <w:spacing w:before="0" w:after="320" w:line="324" w:lineRule="auto"/>
        <w:jc w:val="center"/>
      </w:pPr>
      <w:r>
        <w:rPr>
          <w:rFonts w:ascii="Calibri" w:hAnsi="Calibri" w:eastAsia="微软雅黑"/>
          <w:b w:val="0"/>
          <w:i w:val="0"/>
          <w:color w:val="595959"/>
          <w:sz w:val="22"/>
        </w:rPr>
        <w:t>Appendix D--Wheel Spin-Up Loads</w:t>
      </w:r>
    </w:p>
    <w:p>
      <w:pPr>
        <w:spacing w:before="0" w:after="360" w:line="324" w:lineRule="auto"/>
        <w:jc w:val="center"/>
      </w:pPr>
      <w:r>
        <w:rPr>
          <w:rFonts w:ascii="Calibri" w:hAnsi="Calibri" w:eastAsia="微软雅黑"/>
          <w:b w:val="0"/>
          <w:i w:val="0"/>
          <w:color w:val="595959"/>
          <w:sz w:val="22"/>
        </w:rPr>
        <w:t>快照：Part 23 @ Amdt 23-63 as of 08/29/2017 and earlier　｜　共 1 个条款 / 2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D23.1</w:t>
            </w:r>
          </w:p>
        </w:tc>
        <w:tc>
          <w:tcPr>
            <w:tcW w:type="dxa" w:w="3175"/>
          </w:tcPr>
          <w:p>
            <w:pPr>
              <w:spacing w:before="40" w:after="40" w:line="324" w:lineRule="auto"/>
            </w:pPr>
            <w:r/>
            <w:r>
              <w:rPr>
                <w:rFonts w:ascii="Calibri" w:hAnsi="Calibri" w:eastAsia="微软雅黑"/>
                <w:b w:val="0"/>
                <w:i w:val="0"/>
                <w:color w:val="1A1A1A"/>
                <w:sz w:val="17"/>
              </w:rPr>
              <w:t>机轮起旋载荷</w:t>
            </w:r>
          </w:p>
        </w:tc>
        <w:tc>
          <w:tcPr>
            <w:tcW w:type="dxa" w:w="3628"/>
          </w:tcPr>
          <w:p>
            <w:pPr>
              <w:spacing w:before="40" w:after="40" w:line="324" w:lineRule="auto"/>
            </w:pPr>
            <w:r/>
            <w:r>
              <w:rPr>
                <w:rFonts w:ascii="Calibri" w:hAnsi="Calibri" w:eastAsia="微软雅黑"/>
                <w:b w:val="0"/>
                <w:i w:val="0"/>
                <w:color w:val="1A1A1A"/>
                <w:sz w:val="17"/>
              </w:rPr>
              <w:t>Wheel spin-up loads.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D23.1　机轮起旋载荷（Wheel spin-up loads.）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§D23.1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D23.1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Wheel spin-up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机轮起旋载荷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D　机轮起旋载荷</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§D23.1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条文未改动（本版为交叉引用或其他条款修订所致</w:t>
      </w:r>
    </w:p>
    <w:p>
      <w:pPr>
        <w:pStyle w:val="Heading2"/>
        <w:keepNext/>
        <w:spacing w:before="240" w:after="120"/>
      </w:pPr>
      <w:r>
        <w:rPr>
          <w:rFonts w:ascii="Calibri" w:hAnsi="Calibri" w:eastAsia="微软雅黑"/>
          <w:b/>
          <w:i w:val="0"/>
          <w:color w:val="2E74B5"/>
          <w:sz w:val="27"/>
        </w:rPr>
        <w:t>2　§D23.1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初始颁行（1965-02-01，初始版）：机轮起旋载荷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§D23.1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following method for determining wheel spin-up loads for landing conditions is based on NACA T.N. 863. However, the drag component used for design may not be less than the drag load prescribed in Sec. 23.479(b). where-- FH max = maximum rearward horizontal force acting on the wheel (in pounds); re = effective rolling radius of wheel under impact based on recommended operating tire pressure (which may be assumed to be equal to the rolling radius under a static load of njWe) in feet; Iw = rotational mass moment of inertia of rolling assembly (in slug feet); VH = linear velocity of airplane parallel to ground at instant of contact (assumed to be 1.2 , in feet per second); VC = peripheral speed of tire, if pre-rotation is used (in feet per second) (there must be a positive means of pre-rotation before pre-rotation may be considered); n = effective coefficient of friction (0.80 may be used); FV max = maximum vertical force on wheel (pounds) = njWe, where We and nj are defined in Sec. 23.725; tz = time interval between ground contact and attainment of maximum vertical force on wheel (seconds). (However, if the value of FV max, from the above equation exceeds 0.8 FV max, the latter value must be used for FH max.)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This equation assumes a linear variation of load factor with time until the peak load is reached and under this assumption, the equation determines the drag force at the time that the wheel peripheral velocity at radius re equals the airplane velocity. Most shock absorbers do not exactly follow a linear variation of load factor with time. Therefore, rational or conservative allowances must be made to compensate for these variations. On most landing gears, the time for wheel spin-up will be less than the time required to develop maximum vertical load factor for the specified rate of descent and forward velocity. For exceptionally large wheels, a wheel peripheral velocity equal to the ground speed may not have been attained at the time of maximum vertical gear load. However, as stated above, the drag spin-up load need not exceed 0.8 of the maximum vertical loads. DISTRIBUTION TABLE Former section Revised section 3.0 23.1 3.1 Executed or transferred to Part 1 [New]. 3.10-3.19 Transferred to Part 21 [New]. 3.20 (less 2d sentence of (a) (2) and 2d and 3d sentences of (b)). 23.3 3.20 (a)(2) (2d sentence) Surplusage. 3.20 (b) (2d and 3d sentences) Obsolete. 3.20-1 23.3 3.20-2 (1st sentence) 23.3 3.20-2 (less 1st sentence) Not a rule. 3.61 23.21 3.62-3.65 Transferred to part 21 [New]. 3.71 23.23 3.71-1 23.21 3.72 23.31 3.72-1 Not a rule. 3.73 (1st sentence) 23.29 3.73 (less 1st sentence) 23.1591 3.79-1 Transferred to Part 21[New]. 3.72-2 Not a rule. 3.73-3(a) Not a rule. 3.73-3(b) 23.29 3.73-3 (less (a) and (b)) 23.1589 3.74 23.25 3.75 23.25 3.76 23.1589 3.76-1 Not a rule. 3.80 Surplusage. 3.81 23.45 3.82 23.49 3.82-1 23.49 3.83 23.49 3.84 (less (c)) 23.51 3.84(c) 23.1587 3.84-1 Not a rule. 3.84-2 23.51 3.84-3 Not a rule. 3.84a 23.51 3.85(a) 23.65 3.85(b) 23.67 3.85 (less (a) and (b)) 23.77 3.85-1 Not a rule. 3.85-2 Obsolete. 3.85-3 23.67 3.85-4(last sentence) 23.473 3.85-4(less last sentence) Surplusage. 3.85-5(b) (less (1) and (2)) 23.65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§D23.1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§D23.1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42ce0813-02dc-4d68-9bbf-8a10d31a0e08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b9266c45-1e63-47dc-9641-e4158e788349</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