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B　操纵面载荷</w:t>
      </w:r>
    </w:p>
    <w:p>
      <w:pPr>
        <w:spacing w:before="0" w:after="320" w:line="324" w:lineRule="auto"/>
        <w:jc w:val="center"/>
      </w:pPr>
      <w:r>
        <w:rPr>
          <w:rFonts w:ascii="Calibri" w:hAnsi="Calibri" w:eastAsia="微软雅黑"/>
          <w:b w:val="0"/>
          <w:i w:val="0"/>
          <w:color w:val="595959"/>
          <w:sz w:val="22"/>
        </w:rPr>
        <w:t>Appendix B--Control Surface Loadings</w:t>
      </w:r>
    </w:p>
    <w:p>
      <w:pPr>
        <w:spacing w:before="0" w:after="360" w:line="324" w:lineRule="auto"/>
        <w:jc w:val="center"/>
      </w:pPr>
      <w:r>
        <w:rPr>
          <w:rFonts w:ascii="Calibri" w:hAnsi="Calibri" w:eastAsia="微软雅黑"/>
          <w:b w:val="0"/>
          <w:i w:val="0"/>
          <w:color w:val="595959"/>
          <w:sz w:val="22"/>
        </w:rPr>
        <w:t>快照：Part 23 @ Amdt 23-63 as of 08/29/2017 and earlier　｜　共 2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B23.1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Reserved.</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B23.11</w:t>
            </w:r>
          </w:p>
        </w:tc>
        <w:tc>
          <w:tcPr>
            <w:tcW w:type="dxa" w:w="3175"/>
            <w:shd w:val="clear" w:color="auto" w:fill="F7F9FC"/>
          </w:tcPr>
          <w:p>
            <w:pPr>
              <w:spacing w:before="40" w:after="40" w:line="324" w:lineRule="auto"/>
            </w:pPr>
            <w:r/>
            <w:r>
              <w:rPr>
                <w:rFonts w:ascii="Calibri" w:hAnsi="Calibri" w:eastAsia="微软雅黑"/>
                <w:b w:val="0"/>
                <w:i w:val="0"/>
                <w:color w:val="1A1A1A"/>
                <w:sz w:val="17"/>
              </w:rPr>
              <w:t>预留</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B23.1　总则（Reserved.）</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Reserved.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1991 23-42　条文未改动（本版为交叉引用或其他条款修订所致</w:t>
      </w:r>
    </w:p>
    <w:p>
      <w:pPr>
        <w:pStyle w:val="Heading2"/>
        <w:keepNext/>
        <w:spacing w:before="240" w:after="120"/>
      </w:pPr>
      <w:r>
        <w:rPr>
          <w:rFonts w:ascii="Calibri" w:hAnsi="Calibri" w:eastAsia="微软雅黑"/>
          <w:b/>
          <w:i w:val="0"/>
          <w:color w:val="2E74B5"/>
          <w:sz w:val="27"/>
        </w:rPr>
        <w:t>2　§B23.1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50。附录 B：飞行员操纵力对最大操纵面偏转的限制（§B23.1 条）。附录 B，§B23.1 条，将通过把 §B23.1 (b) 条重新指定为 §B23.1 (c) 条，并增加以下新的 §B23.1 (b) 条来进行修订：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50. Appendix B: Limitation of maximum control surface defections by pilot effort (section B23.1). Appendix B, section B23.1, would be amended by redesignating section B23.1 (b) as section B23.1 (c) and by adding the following new section B23.1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pStyle w:val="Heading3"/>
        <w:keepNext/>
        <w:spacing w:before="200" w:after="100"/>
      </w:pPr>
      <w:r>
        <w:rPr>
          <w:rFonts w:ascii="Calibri" w:hAnsi="Calibri" w:eastAsia="微软雅黑"/>
          <w:b/>
          <w:i w:val="0"/>
          <w:color w:val="404040"/>
          <w:sz w:val="24"/>
        </w:rPr>
        <w:t>2.3　Amdt 23-42（1991-02-04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§B23.1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allowed by the specific requirements in this part, the values of control surface loading in this appendix may be used to determine the detailed rational requirements of Secs. 23.397 through 23.459 unless the Administrator finds that these values result in unrealistic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 seaplane version of a landplane, the landplane wing loadings may be used to determine the limit maneuvering control surface loadings (in accordance with B23.11 and figure 1 of Appendix B)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power of the seaplane engines does not exceed the power of the landplane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placard maneuver speed of the seaplane does not exceed the placard maneuver speed of the landplane;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maximum weight of the seaplane does not exceed the maximum weight of the landplane by more than 10 percent;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landplane service experience does not show any serious control-surface load problem;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landplane service experience is of sufficient scope to ascertain with reasonable accuracy that no serious control-surface load problem will develop on the seaplane. Sec. B23.11 Control surface loads. Acceptable values of limit average maneuvering control-surface loadings may be obtained from figure 1 of this Appendix in accordance with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tion B23.1). Appendix B, section B23.1, would be amended by redesignating section B23.1 (b) as section B23.1 (c) and by adding the following new section B23.1 (b): Explanation. It is the intent of section B23.1 to allow…</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de8b980f-9cc1-4fb5-88da-fe00ad70d022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b8b86166-6cbf-4cbf-bf76-82ee92f2770e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4db55430-972e-428b-8be3-2543caa81667</w:t>
            </w:r>
          </w:p>
        </w:tc>
      </w:tr>
    </w:tbl>
    <w:p>
      <w:pPr>
        <w:pStyle w:val="Heading1"/>
        <w:keepNext/>
        <w:spacing w:before="320" w:after="160"/>
      </w:pPr>
      <w:r>
        <w:rPr>
          <w:rFonts w:ascii="Calibri" w:hAnsi="Calibri" w:eastAsia="微软雅黑"/>
          <w:b/>
          <w:i w:val="0"/>
          <w:color w:val="1F4E79"/>
          <w:sz w:val="32"/>
        </w:rPr>
        <w:t>§ B23.11　预留（Control surface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§B23.11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B23.11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预留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B　操纵面载荷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§B23.11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1991 23-42　条文未改动（本版为交叉引用或其他条款修订所致</w:t>
      </w:r>
    </w:p>
    <w:p>
      <w:pPr>
        <w:pStyle w:val="Heading2"/>
        <w:keepNext/>
        <w:spacing w:before="240" w:after="120"/>
      </w:pPr>
      <w:r>
        <w:rPr>
          <w:rFonts w:ascii="Calibri" w:hAnsi="Calibri" w:eastAsia="微软雅黑"/>
          <w:b/>
          <w:i w:val="0"/>
          <w:color w:val="2E74B5"/>
          <w:sz w:val="27"/>
        </w:rPr>
        <w:t>2　§B23.11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解释。§B23.1 条的意图是，当使用 §B23.11 条的平均载荷和分布时，允许通过飞行员操纵力来限制最大操纵面偏转。</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It is the intent of section B23.1 to allow limitation of maximum control surface deflections by pilot effort when the average loadings and distributions of section B23.11 are used</w:t>
      </w:r>
    </w:p>
    <w:p>
      <w:pPr>
        <w:pStyle w:val="Heading3"/>
        <w:keepNext/>
        <w:spacing w:before="200" w:after="100"/>
      </w:pPr>
      <w:r>
        <w:rPr>
          <w:rFonts w:ascii="Calibri" w:hAnsi="Calibri" w:eastAsia="微软雅黑"/>
          <w:b/>
          <w:i w:val="0"/>
          <w:color w:val="404040"/>
          <w:sz w:val="24"/>
        </w:rPr>
        <w:t>2.3　Amdt 23-42（1991-02-04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§B23.11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23.423(a), obtain as a function of W/S and surface deflection, using--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Curve C of figure 1 for a deflection of 10° or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Curve B of figure 1 for a deflection of 20°;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Curve A for a deflection of 30° or more;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Interpolation for all other deflections;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distribution of figure 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23.423(b), obtain from curve B of figure (1) using the distribution of figure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vertical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conditions in Sec. 23.441(a)(1), obtain as a function of W/S and surface deflection using the same requirements as used in subdivisions (a)(1)(i) through (a)(1)(v);</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the conditions in Sec. 23.441 (a)(2), obtain from Curve C, using the distribution of figure 6;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With the conditions in Sec. 23.441 (a)(3), obtain from Curve A, using the distribution of figure 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ailerons, obtain from Curve B, acting in both the up and down directions, using the distribution of figure 9. Figure 1 - Limit Average Maneuvering Control Surface Loading Insert Table INsert table Insert table Sec. C23.1 Basic landing conditions. Tail wheel type Nose wheel type Condition Level landing Tail-down landing Level landing with inclined reactions Level landing with nose wheel just clear of ground Tail-down landing Reference section 23.479(a)(1) 23.481(a)(1) 23.479(a)(2)(i) 23.479(a)(2)(ii) 23.481(a)(2) and (b) Vertical component at c.g. nW nW nW nW nW Fore and aft component at c.g. KnW 0 KnW KnW 0 Lateral component in either direction at c.g. 0 0 0 0 0 Shock absorber extension (hydraulic shock absorber) Note (2) Note (2) Note (2) Note (2) Note (2) Shock absorber deflection (rubber or spring shock absorber) 100% 100% 100% 100% 100% Tire deflection Static Static Static Static Static Main wheel loads (both wheels)- (n-L)W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§B23.11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§B23.11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c821bed6-e151-4e09-9511-52588aa26c96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b8642f82-c755-4605-b58d-77df0e3da350</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a5d5dfd6-2ffe-42b3-9121-30647613cd1c</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