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 w:line="324" w:lineRule="auto"/>
        <w:jc w:val="center"/>
      </w:pPr>
      <w:r>
        <w:rPr>
          <w:rFonts w:ascii="Calibri" w:hAnsi="Calibri" w:eastAsia="微软雅黑"/>
          <w:b/>
          <w:i w:val="0"/>
          <w:color w:val="1F4E79"/>
          <w:sz w:val="44"/>
        </w:rPr>
        <w:t>14 CFR Part 23 条款修订历史与背景分析报告</w:t>
      </w:r>
    </w:p>
    <w:p>
      <w:pPr>
        <w:spacing w:before="0" w:after="120" w:line="324" w:lineRule="auto"/>
        <w:jc w:val="center"/>
      </w:pPr>
      <w:r>
        <w:rPr>
          <w:rFonts w:ascii="Calibri" w:hAnsi="Calibri" w:eastAsia="微软雅黑"/>
          <w:b/>
          <w:i w:val="0"/>
          <w:color w:val="2E74B5"/>
          <w:sz w:val="34"/>
        </w:rPr>
        <w:t>附录 G　持续适航文件</w:t>
      </w:r>
    </w:p>
    <w:p>
      <w:pPr>
        <w:spacing w:before="0" w:after="320" w:line="324" w:lineRule="auto"/>
        <w:jc w:val="center"/>
      </w:pPr>
      <w:r>
        <w:rPr>
          <w:rFonts w:ascii="Calibri" w:hAnsi="Calibri" w:eastAsia="微软雅黑"/>
          <w:b w:val="0"/>
          <w:i w:val="0"/>
          <w:color w:val="595959"/>
          <w:sz w:val="22"/>
        </w:rPr>
        <w:t>Appendix G--Instructions for Continued Airworthiness</w:t>
      </w:r>
    </w:p>
    <w:p>
      <w:pPr>
        <w:spacing w:before="0" w:after="360" w:line="324" w:lineRule="auto"/>
        <w:jc w:val="center"/>
      </w:pPr>
      <w:r>
        <w:rPr>
          <w:rFonts w:ascii="Calibri" w:hAnsi="Calibri" w:eastAsia="微软雅黑"/>
          <w:b w:val="0"/>
          <w:i w:val="0"/>
          <w:color w:val="595959"/>
          <w:sz w:val="22"/>
        </w:rPr>
        <w:t>快照：Part 23 @ Amdt 23-63 as of 08/29/2017 and earlier　｜　共 4 个条款 / 6 个历史版本</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FFF2CC"/>
          </w:tcPr>
          <w:p>
            <w:pPr>
              <w:spacing w:before="40" w:after="60" w:line="324" w:lineRule="auto"/>
            </w:pPr>
            <w:r/>
            <w:r>
              <w:rPr>
                <w:rFonts w:ascii="Calibri" w:hAnsi="Calibri" w:eastAsia="微软雅黑"/>
                <w:b/>
                <w:i w:val="0"/>
                <w:color w:val="1F4E79"/>
                <w:sz w:val="21"/>
              </w:rPr>
              <w:t>文档说明与编制依据</w:t>
            </w:r>
          </w:p>
          <w:p>
            <w:pPr>
              <w:spacing w:before="20" w:after="20" w:line="324" w:lineRule="auto"/>
            </w:pPr>
            <w:r>
              <w:rPr>
                <w:rFonts w:ascii="Calibri" w:hAnsi="Calibri" w:eastAsia="微软雅黑"/>
                <w:b w:val="0"/>
                <w:i w:val="0"/>
                <w:color w:val="1A1A1A"/>
                <w:sz w:val="19"/>
              </w:rPr>
              <w:t xml:space="preserve">• 修订日期、修订案号、NPRM 与 Final Rule 编号：取自 </w:t>
            </w:r>
            <w:r>
              <w:rPr>
                <w:rFonts w:ascii="Calibri" w:hAnsi="Calibri" w:eastAsia="微软雅黑"/>
                <w:b/>
                <w:i w:val="0"/>
                <w:color w:val="1A1A1A"/>
                <w:sz w:val="19"/>
              </w:rPr>
              <w:t>FAA 动态法规系统（DRS）</w:t>
            </w:r>
            <w:r>
              <w:rPr>
                <w:rFonts w:ascii="Calibri" w:hAnsi="Calibri" w:eastAsia="微软雅黑"/>
                <w:b w:val="0"/>
                <w:i w:val="0"/>
                <w:color w:val="1A1A1A"/>
                <w:sz w:val="19"/>
              </w:rPr>
              <w:t>「Part 23 @ Amdt 23-63 as of 08/29/2017 and earlier」条款修订版索引。</w:t>
            </w:r>
          </w:p>
          <w:p>
            <w:pPr>
              <w:spacing w:before="20" w:after="20" w:line="324" w:lineRule="auto"/>
            </w:pPr>
            <w:r>
              <w:rPr>
                <w:rFonts w:ascii="Calibri" w:hAnsi="Calibri" w:eastAsia="微软雅黑"/>
                <w:b w:val="0"/>
                <w:i w:val="0"/>
                <w:color w:val="1A1A1A"/>
                <w:sz w:val="19"/>
              </w:rPr>
              <w:t xml:space="preserve">　• 修订指令与讨论/评论处置段落：逐条引自本地已下载的 NPRM 与 Final Rule 官方文本，已译为中文；条文英文原文另附以供核对。</w:t>
            </w:r>
          </w:p>
          <w:p>
            <w:pPr>
              <w:spacing w:before="20" w:after="20" w:line="324" w:lineRule="auto"/>
            </w:pPr>
            <w:r>
              <w:rPr>
                <w:rFonts w:ascii="Calibri" w:hAnsi="Calibri" w:eastAsia="微软雅黑"/>
                <w:b w:val="0"/>
                <w:i w:val="0"/>
                <w:color w:val="1A1A1A"/>
                <w:sz w:val="19"/>
              </w:rPr>
              <w:t xml:space="preserve">　• 更正通告与 CFR 编纂校正：由官方 CFR 2016 版溯源注、federalregister.gov API 与govinfo 整期影印件三源交叉验证，详见 FAR23_更正通告权威台账.csv。</w:t>
            </w:r>
          </w:p>
          <w:p>
            <w:pPr>
              <w:spacing w:before="20" w:after="20" w:line="324" w:lineRule="auto"/>
            </w:pPr>
            <w:r>
              <w:rPr>
                <w:rFonts w:ascii="Calibri" w:hAnsi="Calibri" w:eastAsia="微软雅黑"/>
                <w:b w:val="0"/>
                <w:i w:val="0"/>
                <w:color w:val="1A1A1A"/>
                <w:sz w:val="19"/>
              </w:rPr>
              <w:t xml:space="preserve">　• 每个条款统一按「五节 + 一附录」编排：1 修订历史汇总 / 2 各阶段修订背景与原因深度剖析 / 3 条款原文演变对比 / 4 总结 / 5 参考文献 / 附录 DRS 条款版本记录 ID。</w:t>
            </w:r>
          </w:p>
          <w:p>
            <w:pPr>
              <w:spacing w:before="20" w:after="20" w:line="324" w:lineRule="auto"/>
            </w:pPr>
            <w:r>
              <w:rPr>
                <w:rFonts w:ascii="Calibri" w:hAnsi="Calibri" w:eastAsia="微软雅黑"/>
                <w:b w:val="0"/>
                <w:i w:val="0"/>
                <w:color w:val="1A1A1A"/>
                <w:sz w:val="19"/>
              </w:rPr>
              <w:t xml:space="preserve">　• 标题已写入 Word 大纲级别（1 级＝条款，2 级＝五节与附录，3 级＝小节，4 级＝子题），可在导航窗格或大纲视图中按级跳转。</w:t>
            </w:r>
          </w:p>
        </w:tc>
      </w:tr>
    </w:tbl>
    <w:p/>
    <w:p>
      <w:pPr>
        <w:pStyle w:val="Heading1"/>
        <w:keepNext/>
        <w:spacing w:before="320" w:after="160"/>
      </w:pPr>
      <w:r>
        <w:rPr>
          <w:rFonts w:ascii="Calibri" w:hAnsi="Calibri" w:eastAsia="微软雅黑"/>
          <w:b/>
          <w:i w:val="0"/>
          <w:color w:val="1F4E79"/>
          <w:sz w:val="32"/>
        </w:rPr>
        <w:t>本卷大纲</w:t>
      </w:r>
    </w:p>
    <w:p>
      <w:pPr>
        <w:spacing w:before="60" w:after="60" w:line="324" w:lineRule="auto"/>
      </w:pPr>
      <w:r>
        <w:rPr>
          <w:rFonts w:ascii="Calibri" w:hAnsi="Calibri" w:eastAsia="微软雅黑"/>
          <w:b w:val="0"/>
          <w:i w:val="0"/>
          <w:color w:val="1A1A1A"/>
          <w:sz w:val="20"/>
        </w:rPr>
        <w:t>下按条款列出本卷结构。每一条款下统一设 1–5 节与附录；二级及以下标题可在 Word 导航窗格中展开。</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1020"/>
            <w:shd w:val="clear" w:color="auto" w:fill="1F4E79"/>
          </w:tcPr>
          <w:p>
            <w:pPr>
              <w:spacing w:before="40" w:after="40" w:line="324" w:lineRule="auto"/>
              <w:jc w:val="center"/>
            </w:pPr>
            <w:r/>
            <w:r>
              <w:rPr>
                <w:rFonts w:ascii="Calibri" w:hAnsi="Calibri" w:eastAsia="微软雅黑"/>
                <w:b/>
                <w:i w:val="0"/>
                <w:color w:val="FFFFFF"/>
                <w:sz w:val="17"/>
              </w:rPr>
              <w:t>条款</w:t>
            </w:r>
          </w:p>
        </w:tc>
        <w:tc>
          <w:tcPr>
            <w:tcW w:type="dxa" w:w="3175"/>
            <w:shd w:val="clear" w:color="auto" w:fill="1F4E79"/>
          </w:tcPr>
          <w:p>
            <w:pPr>
              <w:spacing w:before="40" w:after="40" w:line="324" w:lineRule="auto"/>
              <w:jc w:val="center"/>
            </w:pPr>
            <w:r/>
            <w:r>
              <w:rPr>
                <w:rFonts w:ascii="Calibri" w:hAnsi="Calibri" w:eastAsia="微软雅黑"/>
                <w:b/>
                <w:i w:val="0"/>
                <w:color w:val="FFFFFF"/>
                <w:sz w:val="17"/>
              </w:rPr>
              <w:t>中文名称</w:t>
            </w:r>
          </w:p>
        </w:tc>
        <w:tc>
          <w:tcPr>
            <w:tcW w:type="dxa" w:w="3628"/>
            <w:shd w:val="clear" w:color="auto" w:fill="1F4E79"/>
          </w:tcPr>
          <w:p>
            <w:pPr>
              <w:spacing w:before="40" w:after="40" w:line="324" w:lineRule="auto"/>
              <w:jc w:val="center"/>
            </w:pPr>
            <w:r/>
            <w:r>
              <w:rPr>
                <w:rFonts w:ascii="Calibri" w:hAnsi="Calibri" w:eastAsia="微软雅黑"/>
                <w:b/>
                <w:i w:val="0"/>
                <w:color w:val="FFFFFF"/>
                <w:sz w:val="17"/>
              </w:rPr>
              <w:t>英文标题（原文）</w:t>
            </w:r>
          </w:p>
        </w:tc>
        <w:tc>
          <w:tcPr>
            <w:tcW w:type="dxa" w:w="794"/>
            <w:shd w:val="clear" w:color="auto" w:fill="1F4E79"/>
          </w:tcPr>
          <w:p>
            <w:pPr>
              <w:spacing w:before="40" w:after="40" w:line="324" w:lineRule="auto"/>
              <w:jc w:val="center"/>
            </w:pPr>
            <w:r/>
            <w:r>
              <w:rPr>
                <w:rFonts w:ascii="Calibri" w:hAnsi="Calibri" w:eastAsia="微软雅黑"/>
                <w:b/>
                <w:i w:val="0"/>
                <w:color w:val="FFFFFF"/>
                <w:sz w:val="17"/>
              </w:rPr>
              <w:t>版本数</w:t>
            </w:r>
          </w:p>
        </w:tc>
        <w:tc>
          <w:tcPr>
            <w:tcW w:type="dxa" w:w="1361"/>
            <w:shd w:val="clear" w:color="auto" w:fill="1F4E79"/>
          </w:tcPr>
          <w:p>
            <w:pPr>
              <w:spacing w:before="40" w:after="40" w:line="324" w:lineRule="auto"/>
              <w:jc w:val="center"/>
            </w:pPr>
            <w:r/>
            <w:r>
              <w:rPr>
                <w:rFonts w:ascii="Calibri" w:hAnsi="Calibri" w:eastAsia="微软雅黑"/>
                <w:b/>
                <w:i w:val="0"/>
                <w:color w:val="FFFFFF"/>
                <w:sz w:val="17"/>
              </w:rPr>
              <w:t>更正件</w:t>
            </w:r>
          </w:p>
        </w:tc>
      </w:tr>
      <w:tr>
        <w:tc>
          <w:tcPr>
            <w:tcW w:type="dxa" w:w="1020"/>
          </w:tcPr>
          <w:p>
            <w:pPr>
              <w:spacing w:before="40" w:after="40" w:line="324" w:lineRule="auto"/>
              <w:jc w:val="center"/>
            </w:pPr>
            <w:r/>
            <w:r>
              <w:rPr>
                <w:rFonts w:ascii="Calibri" w:hAnsi="Calibri" w:eastAsia="微软雅黑"/>
                <w:b w:val="0"/>
                <w:i w:val="0"/>
                <w:color w:val="1A1A1A"/>
                <w:sz w:val="17"/>
              </w:rPr>
              <w:t>§ G23.1</w:t>
            </w:r>
          </w:p>
        </w:tc>
        <w:tc>
          <w:tcPr>
            <w:tcW w:type="dxa" w:w="3175"/>
          </w:tcPr>
          <w:p>
            <w:pPr>
              <w:spacing w:before="40" w:after="40" w:line="324" w:lineRule="auto"/>
            </w:pPr>
            <w:r/>
            <w:r>
              <w:rPr>
                <w:rFonts w:ascii="Calibri" w:hAnsi="Calibri" w:eastAsia="微软雅黑"/>
                <w:b w:val="0"/>
                <w:i w:val="0"/>
                <w:color w:val="1A1A1A"/>
                <w:sz w:val="17"/>
              </w:rPr>
              <w:t>总则</w:t>
            </w:r>
          </w:p>
        </w:tc>
        <w:tc>
          <w:tcPr>
            <w:tcW w:type="dxa" w:w="3628"/>
          </w:tcPr>
          <w:p>
            <w:pPr>
              <w:spacing w:before="40" w:after="40" w:line="324" w:lineRule="auto"/>
            </w:pPr>
            <w:r/>
            <w:r>
              <w:rPr>
                <w:rFonts w:ascii="Calibri" w:hAnsi="Calibri" w:eastAsia="微软雅黑"/>
                <w:b w:val="0"/>
                <w:i w:val="0"/>
                <w:color w:val="1A1A1A"/>
                <w:sz w:val="17"/>
              </w:rPr>
              <w:t>General.</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G23.2</w:t>
            </w:r>
          </w:p>
        </w:tc>
        <w:tc>
          <w:tcPr>
            <w:tcW w:type="dxa" w:w="3175"/>
            <w:shd w:val="clear" w:color="auto" w:fill="F7F9FC"/>
          </w:tcPr>
          <w:p>
            <w:pPr>
              <w:spacing w:before="40" w:after="40" w:line="324" w:lineRule="auto"/>
            </w:pPr>
            <w:r/>
            <w:r>
              <w:rPr>
                <w:rFonts w:ascii="Calibri" w:hAnsi="Calibri" w:eastAsia="微软雅黑"/>
                <w:b w:val="0"/>
                <w:i w:val="0"/>
                <w:color w:val="1A1A1A"/>
                <w:sz w:val="17"/>
              </w:rPr>
              <w:t>格式</w:t>
            </w:r>
          </w:p>
        </w:tc>
        <w:tc>
          <w:tcPr>
            <w:tcW w:type="dxa" w:w="3628"/>
            <w:shd w:val="clear" w:color="auto" w:fill="F7F9FC"/>
          </w:tcPr>
          <w:p>
            <w:pPr>
              <w:spacing w:before="40" w:after="40" w:line="324" w:lineRule="auto"/>
            </w:pPr>
            <w:r/>
            <w:r>
              <w:rPr>
                <w:rFonts w:ascii="Calibri" w:hAnsi="Calibri" w:eastAsia="微软雅黑"/>
                <w:b w:val="0"/>
                <w:i w:val="0"/>
                <w:color w:val="1A1A1A"/>
                <w:sz w:val="17"/>
              </w:rPr>
              <w:t>Format.</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G23.3</w:t>
            </w:r>
          </w:p>
        </w:tc>
        <w:tc>
          <w:tcPr>
            <w:tcW w:type="dxa" w:w="3175"/>
          </w:tcPr>
          <w:p>
            <w:pPr>
              <w:spacing w:before="40" w:after="40" w:line="324" w:lineRule="auto"/>
            </w:pPr>
            <w:r/>
            <w:r>
              <w:rPr>
                <w:rFonts w:ascii="Calibri" w:hAnsi="Calibri" w:eastAsia="微软雅黑"/>
                <w:b w:val="0"/>
                <w:i w:val="0"/>
                <w:color w:val="1A1A1A"/>
                <w:sz w:val="17"/>
              </w:rPr>
              <w:t>内容</w:t>
            </w:r>
          </w:p>
        </w:tc>
        <w:tc>
          <w:tcPr>
            <w:tcW w:type="dxa" w:w="3628"/>
          </w:tcPr>
          <w:p>
            <w:pPr>
              <w:spacing w:before="40" w:after="40" w:line="324" w:lineRule="auto"/>
            </w:pPr>
            <w:r/>
            <w:r>
              <w:rPr>
                <w:rFonts w:ascii="Calibri" w:hAnsi="Calibri" w:eastAsia="微软雅黑"/>
                <w:b w:val="0"/>
                <w:i w:val="0"/>
                <w:color w:val="1A1A1A"/>
                <w:sz w:val="17"/>
              </w:rPr>
              <w:t>Content.</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G23.4</w:t>
            </w:r>
          </w:p>
        </w:tc>
        <w:tc>
          <w:tcPr>
            <w:tcW w:type="dxa" w:w="3175"/>
            <w:shd w:val="clear" w:color="auto" w:fill="F7F9FC"/>
          </w:tcPr>
          <w:p>
            <w:pPr>
              <w:spacing w:before="40" w:after="40" w:line="324" w:lineRule="auto"/>
            </w:pPr>
            <w:r/>
            <w:r>
              <w:rPr>
                <w:rFonts w:ascii="Calibri" w:hAnsi="Calibri" w:eastAsia="微软雅黑"/>
                <w:b w:val="0"/>
                <w:i w:val="0"/>
                <w:color w:val="1A1A1A"/>
                <w:sz w:val="17"/>
              </w:rPr>
              <w:t>适航限制章节</w:t>
            </w:r>
          </w:p>
        </w:tc>
        <w:tc>
          <w:tcPr>
            <w:tcW w:type="dxa" w:w="3628"/>
            <w:shd w:val="clear" w:color="auto" w:fill="F7F9FC"/>
          </w:tcPr>
          <w:p>
            <w:pPr>
              <w:spacing w:before="40" w:after="40" w:line="324" w:lineRule="auto"/>
            </w:pPr>
            <w:r/>
            <w:r>
              <w:rPr>
                <w:rFonts w:ascii="Calibri" w:hAnsi="Calibri" w:eastAsia="微软雅黑"/>
                <w:b w:val="0"/>
                <w:i w:val="0"/>
                <w:color w:val="1A1A1A"/>
                <w:sz w:val="17"/>
              </w:rPr>
              <w:t>Airworthiness limitations section.</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bl>
    <w:p>
      <w:r>
        <w:br w:type="page"/>
      </w:r>
    </w:p>
    <w:p>
      <w:pPr>
        <w:pStyle w:val="Heading1"/>
        <w:keepNext/>
        <w:spacing w:before="320" w:after="160"/>
      </w:pPr>
      <w:r>
        <w:rPr>
          <w:rFonts w:ascii="Calibri" w:hAnsi="Calibri" w:eastAsia="微软雅黑"/>
          <w:b/>
          <w:i w:val="0"/>
          <w:color w:val="1F4E79"/>
          <w:sz w:val="32"/>
        </w:rPr>
        <w:t>目录</w:t>
      </w:r>
    </w:p>
    <w:p>
      <w:r>
        <w:rPr>
          <w:rFonts w:ascii="Calibri" w:hAnsi="Calibri" w:eastAsia="微软雅黑"/>
          <w:b w:val="0"/>
          <w:i/>
          <w:color w:val="808080"/>
          <w:sz w:val="20"/>
        </w:rPr>
        <w:fldChar w:fldCharType="begin"/>
        <w:instrText xml:space="preserve">TOC \o "1-2" \h \z \u</w:instrText>
        <w:fldChar w:fldCharType="separate"/>
        <w:t>　※ 在 Word/WPS 中按 Ctrl+A 后 F9（或右键→更新域）生成目录</w:t>
        <w:fldChar w:fldCharType="end"/>
      </w:r>
    </w:p>
    <w:p>
      <w:r>
        <w:br w:type="page"/>
      </w:r>
    </w:p>
    <w:p>
      <w:pPr>
        <w:pStyle w:val="Heading1"/>
        <w:keepNext/>
        <w:spacing w:before="320" w:after="160"/>
      </w:pPr>
      <w:r>
        <w:rPr>
          <w:rFonts w:ascii="Calibri" w:hAnsi="Calibri" w:eastAsia="微软雅黑"/>
          <w:b/>
          <w:i w:val="0"/>
          <w:color w:val="1F4E79"/>
          <w:sz w:val="32"/>
        </w:rPr>
        <w:t>§ G23.1　总则（General.）</w:t>
      </w:r>
    </w:p>
    <w:p>
      <w:pPr>
        <w:spacing w:before="60" w:after="60" w:line="324" w:lineRule="auto"/>
      </w:pPr>
      <w:r>
        <w:rPr>
          <w:rFonts w:ascii="Calibri" w:hAnsi="Calibri" w:eastAsia="微软雅黑"/>
          <w:b w:val="0"/>
          <w:i w:val="0"/>
          <w:color w:val="595959"/>
          <w:sz w:val="21"/>
        </w:rPr>
        <w:t>1980-10-14 初版　｜　1980-10-14 Amdt 23-26　｜　共 1 个历史版本</w:t>
      </w:r>
    </w:p>
    <w:p>
      <w:pPr>
        <w:pStyle w:val="Heading2"/>
        <w:keepNext/>
        <w:spacing w:before="240" w:after="120"/>
      </w:pPr>
      <w:r>
        <w:rPr>
          <w:rFonts w:ascii="Calibri" w:hAnsi="Calibri" w:eastAsia="微软雅黑"/>
          <w:b/>
          <w:i w:val="0"/>
          <w:color w:val="2E74B5"/>
          <w:sz w:val="27"/>
        </w:rPr>
        <w:t>1　§G23.1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G23.1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General.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总则</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G　持续适航文件</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1980-10-14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1980-10-14 → 1980-10-14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14779, 14324，1980-08-27 签发，45 FR 60154</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§G23.1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23-26</w:t>
            </w:r>
          </w:p>
        </w:tc>
        <w:tc>
          <w:tcPr>
            <w:tcW w:type="dxa" w:w="1134"/>
          </w:tcPr>
          <w:p>
            <w:pPr>
              <w:spacing w:before="40" w:after="40" w:line="324" w:lineRule="auto"/>
              <w:jc w:val="center"/>
            </w:pPr>
            <w:r/>
            <w:r>
              <w:rPr>
                <w:rFonts w:ascii="Calibri" w:hAnsi="Calibri" w:eastAsia="微软雅黑"/>
                <w:b w:val="0"/>
                <w:i w:val="0"/>
                <w:color w:val="1A1A1A"/>
                <w:sz w:val="17"/>
              </w:rPr>
              <w:t>1980-10-14</w:t>
            </w:r>
          </w:p>
        </w:tc>
        <w:tc>
          <w:tcPr>
            <w:tcW w:type="dxa" w:w="1984"/>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75-26，1975-06-09 签发，39 FR 5785</w:t>
              <w:br/>
              <w:t>Notice 75-31，1975-06-30 签发，39 FR 5785</w:t>
            </w:r>
          </w:p>
        </w:tc>
        <w:tc>
          <w:tcPr>
            <w:tcW w:type="dxa" w:w="1984"/>
          </w:tcPr>
          <w:p>
            <w:pPr>
              <w:spacing w:before="40" w:after="40" w:line="324" w:lineRule="auto"/>
            </w:pPr>
            <w:r/>
            <w:r>
              <w:rPr>
                <w:rFonts w:ascii="Calibri" w:hAnsi="Calibri" w:eastAsia="微软雅黑"/>
                <w:b w:val="0"/>
                <w:i w:val="0"/>
                <w:color w:val="1A1A1A"/>
                <w:sz w:val="17"/>
              </w:rPr>
              <w:t>Docket 14779, 14324，1980-08-27 签发，45 FR 60154</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1980 初版　初始颁行，确立本条条文</w:t>
      </w:r>
    </w:p>
    <w:p>
      <w:pPr>
        <w:pStyle w:val="Heading2"/>
        <w:keepNext/>
        <w:spacing w:before="240" w:after="120"/>
      </w:pPr>
      <w:r>
        <w:rPr>
          <w:rFonts w:ascii="Calibri" w:hAnsi="Calibri" w:eastAsia="微软雅黑"/>
          <w:b/>
          <w:i w:val="0"/>
          <w:color w:val="2E74B5"/>
          <w:sz w:val="27"/>
        </w:rPr>
        <w:t>2　§G23.1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初始颁行（1980-10-14，Amdt 23-26）：总则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75-26，1975-06-09 签发，39 FR 5785；Notice 75-31，1975-06-30 签发，39 FR 5785　提出；最终规章 Docket 14779, 14324，1980-08-27 签发，45 FR 60154，1980-10-14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7-55。一名评论者建议将具有不同梯度距离的离散阵风作为补充添加到第 25 部附录 G 中。美国联邦航空局（FAA）不同意，因为以往使用具有不同阵风梯度距离的离散阵风的经验表明，设计者目前无法获知阵风强度如何随阵风梯度距离而变化。在连续湍流动力响应领域开展的研究和开发表明，第 25 部附录 G 的连续湍流标准是目前最合理的方案，能够为具有不同特性和任务的飞机提供一致的强度水平。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7-55. A commenter recommends that discrete gusts with varying gradient distances be added as a supplement to Appendix G to Part 25. The FAA disagrees because past experience with the use of discrete gusts with varying gust gradient distances has indicated that knowledge with regard to how gust intensity varies with gust gradient distance is not currently available to the designer. The research and development accomplished in the area of dynamic response to continuous turbulence has indicated that the continuous turbulence criteria of Appendix G to Part 25 is the most rational approach currently available which give consistent strength levels for airplanes of different characteristics and missions.</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一名评论者建议修订附录 G 的 (a) 段，以删除基于阵风的垂直和水平分量考虑组合应力的要求。该评论者表示，目前将仅涉及纯垂直或水平阵风分量的阵风计算所产生的均方根应力（剪切力、弯矩和扭矩）进行组合的实践，是一种现实且实用的应力组合方法。该评论者主张，在当前的技术水平下，能够现实地组合涉及垂直和水平阵风分量的统计载荷量的方法尚未得到令人满意的开发。经过进一步审查，美国联邦航空局（FAA）表示同意。附录 G 的 (a) 段已修订，删除了考虑由垂直和水平阵风分量产生的组合应力的要求。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(a) of Appendix G be revised to delete the requirement for considering combined stresses based on both vertical and lateral components of turbulence. The commenter states that the current practice of combining root-mean-square stresses (shear, moment, and torsion) resulting from gust calculations involving only purely vertical or lateral components of turbulence is a realistic, practical method for combining stress. The commenter contends that the methods for realistically combining statistical load quantities involving both vertical and lateral components of turbulence have not been satisfactorily developed in the current state of the art. After further review the FAA agrees. Paragraph (a) of Appendix G is revised to delete the requirement for considering the combined stresses resulting from the vertical and lateral components of turbulence.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一名评论者建议将附录 G 的 §(b)(3)(i) 段修订为：要求在 0 至 20,000 ft. 高度区间内的阵风强度为 U= 75 fps 阵风速度，并线性降低至 80,000 ft. 高度时的 30 fps。对于特性与先前设计相似且已被证明能够满足所建议的较低阵风强度水平的新飞机，该建议将消除为了证明其载荷水平低于满足 85 fps 设计包线阵风强度系数的要求而进行任务分析的必要性。对于在响应特性和基本任务剖面方面与现有飞机相似的新飞机，如果它们是按照已被证明适用于现有设计的阵风强度进行设计的，那么在没有技术必要的情况下，无需为了确定其在遭遇连续湍流所产生载荷方面的充分性而进行广泛的任务分析计算。</w:t>
        <w:br/>
        <w:t>因此，只要新设计与具有广泛满意运行经验的类似设计具有可比性，在 0 到 20,000 ft. 高度使用 75 fps 的阵风强度值，并在 20,000 ft. 的 75 fps 到 80,000 ft. 的 30 fps 之间进行线性递减是可接受的。这些标准在美国联邦航空局（FAA）与工业界之间已讨论超过 10 年，现被提议作为新规章而非现有规章的可接受符合手段。§(b)(3)(i) 段据此修订。评论者还建议修订 §(d)(1) 段，要求在 0 到 20,000 ft. 内部高度的阵风强度为 U = 60 fps，并线性递减至 80,000 ft. 高度的 23 fps。美国联邦航空局（FAA）不赞同。§(d)(1) 段中的阵风强度基于阵风强度随高度分布的情况，该分布是在开发连续湍流标准的各项基础研究中制定的，因此，被认为作为任务分析的较低设计包络极限是合理的。</w:t>
        <w:br/>
        <w:t>评论者提供了一项成本分析以证明较低阵风强度的合理性，但美国联邦航空局（FAA）认为该成本分析仅基于“设计包线分析”。作为 §(b) 段替代方案的 §(c) 段规定了“任务分析”。实际经验表明，考虑飞机运行特性的“任务分析”在过去已被用于替代 85 fps 强度，以避免重量和成本损失。附录 G 的 §(c) 段和 §(d) 段在没有实质性变更的情况下被采纳。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(b)(3)(i) of Appendix G be revised to require a gust intensity of U= 75 fps gust velocity in the interval 0 to 20,000 ft. altitude with a linear decrease to 30 fps at 80,000 ft. altitude. This recommendation would obviate the need to do mission analysis to justify lower levels of loads than those required to meet the design envelope gust intensity factor of 85 fps for new airplanes whose characteristics are similar to previous designs which have been shown to be adequate for the lower level of gust intensity being proposed. There is no technical need for new aircraft which are similar to existing aircraft with regard to response characteristics and basic mission profiles to make extensive mission analysis computations in order to establish their adequacy with regard to loads resulting from encounters with continuous turbulence if they are designed for the gust intensity shown to be adequate for the existing design. Therefore, it is acceptable to use a gust intensity value of 75 fps from 0 to 20,000 ft. altitude, and a linear reduction from 75 fps at 20,000 ft. to 30 fps at 80,000 ft., provided the new design is comparable to a similar design with extensive satisfactory service experience. These criteria, which have been under discussion between FAA and industry for over 10 years, are proposed as new rules rather than acceptable means of complying with existing rules. Paragraph (b)(3)(i) is revised accordingly. The commenter also recommends that paragraph (d)(1) be revised to require a gust intensity of U = 60 fps on the internal 0 to 20,000 ft. altitude and be linearly decreased to 23 fps at 80,000 ft. altitude. The FAA disagrees. The gust intensities in paragraph (d)(1) are based on the distribution of gust intensity with altitude which were developed in the basic research for the development of continuous turbulence criteria and are, therefore, considered reasonable as a lower design envelope limit for mission analysis. A cost analysis was provided by the commenter to justify the lower gust intensities, but the FAA finds that this cost analysis was based on "design envelope analysis" alone. Paragraph (c), which is an alternative to paragraph (b), provides for a "mission analysis". Actual experience has shown that "mission analysis," which considers airplane operational characteristics, has been used in the past in lieu of the 85 fps intensities to prevent weight and cost penalties. Paragraphs (c) and (d) of Appendix G are adopted without substantive change.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一名评论者建议修订附录 G 的 (d) 段，删除对“破损安全载荷”的引用，因为附录 G 中未提供此类载荷。美国联邦航空局（FAA）同意。附录 G 的 (d) 段据此进行了修订。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(d) of Appendix G be revised to delete the reference to "fail-safe loads" since such loads are not provided in Appendix G. The FAA agrees. Paragraph (d) of Appendix G is revised accordingly.</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一名评论者建议删除附录 G 中拟议的 (e) 段，因为在当前的常规飞机上，在飞行员位置测得的加速度水平可以通过飞行演示建立，这比使用考虑连续湍流响应的高昂分析方法要容易得多且成本更低。经过进一步审查，美国联邦航空局（FAA）认定，其缺乏足够的信息来指定分析与飞行试验的正确组合，以确定连续湍流期间飞行员位置的加速度水平。因此，附录 G 中拟议的 (e) 段被撤回。当前与湍流运行相关的要求足以确定连续湍流期间飞行员位置的响应。</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proposed paragraph (e) of Appendix G be deleted since acceleration levels measured at the pilot station on current conventional aircraft can be established by flight demonstration much more easily and with less cost than by use of an expensive analysis considering response to continuous turbulence. Upon further review, the FAA has determined that it lacks sufficient information to specify the right combination of analysis and flight test to determine the acceleration levels at the pilot's station during continuous turbulence. Accordingly, proposed paragraph (e) of Appendix G is withdrawn. The current requirements related to operation in turbulence are adequate to determine the response at the pilot's station during continuous turbulence.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提案 8-62。关于在第 25 部中增加新附录 G 的提案相关评论，请参阅提案 8-25。第 25 部的附录 G（重新指定为附录 H）在采用了提案 8-25 中讨论的修订后予以通过。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8-62. For comments related to the proposal to add a new Appendix G to Part 25, see Proposal 8-25. Appendix G (redesignated Appendix H) to Part 25 is adopted with the changes discussed in Proposal 8-25.</w:t>
      </w:r>
    </w:p>
    <w:p>
      <w:pPr>
        <w:pStyle w:val="Heading2"/>
        <w:keepNext/>
        <w:spacing w:before="240" w:after="120"/>
      </w:pPr>
      <w:r>
        <w:rPr>
          <w:rFonts w:ascii="Calibri" w:hAnsi="Calibri" w:eastAsia="微软雅黑"/>
          <w:b/>
          <w:i w:val="0"/>
          <w:color w:val="2E74B5"/>
          <w:sz w:val="27"/>
        </w:rPr>
        <w:t>3　§G23.1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§G23.1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nt distance is not currently available to the designer. The research and development accomplished in the area of dynamic response to continuous turbulence has indicated that the continuous turbulence criteria of Appendix…</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23-26。</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14779</w:t>
            </w:r>
          </w:p>
        </w:tc>
        <w:tc>
          <w:tcPr>
            <w:tcW w:type="dxa" w:w="2381"/>
          </w:tcPr>
          <w:p>
            <w:pPr>
              <w:spacing w:before="40" w:after="40" w:line="324" w:lineRule="auto"/>
            </w:pPr>
            <w:r/>
            <w:r>
              <w:rPr>
                <w:rFonts w:ascii="Calibri" w:hAnsi="Calibri" w:eastAsia="微软雅黑"/>
                <w:b w:val="0"/>
                <w:i w:val="0"/>
                <w:color w:val="1A1A1A"/>
                <w:sz w:val="16"/>
              </w:rPr>
              <w:t>45 FR 60154</w:t>
            </w:r>
          </w:p>
        </w:tc>
        <w:tc>
          <w:tcPr>
            <w:tcW w:type="dxa" w:w="2948"/>
          </w:tcPr>
          <w:p>
            <w:pPr>
              <w:spacing w:before="40" w:after="40" w:line="324" w:lineRule="auto"/>
            </w:pPr>
            <w:r/>
            <w:r>
              <w:rPr>
                <w:rFonts w:ascii="Calibri" w:hAnsi="Calibri" w:eastAsia="微软雅黑"/>
                <w:b w:val="0"/>
                <w:i w:val="0"/>
                <w:color w:val="1A1A1A"/>
                <w:sz w:val="16"/>
              </w:rPr>
              <w:t>FinalRule_Docket 14779_Docket14779_ 14324_Amdt21-51_23-26_25-54_27_45FR60154_1980-09-11.txt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14779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7750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14779_ 14324_Amdt23-25_25-51_27-17_29_45FR7750_1980-02-04_0002.txt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§G23.1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23-26</w:t>
            </w:r>
          </w:p>
        </w:tc>
        <w:tc>
          <w:tcPr>
            <w:tcW w:type="dxa" w:w="1701"/>
          </w:tcPr>
          <w:p>
            <w:pPr>
              <w:spacing w:before="40" w:after="40" w:line="324" w:lineRule="auto"/>
            </w:pPr>
            <w:r/>
            <w:r>
              <w:rPr>
                <w:rFonts w:ascii="Calibri" w:hAnsi="Calibri" w:eastAsia="微软雅黑"/>
                <w:b w:val="0"/>
                <w:i w:val="0"/>
                <w:color w:val="1A1A1A"/>
                <w:sz w:val="17"/>
              </w:rPr>
              <w:t>1980-10-14</w:t>
            </w:r>
          </w:p>
        </w:tc>
        <w:tc>
          <w:tcPr>
            <w:tcW w:type="dxa" w:w="6350"/>
          </w:tcPr>
          <w:p>
            <w:pPr>
              <w:spacing w:before="40" w:after="40" w:line="324" w:lineRule="auto"/>
            </w:pPr>
            <w:r/>
            <w:r>
              <w:rPr>
                <w:rFonts w:ascii="Calibri" w:hAnsi="Calibri" w:eastAsia="微软雅黑"/>
                <w:b w:val="0"/>
                <w:i w:val="0"/>
                <w:color w:val="1A1A1A"/>
                <w:sz w:val="17"/>
              </w:rPr>
              <w:t>8e43eb3f-26ae-4351-a52a-c85e79b70313</w:t>
            </w:r>
          </w:p>
        </w:tc>
      </w:tr>
    </w:tbl>
    <w:p>
      <w:pPr>
        <w:pStyle w:val="Heading1"/>
        <w:keepNext/>
        <w:spacing w:before="320" w:after="160"/>
      </w:pPr>
      <w:r>
        <w:rPr>
          <w:rFonts w:ascii="Calibri" w:hAnsi="Calibri" w:eastAsia="微软雅黑"/>
          <w:b/>
          <w:i w:val="0"/>
          <w:color w:val="1F4E79"/>
          <w:sz w:val="32"/>
        </w:rPr>
        <w:t>§ G23.2　格式（Format.）</w:t>
      </w:r>
    </w:p>
    <w:p>
      <w:pPr>
        <w:spacing w:before="60" w:after="60" w:line="324" w:lineRule="auto"/>
      </w:pPr>
      <w:r>
        <w:rPr>
          <w:rFonts w:ascii="Calibri" w:hAnsi="Calibri" w:eastAsia="微软雅黑"/>
          <w:b w:val="0"/>
          <w:i w:val="0"/>
          <w:color w:val="595959"/>
          <w:sz w:val="21"/>
        </w:rPr>
        <w:t>1980-10-14 初版　｜　1980-10-14 Amdt 23-26　｜　共 1 个历史版本</w:t>
      </w:r>
    </w:p>
    <w:p>
      <w:pPr>
        <w:pStyle w:val="Heading2"/>
        <w:keepNext/>
        <w:spacing w:before="240" w:after="120"/>
      </w:pPr>
      <w:r>
        <w:rPr>
          <w:rFonts w:ascii="Calibri" w:hAnsi="Calibri" w:eastAsia="微软雅黑"/>
          <w:b/>
          <w:i w:val="0"/>
          <w:color w:val="2E74B5"/>
          <w:sz w:val="27"/>
        </w:rPr>
        <w:t>1　§G23.2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G23.2</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Format.</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格式</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G　持续适航文件</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1980-10-14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1980-10-14 → 1980-10-14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14779, 14324，1980-08-27 签发，45 FR 60154</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§G23.2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23-26</w:t>
            </w:r>
          </w:p>
        </w:tc>
        <w:tc>
          <w:tcPr>
            <w:tcW w:type="dxa" w:w="1134"/>
          </w:tcPr>
          <w:p>
            <w:pPr>
              <w:spacing w:before="40" w:after="40" w:line="324" w:lineRule="auto"/>
              <w:jc w:val="center"/>
            </w:pPr>
            <w:r/>
            <w:r>
              <w:rPr>
                <w:rFonts w:ascii="Calibri" w:hAnsi="Calibri" w:eastAsia="微软雅黑"/>
                <w:b w:val="0"/>
                <w:i w:val="0"/>
                <w:color w:val="1A1A1A"/>
                <w:sz w:val="17"/>
              </w:rPr>
              <w:t>1980-10-14</w:t>
            </w:r>
          </w:p>
        </w:tc>
        <w:tc>
          <w:tcPr>
            <w:tcW w:type="dxa" w:w="1984"/>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75-26，1975-06-09 签发，39 FR 5785</w:t>
              <w:br/>
              <w:t>Notice 75-31，1975-06-30 签发，39 FR 5785</w:t>
            </w:r>
          </w:p>
        </w:tc>
        <w:tc>
          <w:tcPr>
            <w:tcW w:type="dxa" w:w="1984"/>
          </w:tcPr>
          <w:p>
            <w:pPr>
              <w:spacing w:before="40" w:after="40" w:line="324" w:lineRule="auto"/>
            </w:pPr>
            <w:r/>
            <w:r>
              <w:rPr>
                <w:rFonts w:ascii="Calibri" w:hAnsi="Calibri" w:eastAsia="微软雅黑"/>
                <w:b w:val="0"/>
                <w:i w:val="0"/>
                <w:color w:val="1A1A1A"/>
                <w:sz w:val="17"/>
              </w:rPr>
              <w:t>Docket 14779, 14324，1980-08-27 签发，45 FR 60154</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1980 初版　初始颁行，确立本条条文</w:t>
      </w:r>
    </w:p>
    <w:p>
      <w:pPr>
        <w:pStyle w:val="Heading2"/>
        <w:keepNext/>
        <w:spacing w:before="240" w:after="120"/>
      </w:pPr>
      <w:r>
        <w:rPr>
          <w:rFonts w:ascii="Calibri" w:hAnsi="Calibri" w:eastAsia="微软雅黑"/>
          <w:b/>
          <w:i w:val="0"/>
          <w:color w:val="2E74B5"/>
          <w:sz w:val="27"/>
        </w:rPr>
        <w:t>2　§G23.2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初始颁行（1980-10-14，Amdt 23-26）：格式</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75-26，1975-06-09 签发，39 FR 5785；Notice 75-31，1975-06-30 签发，39 FR 5785　提出；最终规章 Docket 14779, 14324，1980-08-27 签发，45 FR 60154，1980-10-14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7-55。一名评论者建议将具有不同梯度距离的离散阵风作为补充添加到第 25 部附录 G 中。美国联邦航空局（FAA）不同意，因为以往使用具有不同阵风梯度距离的离散阵风的经验表明，设计者目前无法获知阵风强度如何随阵风梯度距离而变化。在连续湍流动力响应领域开展的研究和开发表明，第 25 部附录 G 的连续湍流标准是目前最合理的方案，能够为具有不同特性和任务的飞机提供一致的强度水平。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7-55. A commenter recommends that discrete gusts with varying gradient distances be added as a supplement to Appendix G to Part 25. The FAA disagrees because past experience with the use of discrete gusts with varying gust gradient distances has indicated that knowledge with regard to how gust intensity varies with gust gradient distance is not currently available to the designer. The research and development accomplished in the area of dynamic response to continuous turbulence has indicated that the continuous turbulence criteria of Appendix G to Part 25 is the most rational approach currently available which give consistent strength levels for airplanes of different characteristics and missions.</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一名评论者建议修订附录 G 的 (a) 段，以删除基于阵风的垂直和水平分量考虑组合应力的要求。该评论者表示，目前将仅涉及纯垂直或水平阵风分量的阵风计算所产生的均方根应力（剪切力、弯矩和扭矩）进行组合的实践，是一种现实且实用的应力组合方法。该评论者主张，在当前的技术水平下，能够现实地组合涉及垂直和水平阵风分量的统计载荷量的方法尚未得到令人满意的开发。经过进一步审查，美国联邦航空局（FAA）表示同意。附录 G 的 (a) 段已修订，删除了考虑由垂直和水平阵风分量产生的组合应力的要求。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(a) of Appendix G be revised to delete the requirement for considering combined stresses based on both vertical and lateral components of turbulence. The commenter states that the current practice of combining root-mean-square stresses (shear, moment, and torsion) resulting from gust calculations involving only purely vertical or lateral components of turbulence is a realistic, practical method for combining stress. The commenter contends that the methods for realistically combining statistical load quantities involving both vertical and lateral components of turbulence have not been satisfactorily developed in the current state of the art. After further review the FAA agrees. Paragraph (a) of Appendix G is revised to delete the requirement for considering the combined stresses resulting from the vertical and lateral components of turbulence.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一名评论者建议将附录 G 的 §(b)(3)(i) 段修订为：要求在 0 至 20,000 ft. 高度区间内的阵风强度为 U= 75 fps 阵风速度，并线性降低至 80,000 ft. 高度时的 30 fps。对于特性与先前设计相似且已被证明能够满足所建议的较低阵风强度水平的新飞机，该建议将消除为了证明其载荷水平低于满足 85 fps 设计包线阵风强度系数的要求而进行任务分析的必要性。对于在响应特性和基本任务剖面方面与现有飞机相似的新飞机，如果它们是按照已被证明适用于现有设计的阵风强度进行设计的，那么在没有技术必要的情况下，无需为了确定其在遭遇连续湍流所产生载荷方面的充分性而进行广泛的任务分析计算。</w:t>
        <w:br/>
        <w:t>因此，只要新设计与具有广泛满意运行经验的类似设计具有可比性，在 0 到 20,000 ft. 高度使用 75 fps 的阵风强度值，并在 20,000 ft. 的 75 fps 到 80,000 ft. 的 30 fps 之间进行线性递减是可接受的。这些标准在美国联邦航空局（FAA）与工业界之间已讨论超过 10 年，现被提议作为新规章而非现有规章的可接受符合手段。§(b)(3)(i) 段据此修订。评论者还建议修订 §(d)(1) 段，要求在 0 到 20,000 ft. 内部高度的阵风强度为 U = 60 fps，并线性递减至 80,000 ft. 高度的 23 fps。美国联邦航空局（FAA）不赞同。§(d)(1) 段中的阵风强度基于阵风强度随高度分布的情况，该分布是在开发连续湍流标准的各项基础研究中制定的，因此，被认为作为任务分析的较低设计包络极限是合理的。</w:t>
        <w:br/>
        <w:t>评论者提供了一项成本分析以证明较低阵风强度的合理性，但美国联邦航空局（FAA）认为该成本分析仅基于“设计包线分析”。作为 §(b) 段替代方案的 §(c) 段规定了“任务分析”。实际经验表明，考虑飞机运行特性的“任务分析”在过去已被用于替代 85 fps 强度，以避免重量和成本损失。附录 G 的 §(c) 段和 §(d) 段在没有实质性变更的情况下被采纳。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(b)(3)(i) of Appendix G be revised to require a gust intensity of U= 75 fps gust velocity in the interval 0 to 20,000 ft. altitude with a linear decrease to 30 fps at 80,000 ft. altitude. This recommendation would obviate the need to do mission analysis to justify lower levels of loads than those required to meet the design envelope gust intensity factor of 85 fps for new airplanes whose characteristics are similar to previous designs which have been shown to be adequate for the lower level of gust intensity being proposed. There is no technical need for new aircraft which are similar to existing aircraft with regard to response characteristics and basic mission profiles to make extensive mission analysis computations in order to establish their adequacy with regard to loads resulting from encounters with continuous turbulence if they are designed for the gust intensity shown to be adequate for the existing design. Therefore, it is acceptable to use a gust intensity value of 75 fps from 0 to 20,000 ft. altitude, and a linear reduction from 75 fps at 20,000 ft. to 30 fps at 80,000 ft., provided the new design is comparable to a similar design with extensive satisfactory service experience. These criteria, which have been under discussion between FAA and industry for over 10 years, are proposed as new rules rather than acceptable means of complying with existing rules. Paragraph (b)(3)(i) is revised accordingly. The commenter also recommends that paragraph (d)(1) be revised to require a gust intensity of U = 60 fps on the internal 0 to 20,000 ft. altitude and be linearly decreased to 23 fps at 80,000 ft. altitude. The FAA disagrees. The gust intensities in paragraph (d)(1) are based on the distribution of gust intensity with altitude which were developed in the basic research for the development of continuous turbulence criteria and are, therefore, considered reasonable as a lower design envelope limit for mission analysis. A cost analysis was provided by the commenter to justify the lower gust intensities, but the FAA finds that this cost analysis was based on "design envelope analysis" alone. Paragraph (c), which is an alternative to paragraph (b), provides for a "mission analysis". Actual experience has shown that "mission analysis," which considers airplane operational characteristics, has been used in the past in lieu of the 85 fps intensities to prevent weight and cost penalties. Paragraphs (c) and (d) of Appendix G are adopted without substantive change.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一名评论者建议修订附录 G 的 (d) 段，删除对“破损安全载荷”的引用，因为附录 G 中未提供此类载荷。美国联邦航空局（FAA）同意。附录 G 的 (d) 段据此进行了修订。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(d) of Appendix G be revised to delete the reference to "fail-safe loads" since such loads are not provided in Appendix G. The FAA agrees. Paragraph (d) of Appendix G is revised accordingly.</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一名评论者建议删除附录 G 中拟议的 (e) 段，因为在当前的常规飞机上，在飞行员位置测得的加速度水平可以通过飞行演示建立，这比使用考虑连续湍流响应的高昂分析方法要容易得多且成本更低。经过进一步审查，美国联邦航空局（FAA）认定，其缺乏足够的信息来指定分析与飞行试验的正确组合，以确定连续湍流期间飞行员位置的加速度水平。因此，附录 G 中拟议的 (e) 段被撤回。当前与湍流运行相关的要求足以确定连续湍流期间飞行员位置的响应。</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proposed paragraph (e) of Appendix G be deleted since acceleration levels measured at the pilot station on current conventional aircraft can be established by flight demonstration much more easily and with less cost than by use of an expensive analysis considering response to continuous turbulence. Upon further review, the FAA has determined that it lacks sufficient information to specify the right combination of analysis and flight test to determine the acceleration levels at the pilot's station during continuous turbulence. Accordingly, proposed paragraph (e) of Appendix G is withdrawn. The current requirements related to operation in turbulence are adequate to determine the response at the pilot's station during continuous turbulence.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提案 8-62。关于在第 25 部中增加新附录 G 的提案相关评论，请参阅提案 8-25。第 25 部的附录 G（重新指定为附录 H）在采用了提案 8-25 中讨论的修订后予以通过。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8-62. For comments related to the proposal to add a new Appendix G to Part 25, see Proposal 8-25. Appendix G (redesignated Appendix H) to Part 25 is adopted with the changes discussed in Proposal 8-25.</w:t>
      </w:r>
    </w:p>
    <w:p>
      <w:pPr>
        <w:pStyle w:val="Heading2"/>
        <w:keepNext/>
        <w:spacing w:before="240" w:after="120"/>
      </w:pPr>
      <w:r>
        <w:rPr>
          <w:rFonts w:ascii="Calibri" w:hAnsi="Calibri" w:eastAsia="微软雅黑"/>
          <w:b/>
          <w:i w:val="0"/>
          <w:color w:val="2E74B5"/>
          <w:sz w:val="27"/>
        </w:rPr>
        <w:t>3　§G23.2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1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§G23.2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nt distance is not currently available to the designer. The research and development accomplished in the area of dynamic response to continuous turbulence has indicated that the continuous turbulence criteria of Appendix…</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个历史版本：Amdt 23-26。</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14779</w:t>
            </w:r>
          </w:p>
        </w:tc>
        <w:tc>
          <w:tcPr>
            <w:tcW w:type="dxa" w:w="2381"/>
          </w:tcPr>
          <w:p>
            <w:pPr>
              <w:spacing w:before="40" w:after="40" w:line="324" w:lineRule="auto"/>
            </w:pPr>
            <w:r/>
            <w:r>
              <w:rPr>
                <w:rFonts w:ascii="Calibri" w:hAnsi="Calibri" w:eastAsia="微软雅黑"/>
                <w:b w:val="0"/>
                <w:i w:val="0"/>
                <w:color w:val="1A1A1A"/>
                <w:sz w:val="16"/>
              </w:rPr>
              <w:t>45 FR 60154</w:t>
            </w:r>
          </w:p>
        </w:tc>
        <w:tc>
          <w:tcPr>
            <w:tcW w:type="dxa" w:w="2948"/>
          </w:tcPr>
          <w:p>
            <w:pPr>
              <w:spacing w:before="40" w:after="40" w:line="324" w:lineRule="auto"/>
            </w:pPr>
            <w:r/>
            <w:r>
              <w:rPr>
                <w:rFonts w:ascii="Calibri" w:hAnsi="Calibri" w:eastAsia="微软雅黑"/>
                <w:b w:val="0"/>
                <w:i w:val="0"/>
                <w:color w:val="1A1A1A"/>
                <w:sz w:val="16"/>
              </w:rPr>
              <w:t>FinalRule_Docket 14779_Docket14779_ 14324_Amdt21-51_23-26_25-54_27_45FR60154_1980-09-11.txt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14779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7750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14779_ 14324_Amdt23-25_25-51_27-17_29_45FR7750_1980-02-04_0002.txt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§G23.2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23-26</w:t>
            </w:r>
          </w:p>
        </w:tc>
        <w:tc>
          <w:tcPr>
            <w:tcW w:type="dxa" w:w="1701"/>
          </w:tcPr>
          <w:p>
            <w:pPr>
              <w:spacing w:before="40" w:after="40" w:line="324" w:lineRule="auto"/>
            </w:pPr>
            <w:r/>
            <w:r>
              <w:rPr>
                <w:rFonts w:ascii="Calibri" w:hAnsi="Calibri" w:eastAsia="微软雅黑"/>
                <w:b w:val="0"/>
                <w:i w:val="0"/>
                <w:color w:val="1A1A1A"/>
                <w:sz w:val="17"/>
              </w:rPr>
              <w:t>1980-10-14</w:t>
            </w:r>
          </w:p>
        </w:tc>
        <w:tc>
          <w:tcPr>
            <w:tcW w:type="dxa" w:w="6350"/>
          </w:tcPr>
          <w:p>
            <w:pPr>
              <w:spacing w:before="40" w:after="40" w:line="324" w:lineRule="auto"/>
            </w:pPr>
            <w:r/>
            <w:r>
              <w:rPr>
                <w:rFonts w:ascii="Calibri" w:hAnsi="Calibri" w:eastAsia="微软雅黑"/>
                <w:b w:val="0"/>
                <w:i w:val="0"/>
                <w:color w:val="1A1A1A"/>
                <w:sz w:val="17"/>
              </w:rPr>
              <w:t>1a4ab760-2344-4403-b7e4-d55509d0689c</w:t>
            </w:r>
          </w:p>
        </w:tc>
      </w:tr>
    </w:tbl>
    <w:p>
      <w:pPr>
        <w:pStyle w:val="Heading1"/>
        <w:keepNext/>
        <w:spacing w:before="320" w:after="160"/>
      </w:pPr>
      <w:r>
        <w:rPr>
          <w:rFonts w:ascii="Calibri" w:hAnsi="Calibri" w:eastAsia="微软雅黑"/>
          <w:b/>
          <w:i w:val="0"/>
          <w:color w:val="1F4E79"/>
          <w:sz w:val="32"/>
        </w:rPr>
        <w:t>§ G23.3　内容（Content.）</w:t>
      </w:r>
    </w:p>
    <w:p>
      <w:pPr>
        <w:spacing w:before="60" w:after="60" w:line="324" w:lineRule="auto"/>
      </w:pPr>
      <w:r>
        <w:rPr>
          <w:rFonts w:ascii="Calibri" w:hAnsi="Calibri" w:eastAsia="微软雅黑"/>
          <w:b w:val="0"/>
          <w:i w:val="0"/>
          <w:color w:val="595959"/>
          <w:sz w:val="21"/>
        </w:rPr>
        <w:t>1980-10-14 初版　｜　1987-02-17 Amdt 23-34　｜　共 2 个历史版本</w:t>
      </w:r>
    </w:p>
    <w:p>
      <w:pPr>
        <w:pStyle w:val="Heading2"/>
        <w:keepNext/>
        <w:spacing w:before="240" w:after="120"/>
      </w:pPr>
      <w:r>
        <w:rPr>
          <w:rFonts w:ascii="Calibri" w:hAnsi="Calibri" w:eastAsia="微软雅黑"/>
          <w:b/>
          <w:i w:val="0"/>
          <w:color w:val="2E74B5"/>
          <w:sz w:val="27"/>
        </w:rPr>
        <w:t>1　§G23.3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G23.3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Content.</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内容</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G　持续适航文件</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1980-10-14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1980-10-14 → 1987-02-17　（约 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14779, 14324，1980-08-27 签发，45 FR 60154</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§G23.3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23-26</w:t>
            </w:r>
          </w:p>
        </w:tc>
        <w:tc>
          <w:tcPr>
            <w:tcW w:type="dxa" w:w="1134"/>
          </w:tcPr>
          <w:p>
            <w:pPr>
              <w:spacing w:before="40" w:after="40" w:line="324" w:lineRule="auto"/>
              <w:jc w:val="center"/>
            </w:pPr>
            <w:r/>
            <w:r>
              <w:rPr>
                <w:rFonts w:ascii="Calibri" w:hAnsi="Calibri" w:eastAsia="微软雅黑"/>
                <w:b w:val="0"/>
                <w:i w:val="0"/>
                <w:color w:val="1A1A1A"/>
                <w:sz w:val="17"/>
              </w:rPr>
              <w:t>1980-10-14</w:t>
            </w:r>
          </w:p>
        </w:tc>
        <w:tc>
          <w:tcPr>
            <w:tcW w:type="dxa" w:w="1984"/>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75-26，1975-06-09 签发，39 FR 5785</w:t>
              <w:br/>
              <w:t>Notice 75-31，1975-06-30 签发，39 FR 5785</w:t>
            </w:r>
          </w:p>
        </w:tc>
        <w:tc>
          <w:tcPr>
            <w:tcW w:type="dxa" w:w="1984"/>
          </w:tcPr>
          <w:p>
            <w:pPr>
              <w:spacing w:before="40" w:after="40" w:line="324" w:lineRule="auto"/>
            </w:pPr>
            <w:r/>
            <w:r>
              <w:rPr>
                <w:rFonts w:ascii="Calibri" w:hAnsi="Calibri" w:eastAsia="微软雅黑"/>
                <w:b w:val="0"/>
                <w:i w:val="0"/>
                <w:color w:val="1A1A1A"/>
                <w:sz w:val="17"/>
              </w:rPr>
              <w:t>Docket 14779, 14324，1980-08-27 签发，45 FR 60154</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23-34</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1987-02-17</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83-17，1983-09-23 签发，48 FR 52010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23516，1987-01-08 签发，52 FR 1806</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新增段落：(h)</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1980 初版　初始颁行，确立本条条文　→　1987 23-34　新增段落：(h)</w:t>
      </w:r>
    </w:p>
    <w:p>
      <w:pPr>
        <w:pStyle w:val="Heading2"/>
        <w:keepNext/>
        <w:spacing w:before="240" w:after="120"/>
      </w:pPr>
      <w:r>
        <w:rPr>
          <w:rFonts w:ascii="Calibri" w:hAnsi="Calibri" w:eastAsia="微软雅黑"/>
          <w:b/>
          <w:i w:val="0"/>
          <w:color w:val="2E74B5"/>
          <w:sz w:val="27"/>
        </w:rPr>
        <w:t>2　§G23.3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初始颁行（1980-10-14，Amdt 23-26）：内容</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75-26，1975-06-09 签发，39 FR 5785；Notice 75-31，1975-06-30 签发，39 FR 5785　提出；最终规章 Docket 14779, 14324，1980-08-27 签发，45 FR 60154，1980-10-14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7-55。一名评论者建议将具有不同梯度距离的离散阵风作为补充添加到第 25 部附录 G 中。美国联邦航空局（FAA）不同意，因为以往使用具有不同阵风梯度距离的离散阵风的经验表明，设计者目前无法获知阵风强度如何随阵风梯度距离而变化。在连续湍流动力响应领域开展的研究和开发表明，第 25 部附录 G 的连续湍流标准是目前最合理的方案，能够为具有不同特性和任务的飞机提供一致的强度水平。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7-55. A commenter recommends that discrete gusts with varying gradient distances be added as a supplement to Appendix G to Part 25. The FAA disagrees because past experience with the use of discrete gusts with varying gust gradient distances has indicated that knowledge with regard to how gust intensity varies with gust gradient distance is not currently available to the designer. The research and development accomplished in the area of dynamic response to continuous turbulence has indicated that the continuous turbulence criteria of Appendix G to Part 25 is the most rational approach currently available which give consistent strength levels for airplanes of different characteristics and missions.</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一名评论者建议修订附录 G 的 (a) 段，以删除基于阵风的垂直和水平分量考虑组合应力的要求。该评论者表示，目前将仅涉及纯垂直或水平阵风分量的阵风计算所产生的均方根应力（剪切力、弯矩和扭矩）进行组合的实践，是一种现实且实用的应力组合方法。该评论者主张，在当前的技术水平下，能够现实地组合涉及垂直和水平阵风分量的统计载荷量的方法尚未得到令人满意的开发。经过进一步审查，美国联邦航空局（FAA）表示同意。附录 G 的 (a) 段已修订，删除了考虑由垂直和水平阵风分量产生的组合应力的要求。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(a) of Appendix G be revised to delete the requirement for considering combined stresses based on both vertical and lateral components of turbulence. The commenter states that the current practice of combining root-mean-square stresses (shear, moment, and torsion) resulting from gust calculations involving only purely vertical or lateral components of turbulence is a realistic, practical method for combining stress. The commenter contends that the methods for realistically combining statistical load quantities involving both vertical and lateral components of turbulence have not been satisfactorily developed in the current state of the art. After further review the FAA agrees. Paragraph (a) of Appendix G is revised to delete the requirement for considering the combined stresses resulting from the vertical and lateral components of turbulence.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一名评论者建议将附录 G 的 §(b)(3)(i) 段修订为：要求在 0 至 20,000 ft. 高度区间内的阵风强度为 U= 75 fps 阵风速度，并线性降低至 80,000 ft. 高度时的 30 fps。对于特性与先前设计相似且已被证明能够满足所建议的较低阵风强度水平的新飞机，该建议将消除为了证明其载荷水平低于满足 85 fps 设计包线阵风强度系数的要求而进行任务分析的必要性。对于在响应特性和基本任务剖面方面与现有飞机相似的新飞机，如果它们是按照已被证明适用于现有设计的阵风强度进行设计的，那么在没有技术必要的情况下，无需为了确定其在遭遇连续湍流所产生载荷方面的充分性而进行广泛的任务分析计算。</w:t>
        <w:br/>
        <w:t>因此，只要新设计与具有广泛满意运行经验的类似设计具有可比性，在 0 到 20,000 ft. 高度使用 75 fps 的阵风强度值，并在 20,000 ft. 的 75 fps 到 80,000 ft. 的 30 fps 之间进行线性递减是可接受的。这些标准在美国联邦航空局（FAA）与工业界之间已讨论超过 10 年，现被提议作为新规章而非现有规章的可接受符合手段。§(b)(3)(i) 段据此修订。评论者还建议修订 §(d)(1) 段，要求在 0 到 20,000 ft. 内部高度的阵风强度为 U = 60 fps，并线性递减至 80,000 ft. 高度的 23 fps。美国联邦航空局（FAA）不赞同。§(d)(1) 段中的阵风强度基于阵风强度随高度分布的情况，该分布是在开发连续湍流标准的各项基础研究中制定的，因此，被认为作为任务分析的较低设计包络极限是合理的。</w:t>
        <w:br/>
        <w:t>评论者提供了一项成本分析以证明较低阵风强度的合理性，但美国联邦航空局（FAA）认为该成本分析仅基于“设计包线分析”。作为 §(b) 段替代方案的 §(c) 段规定了“任务分析”。实际经验表明，考虑飞机运行特性的“任务分析”在过去已被用于替代 85 fps 强度，以避免重量和成本损失。附录 G 的 §(c) 段和 §(d) 段在没有实质性变更的情况下被采纳。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(b)(3)(i) of Appendix G be revised to require a gust intensity of U= 75 fps gust velocity in the interval 0 to 20,000 ft. altitude with a linear decrease to 30 fps at 80,000 ft. altitude. This recommendation would obviate the need to do mission analysis to justify lower levels of loads than those required to meet the design envelope gust intensity factor of 85 fps for new airplanes whose characteristics are similar to previous designs which have been shown to be adequate for the lower level of gust intensity being proposed. There is no technical need for new aircraft which are similar to existing aircraft with regard to response characteristics and basic mission profiles to make extensive mission analysis computations in order to establish their adequacy with regard to loads resulting from encounters with continuous turbulence if they are designed for the gust intensity shown to be adequate for the existing design. Therefore, it is acceptable to use a gust intensity value of 75 fps from 0 to 20,000 ft. altitude, and a linear reduction from 75 fps at 20,000 ft. to 30 fps at 80,000 ft., provided the new design is comparable to a similar design with extensive satisfactory service experience. These criteria, which have been under discussion between FAA and industry for over 10 years, are proposed as new rules rather than acceptable means of complying with existing rules. Paragraph (b)(3)(i) is revised accordingly. The commenter also recommends that paragraph (d)(1) be revised to require a gust intensity of U = 60 fps on the internal 0 to 20,000 ft. altitude and be linearly decreased to 23 fps at 80,000 ft. altitude. The FAA disagrees. The gust intensities in paragraph (d)(1) are based on the distribution of gust intensity with altitude which were developed in the basic research for the development of continuous turbulence criteria and are, therefore, considered reasonable as a lower design envelope limit for mission analysis. A cost analysis was provided by the commenter to justify the lower gust intensities, but the FAA finds that this cost analysis was based on "design envelope analysis" alone. Paragraph (c), which is an alternative to paragraph (b), provides for a "mission analysis". Actual experience has shown that "mission analysis," which considers airplane operational characteristics, has been used in the past in lieu of the 85 fps intensities to prevent weight and cost penalties. Paragraphs (c) and (d) of Appendix G are adopted without substantive change.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一名评论者建议修订附录 G 的 (d) 段，删除对“破损安全载荷”的引用，因为附录 G 中未提供此类载荷。美国联邦航空局（FAA）同意。附录 G 的 (d) 段据此进行了修订。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(d) of Appendix G be revised to delete the reference to "fail-safe loads" since such loads are not provided in Appendix G. The FAA agrees. Paragraph (d) of Appendix G is revised accordingly.</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一名评论者建议删除附录 G 中拟议的 (e) 段，因为在当前的常规飞机上，在飞行员位置测得的加速度水平可以通过飞行演示建立，这比使用考虑连续湍流响应的高昂分析方法要容易得多且成本更低。经过进一步审查，美国联邦航空局（FAA）认定，其缺乏足够的信息来指定分析与飞行试验的正确组合，以确定连续湍流期间飞行员位置的加速度水平。因此，附录 G 中拟议的 (e) 段被撤回。当前与湍流运行相关的要求足以确定连续湍流期间飞行员位置的响应。</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proposed paragraph (e) of Appendix G be deleted since acceleration levels measured at the pilot station on current conventional aircraft can be established by flight demonstration much more easily and with less cost than by use of an expensive analysis considering response to continuous turbulence. Upon further review, the FAA has determined that it lacks sufficient information to specify the right combination of analysis and flight test to determine the acceleration levels at the pilot's station during continuous turbulence. Accordingly, proposed paragraph (e) of Appendix G is withdrawn. The current requirements related to operation in turbulence are adequate to determine the response at the pilot's station during continuous turbulence.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提案 8-62。关于在第 25 部中增加新附录 G 的提案相关评论，请参阅提案 8-25。第 25 部的附录 G（重新指定为附录 H）在采用了提案 8-25 中讨论的修订后予以通过。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8-62. For comments related to the proposal to add a new Appendix G to Part 25, see Proposal 8-25. Appendix G (redesignated Appendix H) to Part 25 is adopted with the changes discussed in Proposal 8-25.</w:t>
      </w:r>
    </w:p>
    <w:p>
      <w:pPr>
        <w:pStyle w:val="Heading3"/>
        <w:keepNext/>
        <w:spacing w:before="200" w:after="100"/>
      </w:pPr>
      <w:r>
        <w:rPr>
          <w:rFonts w:ascii="Calibri" w:hAnsi="Calibri" w:eastAsia="微软雅黑"/>
          <w:b/>
          <w:i w:val="0"/>
          <w:color w:val="404040"/>
          <w:sz w:val="24"/>
        </w:rPr>
        <w:t>2.2　Amdt 23-34（1987-02-17 生效）：61. 通过修订附录 G</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83-17，1983-09-23 签发，48 FR 52010　提出；最终规章 Docket 23516，1987-01-08 签发，52 FR 1806，1987-02-17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61. 通过修订附录 G，§G23.3 条，增加一个新的 (h) 段，内容如下：　59. 通过修订第 23 部附录 G，§G23.3 条，增加一个新的 (h) 段，内容如下：</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61. By amending Appendix G, Sec. G23.3 by adding a new paragraph (h) to read as follows:</w:t>
      </w:r>
    </w:p>
    <w:p>
      <w:pPr>
        <w:spacing w:before="60" w:after="60" w:line="324" w:lineRule="auto"/>
        <w:ind w:left="567"/>
      </w:pPr>
      <w:r>
        <w:rPr>
          <w:rFonts w:ascii="Calibri" w:hAnsi="Calibri" w:eastAsia="微软雅黑"/>
          <w:b w:val="0"/>
          <w:i w:val="0"/>
          <w:color w:val="606060"/>
          <w:sz w:val="17"/>
        </w:rPr>
        <w:t>59. By amending Part 23 Appendix G, Sec. G23.3 by adding a new paragraph (h) to read as follows:</w:t>
      </w:r>
    </w:p>
    <w:p>
      <w:pPr>
        <w:pStyle w:val="Heading2"/>
        <w:keepNext/>
        <w:spacing w:before="240" w:after="120"/>
      </w:pPr>
      <w:r>
        <w:rPr>
          <w:rFonts w:ascii="Calibri" w:hAnsi="Calibri" w:eastAsia="微软雅黑"/>
          <w:b/>
          <w:i w:val="0"/>
          <w:color w:val="2E74B5"/>
          <w:sz w:val="27"/>
        </w:rPr>
        <w:t>3　§G23.3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2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§G23.3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nt distance is not currently available to the designer. The research and development accomplished in the area of dynamic response to continuous turbulence has indicated that the continuous turbulence criteria of Appendix…</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23-26, Amdt 23-34。</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14779</w:t>
            </w:r>
          </w:p>
        </w:tc>
        <w:tc>
          <w:tcPr>
            <w:tcW w:type="dxa" w:w="2381"/>
          </w:tcPr>
          <w:p>
            <w:pPr>
              <w:spacing w:before="40" w:after="40" w:line="324" w:lineRule="auto"/>
            </w:pPr>
            <w:r/>
            <w:r>
              <w:rPr>
                <w:rFonts w:ascii="Calibri" w:hAnsi="Calibri" w:eastAsia="微软雅黑"/>
                <w:b w:val="0"/>
                <w:i w:val="0"/>
                <w:color w:val="1A1A1A"/>
                <w:sz w:val="16"/>
              </w:rPr>
              <w:t>45 FR 60154</w:t>
            </w:r>
          </w:p>
        </w:tc>
        <w:tc>
          <w:tcPr>
            <w:tcW w:type="dxa" w:w="2948"/>
          </w:tcPr>
          <w:p>
            <w:pPr>
              <w:spacing w:before="40" w:after="40" w:line="324" w:lineRule="auto"/>
            </w:pPr>
            <w:r/>
            <w:r>
              <w:rPr>
                <w:rFonts w:ascii="Calibri" w:hAnsi="Calibri" w:eastAsia="微软雅黑"/>
                <w:b w:val="0"/>
                <w:i w:val="0"/>
                <w:color w:val="1A1A1A"/>
                <w:sz w:val="16"/>
              </w:rPr>
              <w:t>FinalRule_Docket 14779_Docket14779_ 14324_Amdt21-51_23-26_25-54_27_45FR60154_1980-09-11.txt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14779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7750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14779_ 14324_Amdt23-25_25-51_27-17_29_45FR7750_1980-02-04_0002.txt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52 FR 1806</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23516_Amdt21-59_23-34_36-13_52FR_1987-01-15.txt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23516</w:t>
            </w:r>
          </w:p>
        </w:tc>
        <w:tc>
          <w:tcPr>
            <w:tcW w:type="dxa" w:w="2381"/>
          </w:tcPr>
          <w:p>
            <w:pPr>
              <w:spacing w:before="40" w:after="40" w:line="324" w:lineRule="auto"/>
            </w:pPr>
            <w:r/>
            <w:r>
              <w:rPr>
                <w:rFonts w:ascii="Calibri" w:hAnsi="Calibri" w:eastAsia="微软雅黑"/>
                <w:b w:val="0"/>
                <w:i w:val="0"/>
                <w:color w:val="1A1A1A"/>
                <w:sz w:val="16"/>
              </w:rPr>
              <w:t>55 FR 18570</w:t>
            </w:r>
          </w:p>
        </w:tc>
        <w:tc>
          <w:tcPr>
            <w:tcW w:type="dxa" w:w="2948"/>
          </w:tcPr>
          <w:p>
            <w:pPr>
              <w:spacing w:before="40" w:after="40" w:line="324" w:lineRule="auto"/>
            </w:pPr>
            <w:r/>
            <w:r>
              <w:rPr>
                <w:rFonts w:ascii="Calibri" w:hAnsi="Calibri" w:eastAsia="微软雅黑"/>
                <w:b w:val="0"/>
                <w:i w:val="0"/>
                <w:color w:val="1A1A1A"/>
                <w:sz w:val="16"/>
              </w:rPr>
              <w:t>FinalRule_Docket 23516_Amdt23-39_55FR18570_1990-05-02_0002.txt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83-17 / Docket 23516</w:t>
            </w:r>
          </w:p>
        </w:tc>
        <w:tc>
          <w:tcPr>
            <w:tcW w:type="dxa" w:w="2381"/>
            <w:shd w:val="clear" w:color="auto" w:fill="F7F9FC"/>
          </w:tcPr>
          <w:p>
            <w:pPr>
              <w:spacing w:before="40" w:after="40" w:line="324" w:lineRule="auto"/>
            </w:pPr>
            <w:r/>
            <w:r>
              <w:rPr>
                <w:rFonts w:ascii="Calibri" w:hAnsi="Calibri" w:eastAsia="微软雅黑"/>
                <w:b w:val="0"/>
                <w:i w:val="0"/>
                <w:color w:val="1A1A1A"/>
                <w:sz w:val="16"/>
              </w:rPr>
              <w:t>48 FR 52010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83-17_Docket23516_48FR52010_1983-11-15.txt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§G23.3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23-26</w:t>
            </w:r>
          </w:p>
        </w:tc>
        <w:tc>
          <w:tcPr>
            <w:tcW w:type="dxa" w:w="1701"/>
          </w:tcPr>
          <w:p>
            <w:pPr>
              <w:spacing w:before="40" w:after="40" w:line="324" w:lineRule="auto"/>
            </w:pPr>
            <w:r/>
            <w:r>
              <w:rPr>
                <w:rFonts w:ascii="Calibri" w:hAnsi="Calibri" w:eastAsia="微软雅黑"/>
                <w:b w:val="0"/>
                <w:i w:val="0"/>
                <w:color w:val="1A1A1A"/>
                <w:sz w:val="17"/>
              </w:rPr>
              <w:t>1980-10-14</w:t>
            </w:r>
          </w:p>
        </w:tc>
        <w:tc>
          <w:tcPr>
            <w:tcW w:type="dxa" w:w="6350"/>
          </w:tcPr>
          <w:p>
            <w:pPr>
              <w:spacing w:before="40" w:after="40" w:line="324" w:lineRule="auto"/>
            </w:pPr>
            <w:r/>
            <w:r>
              <w:rPr>
                <w:rFonts w:ascii="Calibri" w:hAnsi="Calibri" w:eastAsia="微软雅黑"/>
                <w:b w:val="0"/>
                <w:i w:val="0"/>
                <w:color w:val="1A1A1A"/>
                <w:sz w:val="17"/>
              </w:rPr>
              <w:t>589e3252-9584-4642-a569-68c16e01990d</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23-34</w:t>
            </w:r>
          </w:p>
        </w:tc>
        <w:tc>
          <w:tcPr>
            <w:tcW w:type="dxa" w:w="1701"/>
            <w:shd w:val="clear" w:color="auto" w:fill="F7F9FC"/>
          </w:tcPr>
          <w:p>
            <w:pPr>
              <w:spacing w:before="40" w:after="40" w:line="324" w:lineRule="auto"/>
            </w:pPr>
            <w:r/>
            <w:r>
              <w:rPr>
                <w:rFonts w:ascii="Calibri" w:hAnsi="Calibri" w:eastAsia="微软雅黑"/>
                <w:b w:val="0"/>
                <w:i w:val="0"/>
                <w:color w:val="1A1A1A"/>
                <w:sz w:val="17"/>
              </w:rPr>
              <w:t>1987-02-17</w:t>
            </w:r>
          </w:p>
        </w:tc>
        <w:tc>
          <w:tcPr>
            <w:tcW w:type="dxa" w:w="6350"/>
            <w:shd w:val="clear" w:color="auto" w:fill="F7F9FC"/>
          </w:tcPr>
          <w:p>
            <w:pPr>
              <w:spacing w:before="40" w:after="40" w:line="324" w:lineRule="auto"/>
            </w:pPr>
            <w:r/>
            <w:r>
              <w:rPr>
                <w:rFonts w:ascii="Calibri" w:hAnsi="Calibri" w:eastAsia="微软雅黑"/>
                <w:b w:val="0"/>
                <w:i w:val="0"/>
                <w:color w:val="1A1A1A"/>
                <w:sz w:val="17"/>
              </w:rPr>
              <w:t>5b947112-20d9-467e-9112-48ecfab74150</w:t>
            </w:r>
          </w:p>
        </w:tc>
      </w:tr>
    </w:tbl>
    <w:p>
      <w:pPr>
        <w:pStyle w:val="Heading1"/>
        <w:keepNext/>
        <w:spacing w:before="320" w:after="160"/>
      </w:pPr>
      <w:r>
        <w:rPr>
          <w:rFonts w:ascii="Calibri" w:hAnsi="Calibri" w:eastAsia="微软雅黑"/>
          <w:b/>
          <w:i w:val="0"/>
          <w:color w:val="1F4E79"/>
          <w:sz w:val="32"/>
        </w:rPr>
        <w:t>§ G23.4　适航限制章节（Airworthiness limitations section.）</w:t>
      </w:r>
    </w:p>
    <w:p>
      <w:pPr>
        <w:spacing w:before="60" w:after="60" w:line="324" w:lineRule="auto"/>
      </w:pPr>
      <w:r>
        <w:rPr>
          <w:rFonts w:ascii="Calibri" w:hAnsi="Calibri" w:eastAsia="微软雅黑"/>
          <w:b w:val="0"/>
          <w:i w:val="0"/>
          <w:color w:val="595959"/>
          <w:sz w:val="21"/>
        </w:rPr>
        <w:t>1980-10-14 初版　｜　1990-08-18 Amdt 23-37　｜　共 2 个历史版本</w:t>
      </w:r>
    </w:p>
    <w:p>
      <w:pPr>
        <w:pStyle w:val="Heading2"/>
        <w:keepNext/>
        <w:spacing w:before="240" w:after="120"/>
      </w:pPr>
      <w:r>
        <w:rPr>
          <w:rFonts w:ascii="Calibri" w:hAnsi="Calibri" w:eastAsia="微软雅黑"/>
          <w:b/>
          <w:i w:val="0"/>
          <w:color w:val="2E74B5"/>
          <w:sz w:val="27"/>
        </w:rPr>
        <w:t>1　§G23.4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G23.4</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Airworthiness limitations section.</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适航限制章节</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G　持续适航文件</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1980-10-14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1980-10-14 → 1990-08-18　（约 10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14779, 14324，1980-08-27 签发，45 FR 60154</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§G23.4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23-26</w:t>
            </w:r>
          </w:p>
        </w:tc>
        <w:tc>
          <w:tcPr>
            <w:tcW w:type="dxa" w:w="1134"/>
          </w:tcPr>
          <w:p>
            <w:pPr>
              <w:spacing w:before="40" w:after="40" w:line="324" w:lineRule="auto"/>
              <w:jc w:val="center"/>
            </w:pPr>
            <w:r/>
            <w:r>
              <w:rPr>
                <w:rFonts w:ascii="Calibri" w:hAnsi="Calibri" w:eastAsia="微软雅黑"/>
                <w:b w:val="0"/>
                <w:i w:val="0"/>
                <w:color w:val="1A1A1A"/>
                <w:sz w:val="17"/>
              </w:rPr>
              <w:t>1980-10-14</w:t>
            </w:r>
          </w:p>
        </w:tc>
        <w:tc>
          <w:tcPr>
            <w:tcW w:type="dxa" w:w="1984"/>
          </w:tcPr>
          <w:p>
            <w:pPr>
              <w:spacing w:before="40" w:after="40" w:line="324" w:lineRule="auto"/>
            </w:pPr>
            <w:r/>
            <w:r>
              <w:rPr>
                <w:rFonts w:ascii="Calibri" w:hAnsi="Calibri" w:eastAsia="微软雅黑"/>
                <w:b w:val="0"/>
                <w:i w:val="0"/>
                <w:color w:val="1A1A1A"/>
                <w:sz w:val="17"/>
              </w:rPr>
              <w:t>Notice 74-5，1974-02-14 签发，39 FR 5785</w:t>
              <w:br/>
              <w:t>Notice 74-5A，1974-05-22 签发，39 FR 5785</w:t>
              <w:br/>
              <w:t>Notice 74-5B，1974-10-03 签发，39 FR 5785</w:t>
              <w:br/>
              <w:t>Notice 74-33，1974-10-03 签发，39 FR 5785</w:t>
              <w:br/>
              <w:t>Notice 74-5C，1974-11-25 签发，39 FR 5785</w:t>
              <w:br/>
              <w:t>Notice 74-5D，1975-02-04 签发，39 FR 5785</w:t>
              <w:br/>
              <w:t>Notice 75-10，1975-02-27 签发，39 FR 5785</w:t>
              <w:br/>
              <w:t>Notice 75-19，1975-05-13 签发，39 FR 5785</w:t>
              <w:br/>
              <w:t>Notice 75-26，1975-06-09 签发，39 FR 5785</w:t>
              <w:br/>
              <w:t>Notice 75-31，1975-06-30 签发，39 FR 5785</w:t>
            </w:r>
          </w:p>
        </w:tc>
        <w:tc>
          <w:tcPr>
            <w:tcW w:type="dxa" w:w="1984"/>
          </w:tcPr>
          <w:p>
            <w:pPr>
              <w:spacing w:before="40" w:after="40" w:line="324" w:lineRule="auto"/>
            </w:pPr>
            <w:r/>
            <w:r>
              <w:rPr>
                <w:rFonts w:ascii="Calibri" w:hAnsi="Calibri" w:eastAsia="微软雅黑"/>
                <w:b w:val="0"/>
                <w:i w:val="0"/>
                <w:color w:val="1A1A1A"/>
                <w:sz w:val="17"/>
              </w:rPr>
              <w:t>Docket 14779, 14324，1980-08-27 签发，45 FR 60154</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1990-08-18</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79-2，1979-01-11 签发</w:t>
              <w:br/>
              <w:t>Notice 79-2A，1981-07-27 签发</w:t>
              <w:br/>
              <w:t>Notice 79-2B，1981-12-07 签发</w:t>
              <w:br/>
              <w:t>Notice 79-2C，1984-12-13 签发</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18334，1989-08-07 签发</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1980 初版　初始颁行，确立本条条文　→　1990 23-37　条文未改动（本版为交叉引用或其他条款修订所致</w:t>
      </w:r>
    </w:p>
    <w:p>
      <w:pPr>
        <w:pStyle w:val="Heading2"/>
        <w:keepNext/>
        <w:spacing w:before="240" w:after="120"/>
      </w:pPr>
      <w:r>
        <w:rPr>
          <w:rFonts w:ascii="Calibri" w:hAnsi="Calibri" w:eastAsia="微软雅黑"/>
          <w:b/>
          <w:i w:val="0"/>
          <w:color w:val="2E74B5"/>
          <w:sz w:val="27"/>
        </w:rPr>
        <w:t>2　§G23.4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初始颁行（1980-10-14，Amdt 23-26）：适航限制章节</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74-5，1974-02-14 签发，39 FR 5785；Notice 74-5A，1974-05-22 签发，39 FR 5785；Notice 74-5B，1974-10-03 签发，39 FR 5785；Notice 74-33，1974-10-03 签发，39 FR 5785；Notice 74-5C，1974-11-25 签发，39 FR 5785；Notice 74-5D，1975-02-04 签发，39 FR 5785；Notice 75-10，1975-02-27 签发，39 FR 5785；Notice 75-19，1975-05-13 签发，39 FR 5785；Notice 75-26，1975-06-09 签发，39 FR 5785；Notice 75-31，1975-06-30 签发，39 FR 5785　提出；最终规章 Docket 14779, 14324，1980-08-27 签发，45 FR 60154，1980-10-14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7-55。一名评论者建议将具有不同梯度距离的离散阵风作为补充添加到第 25 部附录 G 中。美国联邦航空局（FAA）不同意，因为以往使用具有不同阵风梯度距离的离散阵风的经验表明，设计者目前无法获知阵风强度如何随阵风梯度距离而变化。在连续湍流动力响应领域开展的研究和开发表明，第 25 部附录 G 的连续湍流标准是目前最合理的方案，能够为具有不同特性和任务的飞机提供一致的强度水平。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7-55. A commenter recommends that discrete gusts with varying gradient distances be added as a supplement to Appendix G to Part 25. The FAA disagrees because past experience with the use of discrete gusts with varying gust gradient distances has indicated that knowledge with regard to how gust intensity varies with gust gradient distance is not currently available to the designer. The research and development accomplished in the area of dynamic response to continuous turbulence has indicated that the continuous turbulence criteria of Appendix G to Part 25 is the most rational approach currently available which give consistent strength levels for airplanes of different characteristics and missions.</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一名评论者建议修订附录 G 的 (a) 段，以删除基于阵风的垂直和水平分量考虑组合应力的要求。该评论者表示，目前将仅涉及纯垂直或水平阵风分量的阵风计算所产生的均方根应力（剪切力、弯矩和扭矩）进行组合的实践，是一种现实且实用的应力组合方法。该评论者主张，在当前的技术水平下，能够现实地组合涉及垂直和水平阵风分量的统计载荷量的方法尚未得到令人满意的开发。经过进一步审查，美国联邦航空局（FAA）表示同意。附录 G 的 (a) 段已修订，删除了考虑由垂直和水平阵风分量产生的组合应力的要求。</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(a) of Appendix G be revised to delete the requirement for considering combined stresses based on both vertical and lateral components of turbulence. The commenter states that the current practice of combining root-mean-square stresses (shear, moment, and torsion) resulting from gust calculations involving only purely vertical or lateral components of turbulence is a realistic, practical method for combining stress. The commenter contends that the methods for realistically combining statistical load quantities involving both vertical and lateral components of turbulence have not been satisfactorily developed in the current state of the art. After further review the FAA agrees. Paragraph (a) of Appendix G is revised to delete the requirement for considering the combined stresses resulting from the vertical and lateral components of turbulence.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一名评论者建议将附录 G 的 §(b)(3)(i) 段修订为：要求在 0 至 20,000 ft. 高度区间内的阵风强度为 U= 75 fps 阵风速度，并线性降低至 80,000 ft. 高度时的 30 fps。对于特性与先前设计相似且已被证明能够满足所建议的较低阵风强度水平的新飞机，该建议将消除为了证明其载荷水平低于满足 85 fps 设计包线阵风强度系数的要求而进行任务分析的必要性。对于在响应特性和基本任务剖面方面与现有飞机相似的新飞机，如果它们是按照已被证明适用于现有设计的阵风强度进行设计的，那么在没有技术必要的情况下，无需为了确定其在遭遇连续湍流所产生载荷方面的充分性而进行广泛的任务分析计算。</w:t>
        <w:br/>
        <w:t>因此，只要新设计与具有广泛满意运行经验的类似设计具有可比性，在 0 到 20,000 ft. 高度使用 75 fps 的阵风强度值，并在 20,000 ft. 的 75 fps 到 80,000 ft. 的 30 fps 之间进行线性递减是可接受的。这些标准在美国联邦航空局（FAA）与工业界之间已讨论超过 10 年，现被提议作为新规章而非现有规章的可接受符合手段。§(b)(3)(i) 段据此修订。评论者还建议修订 §(d)(1) 段，要求在 0 到 20,000 ft. 内部高度的阵风强度为 U = 60 fps，并线性递减至 80,000 ft. 高度的 23 fps。美国联邦航空局（FAA）不赞同。§(d)(1) 段中的阵风强度基于阵风强度随高度分布的情况，该分布是在开发连续湍流标准的各项基础研究中制定的，因此，被认为作为任务分析的较低设计包络极限是合理的。</w:t>
        <w:br/>
        <w:t>评论者提供了一项成本分析以证明较低阵风强度的合理性，但美国联邦航空局（FAA）认为该成本分析仅基于“设计包线分析”。作为 §(b) 段替代方案的 §(c) 段规定了“任务分析”。实际经验表明，考虑飞机运行特性的“任务分析”在过去已被用于替代 85 fps 强度，以避免重量和成本损失。附录 G 的 §(c) 段和 §(d) 段在没有实质性变更的情况下被采纳。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(b)(3)(i) of Appendix G be revised to require a gust intensity of U= 75 fps gust velocity in the interval 0 to 20,000 ft. altitude with a linear decrease to 30 fps at 80,000 ft. altitude. This recommendation would obviate the need to do mission analysis to justify lower levels of loads than those required to meet the design envelope gust intensity factor of 85 fps for new airplanes whose characteristics are similar to previous designs which have been shown to be adequate for the lower level of gust intensity being proposed. There is no technical need for new aircraft which are similar to existing aircraft with regard to response characteristics and basic mission profiles to make extensive mission analysis computations in order to establish their adequacy with regard to loads resulting from encounters with continuous turbulence if they are designed for the gust intensity shown to be adequate for the existing design. Therefore, it is acceptable to use a gust intensity value of 75 fps from 0 to 20,000 ft. altitude, and a linear reduction from 75 fps at 20,000 ft. to 30 fps at 80,000 ft., provided the new design is comparable to a similar design with extensive satisfactory service experience. These criteria, which have been under discussion between FAA and industry for over 10 years, are proposed as new rules rather than acceptable means of complying with existing rules. Paragraph (b)(3)(i) is revised accordingly. The commenter also recommends that paragraph (d)(1) be revised to require a gust intensity of U = 60 fps on the internal 0 to 20,000 ft. altitude and be linearly decreased to 23 fps at 80,000 ft. altitude. The FAA disagrees. The gust intensities in paragraph (d)(1) are based on the distribution of gust intensity with altitude which were developed in the basic research for the development of continuous turbulence criteria and are, therefore, considered reasonable as a lower design envelope limit for mission analysis. A cost analysis was provided by the commenter to justify the lower gust intensities, but the FAA finds that this cost analysis was based on "design envelope analysis" alone. Paragraph (c), which is an alternative to paragraph (b), provides for a "mission analysis". Actual experience has shown that "mission analysis," which considers airplane operational characteristics, has been used in the past in lieu of the 85 fps intensities to prevent weight and cost penalties. Paragraphs (c) and (d) of Appendix G are adopted without substantive change.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一名评论者建议修订附录 G 的 (d) 段，删除对“破损安全载荷”的引用，因为附录 G 中未提供此类载荷。美国联邦航空局（FAA）同意。附录 G 的 (d) 段据此进行了修订。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paragraph (d) of Appendix G be revised to delete the reference to "fail-safe loads" since such loads are not provided in Appendix G. The FAA agrees. Paragraph (d) of Appendix G is revised accordingly.</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一名评论者建议删除附录 G 中拟议的 (e) 段，因为在当前的常规飞机上，在飞行员位置测得的加速度水平可以通过飞行演示建立，这比使用考虑连续湍流响应的高昂分析方法要容易得多且成本更低。经过进一步审查，美国联邦航空局（FAA）认定，其缺乏足够的信息来指定分析与飞行试验的正确组合，以确定连续湍流期间飞行员位置的加速度水平。因此，附录 G 中拟议的 (e) 段被撤回。当前与湍流运行相关的要求足以确定连续湍流期间飞行员位置的响应。</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 commenter recommends that proposed paragraph (e) of Appendix G be deleted since acceleration levels measured at the pilot station on current conventional aircraft can be established by flight demonstration much more easily and with less cost than by use of an expensive analysis considering response to continuous turbulence. Upon further review, the FAA has determined that it lacks sufficient information to specify the right combination of analysis and flight test to determine the acceleration levels at the pilot's station during continuous turbulence. Accordingly, proposed paragraph (e) of Appendix G is withdrawn. The current requirements related to operation in turbulence are adequate to determine the response at the pilot's station during continuous turbulence.</w:t>
      </w:r>
    </w:p>
    <w:p>
      <w:pPr>
        <w:spacing w:before="80" w:after="20" w:line="324" w:lineRule="auto"/>
        <w:ind w:left="510"/>
      </w:pPr>
      <w:r>
        <w:rPr>
          <w:rFonts w:ascii="Calibri" w:hAnsi="Calibri" w:eastAsia="微软雅黑"/>
          <w:b w:val="0"/>
          <w:i w:val="0"/>
          <w:color w:val="999999"/>
          <w:sz w:val="17"/>
        </w:rPr>
        <w:t>来源：Final Rule｜45 FR 60154｜FinalRule_Docket 14779_Docket14779_ 14324_Amdt21-51_23-26_25-54_27_45FR60154_1980-09-11.txt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提案 8-62。关于在第 25 部中增加新附录 G 的提案相关评论，请参阅提案 8-25。第 25 部的附录 G（重新指定为附录 H）在采用了提案 8-25 中讨论的修订后予以通过。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8-62. For comments related to the proposal to add a new Appendix G to Part 25, see Proposal 8-25. Appendix G (redesignated Appendix H) to Part 25 is adopted with the changes discussed in Proposal 8-25.</w:t>
      </w:r>
    </w:p>
    <w:p>
      <w:pPr>
        <w:pStyle w:val="Heading3"/>
        <w:keepNext/>
        <w:spacing w:before="200" w:after="100"/>
      </w:pPr>
      <w:r>
        <w:rPr>
          <w:rFonts w:ascii="Calibri" w:hAnsi="Calibri" w:eastAsia="微软雅黑"/>
          <w:b/>
          <w:i w:val="0"/>
          <w:color w:val="404040"/>
          <w:sz w:val="24"/>
        </w:rPr>
        <w:t>2.2　Amdt 23-37（1990-08-18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79-2，1979-01-11 签发；Notice 79-2A，1981-07-27 签发；Notice 79-2B，1981-12-07 签发；Notice 79-2C，1984-12-13 签发　提出；最终规章 Docket 18334，1989-08-07 签发，1990-08-18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pStyle w:val="Heading2"/>
        <w:keepNext/>
        <w:spacing w:before="240" w:after="120"/>
      </w:pPr>
      <w:r>
        <w:rPr>
          <w:rFonts w:ascii="Calibri" w:hAnsi="Calibri" w:eastAsia="微软雅黑"/>
          <w:b/>
          <w:i w:val="0"/>
          <w:color w:val="2E74B5"/>
          <w:sz w:val="27"/>
        </w:rPr>
        <w:t>3　§G23.4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2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§G23.4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nt distance is not currently available to the designer. The research and development accomplished in the area of dynamic response to continuous turbulence has indicated that the continuous turbulence criteria of Appendix…</w:t>
            </w:r>
          </w:p>
        </w:tc>
        <w:tc>
          <w:tcPr>
            <w:tcW w:type="dxa" w:w="1928"/>
          </w:tcPr>
          <w:p>
            <w:pPr>
              <w:spacing w:before="40" w:after="40" w:line="324" w:lineRule="auto"/>
            </w:pPr>
            <w:r/>
            <w:r>
              <w:rPr>
                <w:rFonts w:ascii="Calibri" w:hAnsi="Calibri" w:eastAsia="微软雅黑"/>
                <w:b w:val="0"/>
                <w:i w:val="0"/>
                <w:color w:val="1A1A1A"/>
                <w:sz w:val="17"/>
              </w:rPr>
              <w:t>初始版</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23-26, Amdt 23-37。</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14779</w:t>
            </w:r>
          </w:p>
        </w:tc>
        <w:tc>
          <w:tcPr>
            <w:tcW w:type="dxa" w:w="2381"/>
          </w:tcPr>
          <w:p>
            <w:pPr>
              <w:spacing w:before="40" w:after="40" w:line="324" w:lineRule="auto"/>
            </w:pPr>
            <w:r/>
            <w:r>
              <w:rPr>
                <w:rFonts w:ascii="Calibri" w:hAnsi="Calibri" w:eastAsia="微软雅黑"/>
                <w:b w:val="0"/>
                <w:i w:val="0"/>
                <w:color w:val="1A1A1A"/>
                <w:sz w:val="16"/>
              </w:rPr>
              <w:t>45 FR 60154</w:t>
            </w:r>
          </w:p>
        </w:tc>
        <w:tc>
          <w:tcPr>
            <w:tcW w:type="dxa" w:w="2948"/>
          </w:tcPr>
          <w:p>
            <w:pPr>
              <w:spacing w:before="40" w:after="40" w:line="324" w:lineRule="auto"/>
            </w:pPr>
            <w:r/>
            <w:r>
              <w:rPr>
                <w:rFonts w:ascii="Calibri" w:hAnsi="Calibri" w:eastAsia="微软雅黑"/>
                <w:b w:val="0"/>
                <w:i w:val="0"/>
                <w:color w:val="1A1A1A"/>
                <w:sz w:val="16"/>
              </w:rPr>
              <w:t>FinalRule_Docket 14779_Docket14779_ 14324_Amdt21-51_23-26_25-54_27_45FR60154_1980-09-11.txt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14779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7750</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14779_ 14324_Amdt23-25_25-51_27-17_29_45FR7750_1980-02-04_0002.txt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5785</w:t>
            </w:r>
          </w:p>
        </w:tc>
        <w:tc>
          <w:tcPr>
            <w:tcW w:type="dxa" w:w="2948"/>
          </w:tcPr>
          <w:p>
            <w:pPr>
              <w:spacing w:before="40" w:after="40" w:line="324" w:lineRule="auto"/>
            </w:pPr>
            <w:r/>
            <w:r>
              <w:rPr>
                <w:rFonts w:ascii="Calibri" w:hAnsi="Calibri" w:eastAsia="微软雅黑"/>
                <w:b w:val="0"/>
                <w:i w:val="0"/>
                <w:color w:val="1A1A1A"/>
                <w:sz w:val="16"/>
              </w:rPr>
              <w:t>NPRM_Notice 74-5_Docket13542_39FR5785_1974-02-15.txt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18663</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74-5A_Docket13542_39FR18663_1974-05-29.txt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39 FR 41319</w:t>
            </w:r>
          </w:p>
        </w:tc>
        <w:tc>
          <w:tcPr>
            <w:tcW w:type="dxa" w:w="2948"/>
          </w:tcPr>
          <w:p>
            <w:pPr>
              <w:spacing w:before="40" w:after="40" w:line="324" w:lineRule="auto"/>
            </w:pPr>
            <w:r/>
            <w:r>
              <w:rPr>
                <w:rFonts w:ascii="Calibri" w:hAnsi="Calibri" w:eastAsia="微软雅黑"/>
                <w:b w:val="0"/>
                <w:i w:val="0"/>
                <w:color w:val="1A1A1A"/>
                <w:sz w:val="16"/>
              </w:rPr>
              <w:t>NPRM_Notice 74-5C_Docket13542_39FR41319_1974-11-26.txt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74-5 / Docket 13542</w:t>
            </w:r>
          </w:p>
        </w:tc>
        <w:tc>
          <w:tcPr>
            <w:tcW w:type="dxa" w:w="2381"/>
            <w:shd w:val="clear" w:color="auto" w:fill="F7F9FC"/>
          </w:tcPr>
          <w:p>
            <w:pPr>
              <w:spacing w:before="40" w:after="40" w:line="324" w:lineRule="auto"/>
            </w:pPr>
            <w:r/>
            <w:r>
              <w:rPr>
                <w:rFonts w:ascii="Calibri" w:hAnsi="Calibri" w:eastAsia="微软雅黑"/>
                <w:b w:val="0"/>
                <w:i w:val="0"/>
                <w:color w:val="1A1A1A"/>
                <w:sz w:val="16"/>
              </w:rPr>
              <w:t>40 FR 5810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74-5D_Docket13542_40FR5810_1975-02-07.txt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74-5 / Docket 13542</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74-5B_Docket13542_1974-10-11.txt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18334</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18334_Amdt1-36_21-66_23-37_25-_1989-08-18_0004.txt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79-2 / Docket 18334</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NPRM_Notice 79-2A_Docket18334_1981-09-10.txt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§G23.4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23-26</w:t>
            </w:r>
          </w:p>
        </w:tc>
        <w:tc>
          <w:tcPr>
            <w:tcW w:type="dxa" w:w="1701"/>
          </w:tcPr>
          <w:p>
            <w:pPr>
              <w:spacing w:before="40" w:after="40" w:line="324" w:lineRule="auto"/>
            </w:pPr>
            <w:r/>
            <w:r>
              <w:rPr>
                <w:rFonts w:ascii="Calibri" w:hAnsi="Calibri" w:eastAsia="微软雅黑"/>
                <w:b w:val="0"/>
                <w:i w:val="0"/>
                <w:color w:val="1A1A1A"/>
                <w:sz w:val="17"/>
              </w:rPr>
              <w:t>1980-10-14</w:t>
            </w:r>
          </w:p>
        </w:tc>
        <w:tc>
          <w:tcPr>
            <w:tcW w:type="dxa" w:w="6350"/>
          </w:tcPr>
          <w:p>
            <w:pPr>
              <w:spacing w:before="40" w:after="40" w:line="324" w:lineRule="auto"/>
            </w:pPr>
            <w:r/>
            <w:r>
              <w:rPr>
                <w:rFonts w:ascii="Calibri" w:hAnsi="Calibri" w:eastAsia="微软雅黑"/>
                <w:b w:val="0"/>
                <w:i w:val="0"/>
                <w:color w:val="1A1A1A"/>
                <w:sz w:val="17"/>
              </w:rPr>
              <w:t>eafcc960-7c21-4801-9998-cb9f4769f7c0</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23-37</w:t>
            </w:r>
          </w:p>
        </w:tc>
        <w:tc>
          <w:tcPr>
            <w:tcW w:type="dxa" w:w="1701"/>
            <w:shd w:val="clear" w:color="auto" w:fill="F7F9FC"/>
          </w:tcPr>
          <w:p>
            <w:pPr>
              <w:spacing w:before="40" w:after="40" w:line="324" w:lineRule="auto"/>
            </w:pPr>
            <w:r/>
            <w:r>
              <w:rPr>
                <w:rFonts w:ascii="Calibri" w:hAnsi="Calibri" w:eastAsia="微软雅黑"/>
                <w:b w:val="0"/>
                <w:i w:val="0"/>
                <w:color w:val="1A1A1A"/>
                <w:sz w:val="17"/>
              </w:rPr>
              <w:t>1990-08-18</w:t>
            </w:r>
          </w:p>
        </w:tc>
        <w:tc>
          <w:tcPr>
            <w:tcW w:type="dxa" w:w="6350"/>
            <w:shd w:val="clear" w:color="auto" w:fill="F7F9FC"/>
          </w:tcPr>
          <w:p>
            <w:pPr>
              <w:spacing w:before="40" w:after="40" w:line="324" w:lineRule="auto"/>
            </w:pPr>
            <w:r/>
            <w:r>
              <w:rPr>
                <w:rFonts w:ascii="Calibri" w:hAnsi="Calibri" w:eastAsia="微软雅黑"/>
                <w:b w:val="0"/>
                <w:i w:val="0"/>
                <w:color w:val="1A1A1A"/>
                <w:sz w:val="17"/>
              </w:rPr>
              <w:t>c3d550e8-2ede-42e4-9ebe-49e6b578a750</w:t>
            </w:r>
          </w:p>
        </w:tc>
      </w:tr>
    </w:tbl>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b w:val="0"/>
        <w:i w:val="0"/>
        <w:color w:val="808080"/>
        <w:sz w:val="17"/>
      </w:rPr>
      <w:t xml:space="preserve">14 CFR Part 23 条款修订历史与背景分析　|　第 </w:t>
    </w:r>
    <w:r>
      <w:rPr>
        <w:rFonts w:ascii="Calibri" w:hAnsi="Calibri" w:eastAsia="微软雅黑"/>
        <w:b w:val="0"/>
        <w:i w:val="0"/>
        <w:color w:val="808080"/>
        <w:sz w:val="17"/>
      </w:rPr>
      <w:fldChar w:fldCharType="begin"/>
      <w:instrText xml:space="preserve">PAGE</w:instrText>
      <w:fldChar w:fldCharType="end"/>
    </w:r>
    <w:r>
      <w:rPr>
        <w:rFonts w:ascii="Calibri" w:hAnsi="Calibri" w:eastAsia="微软雅黑"/>
        <w:b w:val="0"/>
        <w:i w:val="0"/>
        <w:color w:val="808080"/>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88" w:lineRule="auto"/>
      <w:outlineLvl w:val="0"/>
    </w:pPr>
    <w:rPr>
      <w:rFonts w:asciiTheme="majorHAnsi" w:eastAsiaTheme="majorEastAsia" w:hAnsiTheme="majorHAnsi" w:cstheme="majorBidi" w:ascii="Calibri" w:hAnsi="Calibri" w:eastAsia="微软雅黑"/>
      <w:b/>
      <w:bCs/>
      <w:i w:val="0"/>
      <w:color w:val="1F4E79"/>
      <w:sz w:val="32"/>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288" w:lineRule="auto"/>
      <w:outlineLvl w:val="1"/>
    </w:pPr>
    <w:rPr>
      <w:rFonts w:asciiTheme="majorHAnsi" w:eastAsiaTheme="majorEastAsia" w:hAnsiTheme="majorHAnsi" w:cstheme="majorBidi" w:ascii="Calibri" w:hAnsi="Calibri" w:eastAsia="微软雅黑"/>
      <w:b/>
      <w:bCs/>
      <w:i w:val="0"/>
      <w:color w:val="2E74B5"/>
      <w:sz w:val="27"/>
      <w:szCs w:val="26"/>
      <w:u w:val="none"/>
    </w:rPr>
  </w:style>
  <w:style w:type="paragraph" w:styleId="Heading3">
    <w:name w:val="heading 3"/>
    <w:basedOn w:val="Normal"/>
    <w:next w:val="Normal"/>
    <w:link w:val="Heading3Char"/>
    <w:uiPriority w:val="9"/>
    <w:unhideWhenUsed/>
    <w:qFormat/>
    <w:rsid w:val="00FC693F"/>
    <w:pPr>
      <w:keepNext/>
      <w:keepLines/>
      <w:spacing w:before="200" w:after="100" w:line="288" w:lineRule="auto"/>
      <w:outlineLvl w:val="2"/>
    </w:pPr>
    <w:rPr>
      <w:rFonts w:asciiTheme="majorHAnsi" w:eastAsiaTheme="majorEastAsia" w:hAnsiTheme="majorHAnsi" w:cstheme="majorBidi" w:ascii="Calibri" w:hAnsi="Calibri" w:eastAsia="微软雅黑"/>
      <w:b/>
      <w:bCs/>
      <w:i w:val="0"/>
      <w:color w:val="404040"/>
      <w:sz w:val="24"/>
      <w:u w:val="none"/>
    </w:rPr>
  </w:style>
  <w:style w:type="paragraph" w:styleId="Heading4">
    <w:name w:val="heading 4"/>
    <w:basedOn w:val="Normal"/>
    <w:next w:val="Normal"/>
    <w:link w:val="Heading4Char"/>
    <w:uiPriority w:val="9"/>
    <w:semiHidden/>
    <w:unhideWhenUsed/>
    <w:qFormat/>
    <w:rsid w:val="00FC693F"/>
    <w:pPr>
      <w:keepNext/>
      <w:keepLines/>
      <w:spacing w:before="160" w:after="80" w:line="288" w:lineRule="auto"/>
      <w:outlineLvl w:val="3"/>
    </w:pPr>
    <w:rPr>
      <w:rFonts w:asciiTheme="majorHAnsi" w:eastAsiaTheme="majorEastAsia" w:hAnsiTheme="majorHAnsi" w:cstheme="majorBidi" w:ascii="Calibri" w:hAnsi="Calibri" w:eastAsia="微软雅黑"/>
      <w:b/>
      <w:bCs/>
      <w:i w:val="0"/>
      <w:iCs/>
      <w:color w:val="595959"/>
      <w:sz w:val="22"/>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