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F7F2F"/>
          <w:sz w:val="30"/>
        </w:rPr>
        <w:t>Earth Endowment Observatory</w:t>
      </w:r>
    </w:p>
    <w:p>
      <w:pPr>
        <w:jc w:val="center"/>
      </w:pPr>
      <w:r>
        <w:rPr>
          <w:b/>
          <w:color w:val="123626"/>
          <w:sz w:val="52"/>
        </w:rPr>
        <w:t>Human Capability, Labor, Stewardship, and Relationship Layer</w:t>
      </w:r>
    </w:p>
    <w:p>
      <w:pPr>
        <w:jc w:val="center"/>
      </w:pPr>
      <w:r>
        <w:rPr>
          <w:color w:val="596063"/>
          <w:sz w:val="28"/>
        </w:rPr>
        <w:t>Reference Doctrine and Systems Addendum</w:t>
      </w:r>
    </w:p>
    <w:p>
      <w:pPr>
        <w:jc w:val="center"/>
      </w:pPr>
      <w:r>
        <w:rPr>
          <w:i/>
          <w:color w:val="123626"/>
          <w:sz w:val="24"/>
        </w:rPr>
        <w:t>From Earth to economy, made visible.</w:t>
      </w:r>
    </w:p>
    <w:p>
      <w:pPr>
        <w:spacing w:after="200"/>
        <w:pBdr>
          <w:bottom w:val="single" w:sz="8" w:space="1" w:color="C1A45D"/>
        </w:pBdr>
      </w:pPr>
    </w:p>
    <w:tbl>
      <w:tblPr>
        <w:tblStyle w:val="TableGrid"/>
        <w:tblW w:type="auto" w:w="0"/>
        <w:jc w:val="center"/>
        <w:tblLook w:firstColumn="1" w:firstRow="1" w:lastColumn="0" w:lastRow="0" w:noHBand="0" w:noVBand="1" w:val="04A0"/>
      </w:tblPr>
      <w:tblGrid>
        <w:gridCol w:w="5184"/>
        <w:gridCol w:w="5184"/>
      </w:tblGrid>
      <w:tr>
        <w:tc>
          <w:tcPr>
            <w:tcW w:type="dxa" w:w="2016"/>
            <w:shd w:fill="F8F1E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8"/>
              </w:rPr>
              <w:t>Field</w:t>
            </w:r>
          </w:p>
        </w:tc>
        <w:tc>
          <w:tcPr>
            <w:tcW w:type="dxa" w:w="7776"/>
            <w:shd w:fill="F8F1E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8"/>
              </w:rPr>
              <w:t>Value</w:t>
            </w:r>
          </w:p>
        </w:tc>
      </w:tr>
      <w:tr>
        <w:tc>
          <w:tcPr>
            <w:tcW w:type="dxa" w:w="201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Status</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Reference draft for doctrine, product, data model, safeguards, and public communication.</w:t>
            </w:r>
          </w:p>
        </w:tc>
      </w:tr>
      <w:tr>
        <w:tc>
          <w:tcPr>
            <w:tcW w:type="dxa" w:w="201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Prepared for</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Earth Endowment Observatory institutional and product development.</w:t>
            </w:r>
          </w:p>
        </w:tc>
      </w:tr>
      <w:tr>
        <w:tc>
          <w:tcPr>
            <w:tcW w:type="dxa" w:w="201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Date</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April 29, 2026</w:t>
            </w:r>
          </w:p>
        </w:tc>
      </w:tr>
      <w:tr>
        <w:tc>
          <w:tcPr>
            <w:tcW w:type="dxa" w:w="201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Use</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8"/>
              </w:rPr>
              <w:t>Insert as a constitutional and technical reference after the Earth Endowments ontology section.</w:t>
            </w:r>
          </w:p>
        </w:tc>
      </w:tr>
    </w:tbl>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Reference thesis</w:t>
            </w:r>
          </w:p>
          <w:p>
            <w:pPr>
              <w:spacing w:after="0"/>
            </w:pPr>
            <w:r>
              <w:rPr>
                <w:rFonts w:ascii="Aptos" w:hAnsi="Aptos"/>
                <w:i/>
                <w:sz w:val="20"/>
              </w:rPr>
              <w:t>Earth's endowments are the inheritance. Human capability is the means of transformation. Human dignity is the constraint. Public capability is the return. Ecological regeneration is the test. Future life is the auditor.</w:t>
            </w:r>
          </w:p>
        </w:tc>
      </w:tr>
    </w:tbl>
    <w:p/>
    <w:p>
      <w:r>
        <w:br w:type="page"/>
      </w:r>
    </w:p>
    <w:p>
      <w:pPr>
        <w:pStyle w:val="Heading1"/>
      </w:pPr>
      <w:r>
        <w:rPr>
          <w:rFonts w:ascii="Aptos Display" w:hAnsi="Aptos Display"/>
          <w:color w:val="123626"/>
        </w:rPr>
        <w:t>Contents</w:t>
      </w:r>
    </w:p>
    <w:p>
      <w:pPr>
        <w:pStyle w:val="ListBullet"/>
        <w:spacing w:after="60"/>
      </w:pPr>
      <w:r>
        <w:t>1. Executive reference summary</w:t>
      </w:r>
    </w:p>
    <w:p>
      <w:pPr>
        <w:pStyle w:val="ListBullet"/>
        <w:spacing w:after="60"/>
      </w:pPr>
      <w:r>
        <w:t>2. Canonical answer: where humans sit in the system</w:t>
      </w:r>
    </w:p>
    <w:p>
      <w:pPr>
        <w:pStyle w:val="ListBullet"/>
        <w:spacing w:after="60"/>
      </w:pPr>
      <w:r>
        <w:t>3. Governing doctrine: humans are not endowments</w:t>
      </w:r>
    </w:p>
    <w:p>
      <w:pPr>
        <w:pStyle w:val="ListBullet"/>
        <w:spacing w:after="60"/>
      </w:pPr>
      <w:r>
        <w:t>4. The human layer in the EEO architecture</w:t>
      </w:r>
    </w:p>
    <w:p>
      <w:pPr>
        <w:pStyle w:val="ListBullet"/>
        <w:spacing w:after="60"/>
      </w:pPr>
      <w:r>
        <w:t>5. Human capability, talent distribution, and safeguards</w:t>
      </w:r>
    </w:p>
    <w:p>
      <w:pPr>
        <w:pStyle w:val="ListBullet"/>
        <w:spacing w:after="60"/>
      </w:pPr>
      <w:r>
        <w:t>6. Ingenuity and distributed intelligence</w:t>
      </w:r>
    </w:p>
    <w:p>
      <w:pPr>
        <w:pStyle w:val="ListBullet"/>
        <w:spacing w:after="60"/>
      </w:pPr>
      <w:r>
        <w:t>7. Labor as deployed capability under power</w:t>
      </w:r>
    </w:p>
    <w:p>
      <w:pPr>
        <w:pStyle w:val="ListBullet"/>
        <w:spacing w:after="60"/>
      </w:pPr>
      <w:r>
        <w:t>8. Ecological and biocultural relationship</w:t>
      </w:r>
    </w:p>
    <w:p>
      <w:pPr>
        <w:pStyle w:val="ListBullet"/>
        <w:spacing w:after="60"/>
      </w:pPr>
      <w:r>
        <w:t>9. Revised theory of value</w:t>
      </w:r>
    </w:p>
    <w:p>
      <w:pPr>
        <w:pStyle w:val="ListBullet"/>
        <w:spacing w:after="60"/>
      </w:pPr>
      <w:r>
        <w:t>10. Public product implications</w:t>
      </w:r>
    </w:p>
    <w:p>
      <w:pPr>
        <w:pStyle w:val="ListBullet"/>
        <w:spacing w:after="60"/>
      </w:pPr>
      <w:r>
        <w:t>11. Data model and database extensions</w:t>
      </w:r>
    </w:p>
    <w:p>
      <w:pPr>
        <w:pStyle w:val="ListBullet"/>
        <w:spacing w:after="60"/>
      </w:pPr>
      <w:r>
        <w:t>12. Evidence, disclosure, and review rules</w:t>
      </w:r>
    </w:p>
    <w:p>
      <w:pPr>
        <w:pStyle w:val="ListBullet"/>
        <w:spacing w:after="60"/>
      </w:pPr>
      <w:r>
        <w:t>13. Constitutional red lines</w:t>
      </w:r>
    </w:p>
    <w:p>
      <w:pPr>
        <w:pStyle w:val="ListBullet"/>
        <w:spacing w:after="60"/>
      </w:pPr>
      <w:r>
        <w:t>14. Public communication guide</w:t>
      </w:r>
    </w:p>
    <w:p>
      <w:pPr>
        <w:pStyle w:val="ListBullet"/>
        <w:spacing w:after="60"/>
      </w:pPr>
      <w:r>
        <w:t>15. Implementation sequence</w:t>
      </w:r>
    </w:p>
    <w:p>
      <w:pPr>
        <w:pStyle w:val="ListBullet"/>
        <w:spacing w:after="60"/>
      </w:pPr>
      <w:r>
        <w:t>Appendices: competency stack, insertion clauses, glossary, and source basis</w:t>
      </w:r>
    </w:p>
    <w:p>
      <w:r>
        <w:br w:type="page"/>
      </w:r>
    </w:p>
    <w:p>
      <w:pPr>
        <w:pStyle w:val="Heading1"/>
      </w:pPr>
      <w:r>
        <w:rPr>
          <w:rFonts w:ascii="Aptos Display" w:hAnsi="Aptos Display"/>
          <w:color w:val="123626"/>
        </w:rPr>
        <w:t>1. Executive Reference Summary</w:t>
      </w:r>
    </w:p>
    <w:p>
      <w:pPr>
        <w:spacing w:after="120" w:line="259" w:lineRule="auto"/>
      </w:pPr>
      <w:r>
        <w:t>This reference document answers one architectural question for the Earth Endowment Observatory: where do humans sit in a system designed to make Earth's endowments visible from biophysical existence to economic transformation, public benefit, and future inheritance?</w:t>
      </w:r>
    </w:p>
    <w:p>
      <w:pPr>
        <w:spacing w:after="120" w:line="259" w:lineRule="auto"/>
      </w:pPr>
      <w:r>
        <w:t>The answer must be morally serious and technically usable: humans do not belong in the ontology as natural resources, assets, or commodities. Human beings are rights-bearing agents in relation to endowments. They govern, know, transform, protect, exploit, repair, suffer from, and inherit endowment systems.</w:t>
      </w:r>
    </w:p>
    <w:p>
      <w:pPr>
        <w:spacing w:after="120" w:line="259" w:lineRule="auto"/>
      </w:pPr>
      <w:r>
        <w:t>The human layer should therefore be a cross-cutting layer in the Observatory: Human Capability, Labor, Stewardship, and Relationship. It should connect talent, knowledge, work, innovation, ecological relation, governance agency, harm exposure, public benefit, and intergenerational capability without creating human surveillance, talent ranking, or labor exploitation tools.</w:t>
      </w:r>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Core question</w:t>
            </w:r>
          </w:p>
          <w:p>
            <w:pPr>
              <w:spacing w:after="0"/>
            </w:pPr>
            <w:r>
              <w:rPr>
                <w:rFonts w:ascii="Aptos" w:hAnsi="Aptos"/>
                <w:i/>
                <w:sz w:val="20"/>
              </w:rPr>
              <w:t>The Observatory should not ask only: what does Earth contain, and who profits? It should ask: how do Earth systems and human capabilities co-produce value, who governs that transformation, who is strengthened by it, who is diminished by it, and whether the relationship leaves people and planet more capable of life.</w:t>
            </w:r>
          </w:p>
        </w:tc>
      </w:tr>
    </w:tbl>
    <w:p/>
    <w:p>
      <w:pPr>
        <w:pStyle w:val="Heading2"/>
      </w:pPr>
      <w:r>
        <w:rPr>
          <w:rFonts w:ascii="Aptos Display" w:hAnsi="Aptos Display"/>
          <w:color w:val="123626"/>
        </w:rPr>
        <w:t>Reference conclusions</w:t>
      </w:r>
    </w:p>
    <w:p>
      <w:pPr>
        <w:pStyle w:val="ListBullet"/>
        <w:spacing w:after="60"/>
      </w:pPr>
      <w:r>
        <w:rPr>
          <w:b/>
        </w:rPr>
        <w:t>Humans are not endowments.</w:t>
      </w:r>
      <w:r>
        <w:t xml:space="preserve"> They are rights-bearing, knowledge-bearing, laboring, creative, governing, ecological, cultural, and intergenerational agents.</w:t>
      </w:r>
    </w:p>
    <w:p>
      <w:pPr>
        <w:pStyle w:val="ListBullet"/>
        <w:spacing w:after="60"/>
      </w:pPr>
      <w:r>
        <w:rPr>
          <w:b/>
        </w:rPr>
        <w:t>Talent should be treated as capability.</w:t>
      </w:r>
      <w:r>
        <w:t xml:space="preserve"> EEO may study capability distribution, skill ecology, institutional capacity, and ecological knowledge, but must never create individual talent scores or maps of exploitable labor supply.</w:t>
      </w:r>
    </w:p>
    <w:p>
      <w:pPr>
        <w:pStyle w:val="ListBullet"/>
        <w:spacing w:after="60"/>
      </w:pPr>
      <w:r>
        <w:rPr>
          <w:b/>
        </w:rPr>
        <w:t>Labor is deployed capability under power.</w:t>
      </w:r>
      <w:r>
        <w:t xml:space="preserve"> Labor indicators must include wages, safety, coercion risk, purchasing power, worker voice, informality, bargaining power, and harm exposure.</w:t>
      </w:r>
    </w:p>
    <w:p>
      <w:pPr>
        <w:pStyle w:val="ListBullet"/>
        <w:spacing w:after="60"/>
      </w:pPr>
      <w:r>
        <w:rPr>
          <w:b/>
        </w:rPr>
        <w:t>Ingenuity is distributed intelligence.</w:t>
      </w:r>
      <w:r>
        <w:t xml:space="preserve"> It includes formal science and engineering, but also repair cultures, farmer experimentation, artisanal skill, indigenous ecological science, and institutional invention.</w:t>
      </w:r>
    </w:p>
    <w:p>
      <w:pPr>
        <w:pStyle w:val="ListBullet"/>
        <w:spacing w:after="60"/>
      </w:pPr>
      <w:r>
        <w:rPr>
          <w:b/>
        </w:rPr>
        <w:t>Ecological connection is not sentimental.</w:t>
      </w:r>
      <w:r>
        <w:t xml:space="preserve"> It is a governable relation among people, place, knowledge, subsistence, stewardship, sacred obligations, risk, and repair.</w:t>
      </w:r>
    </w:p>
    <w:p>
      <w:pPr>
        <w:pStyle w:val="ListBullet"/>
        <w:spacing w:after="60"/>
      </w:pPr>
      <w:r>
        <w:rPr>
          <w:b/>
        </w:rPr>
        <w:t>The economy is not the destination.</w:t>
      </w:r>
      <w:r>
        <w:t xml:space="preserve"> The test is whether endowment use expands human capability, protects dignity, regenerates ecosystems, and preserves future inheritance.</w:t>
      </w:r>
    </w:p>
    <w:p>
      <w:pPr>
        <w:pStyle w:val="Heading1"/>
      </w:pPr>
      <w:r>
        <w:rPr>
          <w:rFonts w:ascii="Aptos Display" w:hAnsi="Aptos Display"/>
          <w:color w:val="123626"/>
        </w:rPr>
        <w:t>2. Canonical Answer: Where Humans Sit in the System</w:t>
      </w:r>
    </w:p>
    <w:p>
      <w:pPr>
        <w:spacing w:after="120" w:line="259" w:lineRule="auto"/>
      </w:pPr>
      <w:r>
        <w:t>The outsmarting move is not to place humans inside the system as another resource. Humans should be placed as the system's moral subject, creative engine, governing actor, ecological relation, laboring body, knowledge-bearer, beneficiary, victim, repairer, and future inheritor.</w:t>
      </w:r>
    </w:p>
    <w:p>
      <w:pPr>
        <w:spacing w:after="120" w:line="259" w:lineRule="auto"/>
      </w:pPr>
      <w:r>
        <w:t>EEO should not classify people as natural endowments. It should classify human systems relationally: capability, agency, labor, stewardship, harm, public benefit, and intergenerational inheritance.</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Earth endowments</w:t>
            </w:r>
            <w:r>
              <w:rPr>
                <w:rFonts w:ascii="Aptos" w:hAnsi="Aptos"/>
              </w:rPr>
              <w:br/>
            </w:r>
            <w:r>
              <w:rPr>
                <w:rFonts w:ascii="Consolas" w:hAnsi="Consolas"/>
                <w:sz w:val="17"/>
              </w:rPr>
              <w:t xml:space="preserve">  -&gt; human relationship, knowledge, labor, governance, technology</w:t>
            </w:r>
            <w:r>
              <w:rPr>
                <w:rFonts w:ascii="Aptos" w:hAnsi="Aptos"/>
              </w:rPr>
              <w:br/>
            </w:r>
            <w:r>
              <w:rPr>
                <w:rFonts w:ascii="Consolas" w:hAnsi="Consolas"/>
                <w:sz w:val="17"/>
              </w:rPr>
              <w:t xml:space="preserve">  -&gt; economic value, public revenue, private capture, ecological cost</w:t>
            </w:r>
            <w:r>
              <w:rPr>
                <w:rFonts w:ascii="Aptos" w:hAnsi="Aptos"/>
              </w:rPr>
              <w:br/>
            </w:r>
            <w:r>
              <w:rPr>
                <w:rFonts w:ascii="Consolas" w:hAnsi="Consolas"/>
                <w:sz w:val="17"/>
              </w:rPr>
              <w:t xml:space="preserve">  -&gt; human flourishing, harm, capability, inequality, repair</w:t>
            </w:r>
            <w:r>
              <w:rPr>
                <w:rFonts w:ascii="Aptos" w:hAnsi="Aptos"/>
              </w:rPr>
              <w:br/>
            </w:r>
            <w:r>
              <w:rPr>
                <w:rFonts w:ascii="Consolas" w:hAnsi="Consolas"/>
                <w:sz w:val="17"/>
              </w:rPr>
              <w:t xml:space="preserve">  -&gt; future Earth-system condition</w:t>
            </w:r>
          </w:p>
        </w:tc>
      </w:tr>
    </w:tbl>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Internal systems motto</w:t>
            </w:r>
          </w:p>
          <w:p>
            <w:pPr>
              <w:spacing w:after="0"/>
            </w:pPr>
            <w:r>
              <w:rPr>
                <w:rFonts w:ascii="Aptos" w:hAnsi="Aptos"/>
                <w:i/>
                <w:sz w:val="20"/>
              </w:rPr>
              <w:t>From Earth to capability, through economy, back to Earth.</w:t>
            </w:r>
          </w:p>
        </w:tc>
      </w:tr>
    </w:tbl>
    <w:p/>
    <w:p>
      <w:pPr>
        <w:spacing w:after="120" w:line="259" w:lineRule="auto"/>
      </w:pPr>
      <w:r>
        <w:t>The public motto can remain From Earth to economy, made visible. Internally, EEO should understand that the economy is not the final end. Economy is an intermediary system that can convert endowments into human capability, ecological repair, exploitation, public revenue, private capture, or future liability.</w:t>
      </w:r>
    </w:p>
    <w:p>
      <w:pPr>
        <w:pStyle w:val="Heading1"/>
      </w:pPr>
      <w:r>
        <w:rPr>
          <w:rFonts w:ascii="Aptos Display" w:hAnsi="Aptos Display"/>
          <w:color w:val="123626"/>
        </w:rPr>
        <w:t>3. Governing Doctrine: Humans Are Not Endowments</w:t>
      </w:r>
    </w:p>
    <w:p>
      <w:pPr>
        <w:spacing w:after="120" w:line="259" w:lineRule="auto"/>
      </w:pPr>
      <w:r>
        <w:t>A natural endowment is a biophysical stock, flow, function, potential, or life-supporting relation of Earth systems. Human beings are not in that category. Humans may hold knowledge, perform labor, govern territory, maintain ecological systems, invent technologies, steward land and water, suffer harms, and inherit outcomes; they are not themselves inventory.</w:t>
      </w:r>
    </w:p>
    <w:p>
      <w:pPr>
        <w:pStyle w:val="Heading2"/>
      </w:pPr>
      <w:r>
        <w:rPr>
          <w:rFonts w:ascii="Aptos Display" w:hAnsi="Aptos Display"/>
          <w:color w:val="123626"/>
        </w:rPr>
        <w:t>Canonical doctrine clause</w:t>
      </w:r>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Insert into EEO doctrine</w:t>
            </w:r>
          </w:p>
          <w:p>
            <w:pPr>
              <w:spacing w:after="0"/>
            </w:pPr>
            <w:r>
              <w:rPr>
                <w:rFonts w:ascii="Aptos" w:hAnsi="Aptos"/>
                <w:i/>
                <w:sz w:val="20"/>
              </w:rPr>
              <w:t>Human beings are not Earth endowments. Human beings are rights-bearing, knowledge-bearing, laboring, creative, governing, ecological, cultural, and intergenerational agents within endowment systems. Their talents, labor, ingenuity, institutions, ecological relationships, and care practices help transform endowments into value. Their dignity, rights, health, freedom, and future capability set the moral limits of that transformation.</w:t>
            </w:r>
          </w:p>
        </w:tc>
      </w:tr>
    </w:tbl>
    <w:p/>
    <w:p>
      <w:pPr>
        <w:pStyle w:val="Heading2"/>
      </w:pPr>
      <w:r>
        <w:rPr>
          <w:rFonts w:ascii="Aptos Display" w:hAnsi="Aptos Display"/>
          <w:color w:val="123626"/>
        </w:rPr>
        <w:t>Why this distinction matters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Risky framing</w:t>
            </w:r>
          </w:p>
        </w:tc>
        <w:tc>
          <w:tcPr>
            <w:tcW w:type="dxa" w:w="345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Why it fails</w:t>
            </w:r>
          </w:p>
        </w:tc>
        <w:tc>
          <w:tcPr>
            <w:tcW w:type="dxa" w:w="403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EEO replacement</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People as resources</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Turns persons into inputs and invites exploitation.</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People as rights-bearing agents.</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 capital inventory</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Can become surveillance, ranking, or labor extraction.</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Capability distribution and public capability formation.</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availability map</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May help firms or states exploit vulnerable workers.</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Worker dignity, bargaining power, and safe aggregate labor indicators.</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 data as open data</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Can reproduce data colonialism and expose people to harm.</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Community-governed knowledge, consent, aggregation, and suppression where needed.</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Public revenue as welfare</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Mistakes state receipts for durable human benefit.</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Public benefit outcomes: health, education, infrastructure, capability, rights, resilience.</w:t>
            </w:r>
          </w:p>
        </w:tc>
      </w:tr>
    </w:tbl>
    <w:p/>
    <w:p>
      <w:pPr>
        <w:pStyle w:val="Heading1"/>
      </w:pPr>
      <w:r>
        <w:rPr>
          <w:rFonts w:ascii="Aptos Display" w:hAnsi="Aptos Display"/>
          <w:color w:val="123626"/>
        </w:rPr>
        <w:t>4. The Human Layer in the EEO Architecture</w:t>
      </w:r>
    </w:p>
    <w:p>
      <w:pPr>
        <w:spacing w:after="120" w:line="259" w:lineRule="auto"/>
      </w:pPr>
      <w:r>
        <w:t>EEO should operate with three nested layers: Earth Endowment Layer, Human Capability and Relationship Layer, and Endowment-to-Economy Layer. The human layer is not a side module. It is the relational middle through which Earth systems become governed, known, transformed, valued, damaged, restored, or inherited.</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Layer</w:t>
            </w:r>
          </w:p>
        </w:tc>
        <w:tc>
          <w:tcPr>
            <w:tcW w:type="dxa" w:w="432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What it captures</w:t>
            </w:r>
          </w:p>
        </w:tc>
        <w:tc>
          <w:tcPr>
            <w:tcW w:type="dxa" w:w="316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Human placement</w:t>
            </w:r>
          </w:p>
        </w:tc>
      </w:tr>
      <w:tr>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Earth Endowment Layer</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Soils, minerals, forests, water, fisheries, biodiversity, carbon sinks, renewable potential, and ecological functions.</w:t>
            </w:r>
          </w:p>
        </w:tc>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Humans are not listed as natural resources.</w:t>
            </w:r>
          </w:p>
        </w:tc>
      </w:tr>
      <w:tr>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 Capability and Relationship Layer</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Talents, health, knowledge, labor, care, ecological relation, culture, institutions, stewardship, and agency.</w:t>
            </w:r>
          </w:p>
        </w:tc>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Humans appear as agents, communities, workers, knowledge-bearers, citizens, rights-holders, and future inheritors.</w:t>
            </w:r>
          </w:p>
        </w:tc>
      </w:tr>
      <w:tr>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Endowment-to-Economy Layer</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Extraction, cultivation, processing, trade, finance, taxation, public benefit, waste, repair, and restoration.</w:t>
            </w:r>
          </w:p>
        </w:tc>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Humans transform, govern, capture, suffer, repair, contest, and benefit.</w:t>
            </w:r>
          </w:p>
        </w:tc>
      </w:tr>
    </w:tbl>
    <w:p/>
    <w:p>
      <w:pPr>
        <w:pStyle w:val="Heading2"/>
      </w:pPr>
      <w:r>
        <w:rPr>
          <w:rFonts w:ascii="Aptos Display" w:hAnsi="Aptos Display"/>
          <w:color w:val="123626"/>
        </w:rPr>
        <w:t>Eight dimensions of the human layer</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Dimension</w:t>
            </w:r>
          </w:p>
        </w:tc>
        <w:tc>
          <w:tcPr>
            <w:tcW w:type="dxa" w:w="489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What EEO observes</w:t>
            </w:r>
          </w:p>
        </w:tc>
        <w:tc>
          <w:tcPr>
            <w:tcW w:type="dxa" w:w="288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Why it matters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Human dignity and rights</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Rights status, civic protections, consent, remedy, safety, exposure risk.</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Prevents the system from treating people as productive objects.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Capability and talent</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Education, skills, health, technical capacity, scientific capacity, craft knowledge, institutional competence.</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Shows whether endowment use expands or drains human potential.</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Labor and work</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Wages, safety, informality, coercion risk, worker voice, bargaining power, purchasing power.</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Reveals who transforms endowments and under what conditions.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Ingenuity and innovation</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Engineering, local adaptation, indigenous innovation, farmer experimentation, repair cultures, institutional invention.</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Captures creativity beyond patents and formal R&amp;D.</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Ecological relationship</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Stewardship practices, sacred relations, seasonal knowledge, subsistence dependence, restoration work.</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Recognizes that humans are not outside nature.</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Governance agency</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Sovereignty, citizenship, indigenous authority, unions, cooperatives, local institutions, public agencies.</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Shows who has authority, voice, and power to shape outcomes.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Harm and vulnerability</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Pollution exposure, displacement, injury, cultural loss, food insecurity, retaliation risk.</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Makes visible the human cost of value chains.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Public benefit and flourishing</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Health, education, infrastructure, income security, ecological repair, local procurement, future opportunity.</w:t>
            </w:r>
          </w:p>
        </w:tc>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Tests whether resource value becomes durable human capability.</w:t>
            </w:r>
          </w:p>
        </w:tc>
      </w:tr>
    </w:tbl>
    <w:p/>
    <w:p>
      <w:pPr>
        <w:pStyle w:val="Heading1"/>
      </w:pPr>
      <w:r>
        <w:rPr>
          <w:rFonts w:ascii="Aptos Display" w:hAnsi="Aptos Display"/>
          <w:color w:val="123626"/>
        </w:rPr>
        <w:t>5. Human Capability, Talent Distribution, and Safeguards</w:t>
      </w:r>
    </w:p>
    <w:p>
      <w:pPr>
        <w:spacing w:after="120" w:line="259" w:lineRule="auto"/>
      </w:pPr>
      <w:r>
        <w:t>Talent matters, but talent language is ethically combustible. EEO should study capability distribution, not human worth. Capability means the real freedom and capacity people have to live, learn, work safely, govern, create, care, participate, adapt, restore, and inherit a viable future.</w:t>
      </w:r>
    </w:p>
    <w:p>
      <w:pPr>
        <w:pStyle w:val="Heading2"/>
      </w:pPr>
      <w:r>
        <w:rPr>
          <w:rFonts w:ascii="Aptos Display" w:hAnsi="Aptos Display"/>
          <w:color w:val="123626"/>
        </w:rPr>
        <w:t>Preferred analytical vocabulary</w:t>
      </w:r>
    </w:p>
    <w:tbl>
      <w:tblPr>
        <w:tblStyle w:val="TableGrid"/>
        <w:tblW w:type="auto" w:w="0"/>
        <w:jc w:val="center"/>
        <w:tblLook w:firstColumn="1" w:firstRow="1" w:lastColumn="0" w:lastRow="0" w:noHBand="0" w:noVBand="1" w:val="04A0"/>
      </w:tblPr>
      <w:tblGrid>
        <w:gridCol w:w="5184"/>
        <w:gridCol w:w="5184"/>
      </w:tblGrid>
      <w:tr>
        <w:tc>
          <w:tcPr>
            <w:tcW w:type="dxa" w:w="489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Use</w:t>
            </w:r>
          </w:p>
        </w:tc>
        <w:tc>
          <w:tcPr>
            <w:tcW w:type="dxa" w:w="489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Avoid</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Capability distribution</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Talent ranking</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Skill ecology</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Labor inventory</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Institutional capacity</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Population quality</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Worker voice and bargaining power</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Cheap labor availability</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Ecological knowledge and stewardship capacity</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Extractable local knowledge</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Public capability formation</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Human productivity score</w:t>
            </w:r>
          </w:p>
        </w:tc>
      </w:tr>
    </w:tbl>
    <w:p/>
    <w:p>
      <w:pPr>
        <w:pStyle w:val="Heading2"/>
      </w:pPr>
      <w:r>
        <w:rPr>
          <w:rFonts w:ascii="Aptos Display" w:hAnsi="Aptos Display"/>
          <w:color w:val="123626"/>
        </w:rPr>
        <w:t>Good questions</w:t>
      </w:r>
    </w:p>
    <w:p>
      <w:pPr>
        <w:pStyle w:val="ListBullet"/>
        <w:spacing w:after="60"/>
      </w:pPr>
      <w:r>
        <w:t>Where are technical, ecological, institutional, and labor capabilities concentrated, blocked, or excluded?</w:t>
      </w:r>
    </w:p>
    <w:p>
      <w:pPr>
        <w:pStyle w:val="ListBullet"/>
        <w:spacing w:after="60"/>
      </w:pPr>
      <w:r>
        <w:t>Who has access to education, health, tools, capital, land, water, data, markets, and legal protection?</w:t>
      </w:r>
    </w:p>
    <w:p>
      <w:pPr>
        <w:pStyle w:val="ListBullet"/>
        <w:spacing w:after="60"/>
      </w:pPr>
      <w:r>
        <w:t>Does an endowment economy build local capability, or does it extract raw material while importing expertise and exporting profit?</w:t>
      </w:r>
    </w:p>
    <w:p>
      <w:pPr>
        <w:pStyle w:val="ListBullet"/>
        <w:spacing w:after="60"/>
      </w:pPr>
      <w:r>
        <w:t>Are communities becoming more capable of governing their future, or more dependent, polluted, displaced, and politically weak?</w:t>
      </w:r>
    </w:p>
    <w:p>
      <w:pPr>
        <w:pStyle w:val="Heading2"/>
      </w:pPr>
      <w:r>
        <w:rPr>
          <w:rFonts w:ascii="Aptos Display" w:hAnsi="Aptos Display"/>
          <w:color w:val="123626"/>
        </w:rPr>
        <w:t>Forbidden questions</w:t>
      </w:r>
    </w:p>
    <w:p>
      <w:pPr>
        <w:pStyle w:val="ListBullet"/>
        <w:spacing w:after="60"/>
      </w:pPr>
      <w:r>
        <w:t>Which population is more talented?</w:t>
      </w:r>
    </w:p>
    <w:p>
      <w:pPr>
        <w:pStyle w:val="ListBullet"/>
        <w:spacing w:after="60"/>
      </w:pPr>
      <w:r>
        <w:t>Which ethnicity, race, caste, tribe, religion, disability, nationality, or migration status has higher productive value?</w:t>
      </w:r>
    </w:p>
    <w:p>
      <w:pPr>
        <w:pStyle w:val="ListBullet"/>
        <w:spacing w:after="60"/>
      </w:pPr>
      <w:r>
        <w:t>Where are cheap workers located?</w:t>
      </w:r>
    </w:p>
    <w:p>
      <w:pPr>
        <w:pStyle w:val="ListBullet"/>
        <w:spacing w:after="60"/>
      </w:pPr>
      <w:r>
        <w:t>Which vulnerable population can be recruited, surveilled, displaced, optimized, or disciplined?</w:t>
      </w:r>
    </w:p>
    <w:p>
      <w:pPr>
        <w:pStyle w:val="Heading2"/>
      </w:pPr>
      <w:r>
        <w:rPr>
          <w:rFonts w:ascii="Aptos Display" w:hAnsi="Aptos Display"/>
          <w:color w:val="123626"/>
        </w:rPr>
        <w:t>Capability families</w:t>
      </w:r>
    </w:p>
    <w:tbl>
      <w:tblPr>
        <w:tblStyle w:val="TableGrid"/>
        <w:tblW w:type="auto" w:w="0"/>
        <w:jc w:val="center"/>
        <w:tblLook w:firstColumn="1" w:firstRow="1" w:lastColumn="0" w:lastRow="0" w:noHBand="0" w:noVBand="1" w:val="04A0"/>
      </w:tblPr>
      <w:tblGrid>
        <w:gridCol w:w="5184"/>
        <w:gridCol w:w="5184"/>
      </w:tblGrid>
      <w:tr>
        <w:tc>
          <w:tcPr>
            <w:tcW w:type="dxa" w:w="302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Capability family</w:t>
            </w:r>
          </w:p>
        </w:tc>
        <w:tc>
          <w:tcPr>
            <w:tcW w:type="dxa" w:w="691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Possible indicators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Foundational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Literacy, numeracy, health, nutrition, school completion, clean water access.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Technical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Engineers, geologists, agronomists, hydrologists, electricians, mechanics, GIS analysts.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Ecological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Farmer seasonal knowledge, fisher marine knowledge, pastoral mobility knowledge, forest stewardship knowledge.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Institutional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Courts, regulators, inspectors, statistical agencies, unions, cooperatives, local governments.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Scientific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Universities, laboratories, research outputs, environmental monitoring capacity.</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Entrepreneurial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Local firms, supplier capacity, processing capacity, repair ecosystems.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Care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Health workers, social protection, family care burdens, community support systems.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Civic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Press freedom, civil-society density, grievance systems, public participation, collective bargaining.</w:t>
            </w:r>
          </w:p>
        </w:tc>
      </w:tr>
    </w:tbl>
    <w:p/>
    <w:p>
      <w:pPr>
        <w:pStyle w:val="Heading1"/>
      </w:pPr>
      <w:r>
        <w:rPr>
          <w:rFonts w:ascii="Aptos Display" w:hAnsi="Aptos Display"/>
          <w:color w:val="123626"/>
        </w:rPr>
        <w:t>6. Ingenuity and Distributed Intelligence</w:t>
      </w:r>
    </w:p>
    <w:p>
      <w:pPr>
        <w:spacing w:after="120" w:line="259" w:lineRule="auto"/>
      </w:pPr>
      <w:r>
        <w:t>Ingenuity should be treated as distributed intelligence, not merely formal innovation. Formal patents, laboratories, and engineering teams matter, but many endowment systems depend on intelligence that is local, tacit, ecological, embodied, informal, and collectively maintained.</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Ingenuity form</w:t>
            </w:r>
          </w:p>
        </w:tc>
        <w:tc>
          <w:tcPr>
            <w:tcW w:type="dxa" w:w="432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Examples</w:t>
            </w:r>
          </w:p>
        </w:tc>
        <w:tc>
          <w:tcPr>
            <w:tcW w:type="dxa" w:w="331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EEO posture</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Scientific and technical ingenuity</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Geology, hydrology, agronomy, metallurgy, remote sensing, engineering.</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Track as capability and institutional depth.</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Local adaptation</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Repair improvisation, drought farming, artisanal equipment, route knowledge.</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Recognize without romanticizing or extracting.</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Indigenous ecological science</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Seasonal calendars, species indicators, fire regimes, medicinal knowledge, water knowledge.</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Community-governed; consent required; not open by default.</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Worker intelligence</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Safety workarounds, machine knowledge, production bottleneck knowledge, risk signals.</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Connect to worker voice and protection.</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Institutional invention</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Cooperatives, benefit agreements, monitoring systems, customary rules, unions.</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Treat governance innovation as real innovation.</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Restoration knowledge</w:t>
            </w:r>
          </w:p>
        </w:tc>
        <w:tc>
          <w:tcPr>
            <w:tcW w:type="dxa" w:w="432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Reforestation, mine reclamation, soil regeneration, water remediation.</w:t>
            </w:r>
          </w:p>
        </w:tc>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Track as repair capability and future resilience.</w:t>
            </w:r>
          </w:p>
        </w:tc>
      </w:tr>
    </w:tbl>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Applied example</w:t>
            </w:r>
          </w:p>
          <w:p>
            <w:pPr>
              <w:spacing w:after="0"/>
            </w:pPr>
            <w:r>
              <w:rPr>
                <w:rFonts w:ascii="Aptos" w:hAnsi="Aptos"/>
                <w:i/>
                <w:sz w:val="20"/>
              </w:rPr>
              <w:t>A cobalt corridor is not only ore, concession, and company. It is geological knowledge, mining labor, artisanal practice, road building, customs administration, engineering, child protection, community monitoring, toxic-exposure care, household survival, and future generations inheriting either improved capability or degraded conditions.</w:t>
            </w:r>
          </w:p>
        </w:tc>
      </w:tr>
    </w:tbl>
    <w:p/>
    <w:p>
      <w:pPr>
        <w:pStyle w:val="Heading1"/>
      </w:pPr>
      <w:r>
        <w:rPr>
          <w:rFonts w:ascii="Aptos Display" w:hAnsi="Aptos Display"/>
          <w:color w:val="123626"/>
        </w:rPr>
        <w:t>7. Labor as Deployed Capability Under Power</w:t>
      </w:r>
    </w:p>
    <w:p>
      <w:pPr>
        <w:spacing w:after="120" w:line="259" w:lineRule="auto"/>
      </w:pPr>
      <w:r>
        <w:t>Labor is not merely work performed. Labor is human capability deployed under conditions of bargaining power, law, risk, coercion, compensation, care, and ecological exposure. EEO should make workers visible without turning them into inputs.</w:t>
      </w:r>
    </w:p>
    <w:tbl>
      <w:tblPr>
        <w:tblStyle w:val="TableGrid"/>
        <w:tblW w:type="auto" w:w="0"/>
        <w:jc w:val="center"/>
        <w:tblLook w:firstColumn="1" w:firstRow="1" w:lastColumn="0" w:lastRow="0" w:noHBand="0" w:noVBand="1" w:val="04A0"/>
      </w:tblPr>
      <w:tblGrid>
        <w:gridCol w:w="5184"/>
        <w:gridCol w:w="5184"/>
      </w:tblGrid>
      <w:tr>
        <w:tc>
          <w:tcPr>
            <w:tcW w:type="dxa" w:w="417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Labor question</w:t>
            </w:r>
          </w:p>
        </w:tc>
        <w:tc>
          <w:tcPr>
            <w:tcW w:type="dxa" w:w="576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Why it matters</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Who performs the work?</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Makes workers, contractors, informal workers, and care labor visible.</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Under what legal or informal arrangement?</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Reveals precarity, subcontracting, debt, migration vulnerability, and bargaining power.</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At what wage and purchasing power?</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Distinguishes nominal pay from real ability to live.</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With what injury, disease, coercion, or child-labor risk?</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Makes harm visible without overclaiming site-level certainty.</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With what worker voice or union power?</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Shows whether labor can contest conditions and claim value.</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Who captures the margin after labor transforms the endowment?</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Connects work to value distribution.</w:t>
            </w:r>
          </w:p>
        </w:tc>
      </w:tr>
      <w:tr>
        <w:tc>
          <w:tcPr>
            <w:tcW w:type="dxa" w:w="41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Does the work build future capability or deplete bodies and communities?</w:t>
            </w:r>
          </w:p>
        </w:tc>
        <w:tc>
          <w:tcPr>
            <w:tcW w:type="dxa" w:w="57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Tests legitimacy.</w:t>
            </w:r>
          </w:p>
        </w:tc>
      </w:tr>
    </w:tbl>
    <w:p/>
    <w:p>
      <w:pPr>
        <w:pStyle w:val="Heading2"/>
      </w:pPr>
      <w:r>
        <w:rPr>
          <w:rFonts w:ascii="Aptos Display" w:hAnsi="Aptos Display"/>
          <w:color w:val="123626"/>
        </w:rPr>
        <w:t>Labor indicator families</w:t>
      </w:r>
    </w:p>
    <w:tbl>
      <w:tblPr>
        <w:tblStyle w:val="TableGrid"/>
        <w:tblW w:type="auto" w:w="0"/>
        <w:jc w:val="center"/>
        <w:tblLook w:firstColumn="1" w:firstRow="1" w:lastColumn="0" w:lastRow="0" w:noHBand="0" w:noVBand="1" w:val="04A0"/>
      </w:tblPr>
      <w:tblGrid>
        <w:gridCol w:w="5184"/>
        <w:gridCol w:w="5184"/>
      </w:tblGrid>
      <w:tr>
        <w:tc>
          <w:tcPr>
            <w:tcW w:type="dxa" w:w="288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Family</w:t>
            </w:r>
          </w:p>
        </w:tc>
        <w:tc>
          <w:tcPr>
            <w:tcW w:type="dxa" w:w="705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Indicators</w:t>
            </w:r>
          </w:p>
        </w:tc>
      </w:tr>
      <w:tr>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compensation</w:t>
            </w:r>
          </w:p>
        </w:tc>
        <w:tc>
          <w:tcPr>
            <w:tcW w:type="dxa" w:w="70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Median sector wage, wage-to-export-value ratio, wage share of value added, real wage trend, PPP-adjusted earnings.</w:t>
            </w:r>
          </w:p>
        </w:tc>
      </w:tr>
      <w:tr>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risk</w:t>
            </w:r>
          </w:p>
        </w:tc>
        <w:tc>
          <w:tcPr>
            <w:tcW w:type="dxa" w:w="70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Fatality rate, injury rate, toxic exposure, informality, child labor risk, forced labor risk, grievance access.</w:t>
            </w:r>
          </w:p>
        </w:tc>
      </w:tr>
      <w:tr>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Purchasing power</w:t>
            </w:r>
          </w:p>
        </w:tc>
        <w:tc>
          <w:tcPr>
            <w:tcW w:type="dxa" w:w="70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Food-basket affordability, housing and transport costs, local inflation, household dependency burden.</w:t>
            </w:r>
          </w:p>
        </w:tc>
      </w:tr>
      <w:tr>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Worker voice</w:t>
            </w:r>
          </w:p>
        </w:tc>
        <w:tc>
          <w:tcPr>
            <w:tcW w:type="dxa" w:w="70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Union density, collective bargaining, freedom of association, grievance outcomes, retaliation risk.</w:t>
            </w:r>
          </w:p>
        </w:tc>
      </w:tr>
      <w:tr>
        <w:tc>
          <w:tcPr>
            <w:tcW w:type="dxa" w:w="28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Capability conversion</w:t>
            </w:r>
          </w:p>
        </w:tc>
        <w:tc>
          <w:tcPr>
            <w:tcW w:type="dxa" w:w="70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Training, career mobility, local supplier development, health outcomes, education outcomes.</w:t>
            </w:r>
          </w:p>
        </w:tc>
      </w:tr>
    </w:tbl>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Short formulation</w:t>
            </w:r>
          </w:p>
          <w:p>
            <w:pPr>
              <w:spacing w:after="0"/>
            </w:pPr>
            <w:r>
              <w:rPr>
                <w:rFonts w:ascii="Aptos" w:hAnsi="Aptos"/>
                <w:i/>
                <w:sz w:val="20"/>
              </w:rPr>
              <w:t>Labor is the moment where capability meets power.</w:t>
            </w:r>
          </w:p>
        </w:tc>
      </w:tr>
    </w:tbl>
    <w:p/>
    <w:p>
      <w:pPr>
        <w:pStyle w:val="Heading1"/>
      </w:pPr>
      <w:r>
        <w:rPr>
          <w:rFonts w:ascii="Aptos Display" w:hAnsi="Aptos Display"/>
          <w:color w:val="123626"/>
        </w:rPr>
        <w:t>8. Ecological and Biocultural Relationship</w:t>
      </w:r>
    </w:p>
    <w:p>
      <w:pPr>
        <w:spacing w:after="120" w:line="259" w:lineRule="auto"/>
      </w:pPr>
      <w:r>
        <w:t>Humans do not merely use endowments. They relate to them. Some relationships are extractive, some custodial, some sacred, some scientific, some subsistence-based, some legal, some ancestral, some exploitative, and some restorative. EEO should model human-endowment relationships directly rather than hiding them inside generic stakeholder fields.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Relationship type</w:t>
            </w:r>
          </w:p>
        </w:tc>
        <w:tc>
          <w:tcPr>
            <w:tcW w:type="dxa" w:w="460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Meaning</w:t>
            </w:r>
          </w:p>
        </w:tc>
        <w:tc>
          <w:tcPr>
            <w:tcW w:type="dxa" w:w="302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Default disclosure posture</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Subsistence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depend directly on land, water, forest, pasture, fishery, or species for life.</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Aggregate or contextual public; restrict if exposure risk exists.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Labor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transform, transport, process, maintain, repair, or restore the endowment.</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Indicator level; no person-level exposure by default.</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Stewardship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sustain the endowment through customary practice, science, law, or restoration.</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Public only with authority; otherwise community-governed.</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Sacred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A place, species, river, mountain, grove, or landscape carries spiritual or ancestral significance.</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Restricted, consent-only, or suppressed.</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Knowledge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hold ecological, seasonal, medicinal, agricultural, navigational, or geological knowledge.</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Community-governed; do not harvest as open data.</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Governance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or institutions possess authority, consent rights, public responsibility, or custodial duties.</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Contextual public if safe and lawful.</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Harm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People bear pollution, displacement, disease, violence, cultural loss, or livelihood destruction.</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Protect identities; legal/right-of-reply review for high-impact claims.</w:t>
            </w:r>
          </w:p>
        </w:tc>
      </w:tr>
      <w:tr>
        <w:tc>
          <w:tcPr>
            <w:tcW w:type="dxa" w:w="230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Future relation</w:t>
            </w:r>
          </w:p>
        </w:tc>
        <w:tc>
          <w:tcPr>
            <w:tcW w:type="dxa" w:w="460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Children and future generations inherit either capability or damage.</w:t>
            </w:r>
          </w:p>
        </w:tc>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Public as normative and intergenerational analysis.</w:t>
            </w:r>
          </w:p>
        </w:tc>
      </w:tr>
    </w:tbl>
    <w:p/>
    <w:p>
      <w:pPr>
        <w:spacing w:after="120" w:line="259" w:lineRule="auto"/>
      </w:pPr>
      <w:r>
        <w:t>The key rule is not anti-transparency. It is governed visibility: the public may need to know that a relationship exists without receiving exact locations, identities, sacred knowledge, community testimony, or vulnerable ecological details.</w:t>
      </w:r>
    </w:p>
    <w:p>
      <w:pPr>
        <w:pStyle w:val="Heading1"/>
      </w:pPr>
      <w:r>
        <w:rPr>
          <w:rFonts w:ascii="Aptos Display" w:hAnsi="Aptos Display"/>
          <w:color w:val="123626"/>
        </w:rPr>
        <w:t>9. Revised Theory of Value</w:t>
      </w:r>
    </w:p>
    <w:p>
      <w:pPr>
        <w:spacing w:after="120" w:line="259" w:lineRule="auto"/>
      </w:pPr>
      <w:r>
        <w:t>EEO should reject crude formulas in which nature, labor, or capital alone creates value. Value emerges through relationship and power: endowment, capability, knowledge, labor, technology, institutions, infrastructure, law, finance, culture, ecology, and market structure.</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Endowment</w:t>
            </w:r>
            <w:r>
              <w:rPr>
                <w:rFonts w:ascii="Aptos" w:hAnsi="Aptos"/>
              </w:rPr>
              <w:br/>
            </w:r>
            <w:r>
              <w:rPr>
                <w:rFonts w:ascii="Consolas" w:hAnsi="Consolas"/>
                <w:sz w:val="17"/>
              </w:rPr>
              <w:t>+ human capability</w:t>
            </w:r>
            <w:r>
              <w:rPr>
                <w:rFonts w:ascii="Aptos" w:hAnsi="Aptos"/>
              </w:rPr>
              <w:br/>
            </w:r>
            <w:r>
              <w:rPr>
                <w:rFonts w:ascii="Consolas" w:hAnsi="Consolas"/>
                <w:sz w:val="17"/>
              </w:rPr>
              <w:t>+ ecological knowledge</w:t>
            </w:r>
            <w:r>
              <w:rPr>
                <w:rFonts w:ascii="Aptos" w:hAnsi="Aptos"/>
              </w:rPr>
              <w:br/>
            </w:r>
            <w:r>
              <w:rPr>
                <w:rFonts w:ascii="Consolas" w:hAnsi="Consolas"/>
                <w:sz w:val="17"/>
              </w:rPr>
              <w:t>+ labor</w:t>
            </w:r>
            <w:r>
              <w:rPr>
                <w:rFonts w:ascii="Aptos" w:hAnsi="Aptos"/>
              </w:rPr>
              <w:br/>
            </w:r>
            <w:r>
              <w:rPr>
                <w:rFonts w:ascii="Consolas" w:hAnsi="Consolas"/>
                <w:sz w:val="17"/>
              </w:rPr>
              <w:t>+ technology</w:t>
            </w:r>
            <w:r>
              <w:rPr>
                <w:rFonts w:ascii="Aptos" w:hAnsi="Aptos"/>
              </w:rPr>
              <w:br/>
            </w:r>
            <w:r>
              <w:rPr>
                <w:rFonts w:ascii="Consolas" w:hAnsi="Consolas"/>
                <w:sz w:val="17"/>
              </w:rPr>
              <w:t>+ institutions</w:t>
            </w:r>
            <w:r>
              <w:rPr>
                <w:rFonts w:ascii="Aptos" w:hAnsi="Aptos"/>
              </w:rPr>
              <w:br/>
            </w:r>
            <w:r>
              <w:rPr>
                <w:rFonts w:ascii="Consolas" w:hAnsi="Consolas"/>
                <w:sz w:val="17"/>
              </w:rPr>
              <w:t>+ infrastructure</w:t>
            </w:r>
            <w:r>
              <w:rPr>
                <w:rFonts w:ascii="Aptos" w:hAnsi="Aptos"/>
              </w:rPr>
              <w:br/>
            </w:r>
            <w:r>
              <w:rPr>
                <w:rFonts w:ascii="Consolas" w:hAnsi="Consolas"/>
                <w:sz w:val="17"/>
              </w:rPr>
              <w:t>+ law</w:t>
            </w:r>
            <w:r>
              <w:rPr>
                <w:rFonts w:ascii="Aptos" w:hAnsi="Aptos"/>
              </w:rPr>
              <w:br/>
            </w:r>
            <w:r>
              <w:rPr>
                <w:rFonts w:ascii="Consolas" w:hAnsi="Consolas"/>
                <w:sz w:val="17"/>
              </w:rPr>
              <w:t>+ finance</w:t>
            </w:r>
            <w:r>
              <w:rPr>
                <w:rFonts w:ascii="Aptos" w:hAnsi="Aptos"/>
              </w:rPr>
              <w:br/>
            </w:r>
            <w:r>
              <w:rPr>
                <w:rFonts w:ascii="Consolas" w:hAnsi="Consolas"/>
                <w:sz w:val="17"/>
              </w:rPr>
              <w:t>+ culture</w:t>
            </w:r>
            <w:r>
              <w:rPr>
                <w:rFonts w:ascii="Aptos" w:hAnsi="Aptos"/>
              </w:rPr>
              <w:br/>
            </w:r>
            <w:r>
              <w:rPr>
                <w:rFonts w:ascii="Consolas" w:hAnsi="Consolas"/>
                <w:sz w:val="17"/>
              </w:rPr>
              <w:t>= value, harm, public benefit, private capture, and future inheritance</w:t>
            </w:r>
          </w:p>
        </w:tc>
      </w:tr>
    </w:tbl>
    <w:p/>
    <w:p>
      <w:pPr>
        <w:pStyle w:val="Heading2"/>
      </w:pPr>
      <w:r>
        <w:rPr>
          <w:rFonts w:ascii="Aptos Display" w:hAnsi="Aptos Display"/>
          <w:color w:val="123626"/>
        </w:rPr>
        <w:t>Five tests of endowment use</w:t>
      </w:r>
    </w:p>
    <w:tbl>
      <w:tblPr>
        <w:tblStyle w:val="TableGrid"/>
        <w:tblW w:type="auto" w:w="0"/>
        <w:jc w:val="center"/>
        <w:tblLook w:firstColumn="1" w:firstRow="1" w:lastColumn="0" w:lastRow="0" w:noHBand="0" w:noVBand="1" w:val="04A0"/>
      </w:tblPr>
      <w:tblGrid>
        <w:gridCol w:w="5184"/>
        <w:gridCol w:w="5184"/>
      </w:tblGrid>
      <w:tr>
        <w:tc>
          <w:tcPr>
            <w:tcW w:type="dxa" w:w="216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Test</w:t>
            </w:r>
          </w:p>
        </w:tc>
        <w:tc>
          <w:tcPr>
            <w:tcW w:type="dxa" w:w="777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Question</w:t>
            </w:r>
          </w:p>
        </w:tc>
      </w:tr>
      <w:tr>
        <w:tc>
          <w:tcPr>
            <w:tcW w:type="dxa" w:w="21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Capability</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Did the system expand human capability or deplete it?</w:t>
            </w:r>
          </w:p>
        </w:tc>
      </w:tr>
      <w:tr>
        <w:tc>
          <w:tcPr>
            <w:tcW w:type="dxa" w:w="21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Dignity</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Were people treated as rights-bearing agents or disposable inputs?</w:t>
            </w:r>
          </w:p>
        </w:tc>
      </w:tr>
      <w:tr>
        <w:tc>
          <w:tcPr>
            <w:tcW w:type="dxa" w:w="21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Stewardship</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Did the relationship maintain, restore, or degrade the endowment?</w:t>
            </w:r>
          </w:p>
        </w:tc>
      </w:tr>
      <w:tr>
        <w:tc>
          <w:tcPr>
            <w:tcW w:type="dxa" w:w="21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Distribution</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Who captured value, and who bore risk?</w:t>
            </w:r>
          </w:p>
        </w:tc>
      </w:tr>
      <w:tr>
        <w:tc>
          <w:tcPr>
            <w:tcW w:type="dxa" w:w="216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Inheritance</w:t>
            </w:r>
          </w:p>
        </w:tc>
        <w:tc>
          <w:tcPr>
            <w:tcW w:type="dxa" w:w="777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What remains for future people and future ecosystems?</w:t>
            </w:r>
          </w:p>
        </w:tc>
      </w:tr>
    </w:tbl>
    <w:p/>
    <w:p>
      <w:pPr>
        <w:spacing w:after="120" w:line="259" w:lineRule="auto"/>
      </w:pPr>
      <w:r>
        <w:t>A system is extractive not only when it depletes minerals, forests, fisheries, soils, water, or carbon sinks. It is extractive when it depletes human capability faster than it regenerates it.</w:t>
      </w:r>
    </w:p>
    <w:p>
      <w:pPr>
        <w:pStyle w:val="Heading1"/>
      </w:pPr>
      <w:r>
        <w:rPr>
          <w:rFonts w:ascii="Aptos Display" w:hAnsi="Aptos Display"/>
          <w:color w:val="123626"/>
        </w:rPr>
        <w:t>10. Public Product Implications</w:t>
      </w:r>
    </w:p>
    <w:p>
      <w:pPr>
        <w:spacing w:after="120" w:line="259" w:lineRule="auto"/>
      </w:pPr>
      <w:r>
        <w:t>Add a public and internal product module called the Human Capability and Stewardship Profile. It should sit beside the Endowment Profile, Governance Profile, Value-Chain View, Labor-Ecology-Revenue Panel, Evidence Ledger, and Safeguards Note.</w:t>
      </w:r>
    </w:p>
    <w:p>
      <w:pPr>
        <w:pStyle w:val="Heading2"/>
      </w:pPr>
      <w:r>
        <w:rPr>
          <w:rFonts w:ascii="Aptos Display" w:hAnsi="Aptos Display"/>
          <w:color w:val="123626"/>
        </w:rPr>
        <w:t>Human Capability and Stewardship Profile - user questions</w:t>
      </w:r>
    </w:p>
    <w:p>
      <w:pPr>
        <w:pStyle w:val="ListBullet"/>
        <w:spacing w:after="60"/>
      </w:pPr>
      <w:r>
        <w:t>Who lives near, works on, governs, maintains, or depends on the endowment?</w:t>
      </w:r>
    </w:p>
    <w:p>
      <w:pPr>
        <w:pStyle w:val="ListBullet"/>
        <w:spacing w:after="60"/>
      </w:pPr>
      <w:r>
        <w:t>What human capabilities make the endowment economically usable?</w:t>
      </w:r>
    </w:p>
    <w:p>
      <w:pPr>
        <w:pStyle w:val="ListBullet"/>
        <w:spacing w:after="60"/>
      </w:pPr>
      <w:r>
        <w:t>What ecological knowledge or stewardship practices sustain it?</w:t>
      </w:r>
    </w:p>
    <w:p>
      <w:pPr>
        <w:pStyle w:val="ListBullet"/>
        <w:spacing w:after="60"/>
      </w:pPr>
      <w:r>
        <w:t>What labor risks and dignity concerns appear?</w:t>
      </w:r>
    </w:p>
    <w:p>
      <w:pPr>
        <w:pStyle w:val="ListBullet"/>
        <w:spacing w:after="60"/>
      </w:pPr>
      <w:r>
        <w:t>What public benefits return to workers, households, and communities?</w:t>
      </w:r>
    </w:p>
    <w:p>
      <w:pPr>
        <w:pStyle w:val="ListBullet"/>
        <w:spacing w:after="60"/>
      </w:pPr>
      <w:r>
        <w:t>What harms are absorbed by bodies, families, cultures, and future generations?</w:t>
      </w:r>
    </w:p>
    <w:p>
      <w:pPr>
        <w:pStyle w:val="ListBullet"/>
        <w:spacing w:after="60"/>
      </w:pPr>
      <w:r>
        <w:t>Does the value chain build local capability or extract it?</w:t>
      </w:r>
    </w:p>
    <w:p>
      <w:pPr>
        <w:pStyle w:val="ListBullet"/>
        <w:spacing w:after="60"/>
      </w:pPr>
      <w:r>
        <w:t>What human, cultural, or ecological relationship must not be exposed publicly?</w:t>
      </w:r>
    </w:p>
    <w:p>
      <w:pPr>
        <w:pStyle w:val="Heading2"/>
      </w:pPr>
      <w:r>
        <w:rPr>
          <w:rFonts w:ascii="Aptos Display" w:hAnsi="Aptos Display"/>
          <w:color w:val="123626"/>
        </w:rPr>
        <w:t>Position in the product suite</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Endowment Profile</w:t>
            </w:r>
            <w:r>
              <w:rPr>
                <w:rFonts w:ascii="Aptos" w:hAnsi="Aptos"/>
              </w:rPr>
              <w:br/>
            </w:r>
            <w:r>
              <w:rPr>
                <w:rFonts w:ascii="Consolas" w:hAnsi="Consolas"/>
                <w:sz w:val="17"/>
              </w:rPr>
              <w:t>Governance Profile</w:t>
            </w:r>
            <w:r>
              <w:rPr>
                <w:rFonts w:ascii="Aptos" w:hAnsi="Aptos"/>
              </w:rPr>
              <w:br/>
            </w:r>
            <w:r>
              <w:rPr>
                <w:rFonts w:ascii="Consolas" w:hAnsi="Consolas"/>
                <w:sz w:val="17"/>
              </w:rPr>
              <w:t>Value-Chain View</w:t>
            </w:r>
            <w:r>
              <w:rPr>
                <w:rFonts w:ascii="Aptos" w:hAnsi="Aptos"/>
              </w:rPr>
              <w:br/>
            </w:r>
            <w:r>
              <w:rPr>
                <w:rFonts w:ascii="Consolas" w:hAnsi="Consolas"/>
                <w:sz w:val="17"/>
              </w:rPr>
              <w:t>Labor / Ecology / Revenue Panel</w:t>
            </w:r>
            <w:r>
              <w:rPr>
                <w:rFonts w:ascii="Aptos" w:hAnsi="Aptos"/>
              </w:rPr>
              <w:br/>
            </w:r>
            <w:r>
              <w:rPr>
                <w:rFonts w:ascii="Consolas" w:hAnsi="Consolas"/>
                <w:sz w:val="17"/>
              </w:rPr>
              <w:t>Human Capability and Stewardship Profile</w:t>
            </w:r>
            <w:r>
              <w:rPr>
                <w:rFonts w:ascii="Aptos" w:hAnsi="Aptos"/>
              </w:rPr>
              <w:br/>
            </w:r>
            <w:r>
              <w:rPr>
                <w:rFonts w:ascii="Consolas" w:hAnsi="Consolas"/>
                <w:sz w:val="17"/>
              </w:rPr>
              <w:t>Evidence Ledger</w:t>
            </w:r>
            <w:r>
              <w:rPr>
                <w:rFonts w:ascii="Aptos" w:hAnsi="Aptos"/>
              </w:rPr>
              <w:br/>
            </w:r>
            <w:r>
              <w:rPr>
                <w:rFonts w:ascii="Consolas" w:hAnsi="Consolas"/>
                <w:sz w:val="17"/>
              </w:rPr>
              <w:t>Safeguards Note</w:t>
            </w:r>
            <w:r>
              <w:rPr>
                <w:rFonts w:ascii="Aptos" w:hAnsi="Aptos"/>
              </w:rPr>
              <w:br/>
            </w:r>
            <w:r>
              <w:rPr>
                <w:rFonts w:ascii="Consolas" w:hAnsi="Consolas"/>
                <w:sz w:val="17"/>
              </w:rPr>
              <w:t>Correction and Right-of-Reply Route</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Module section</w:t>
            </w:r>
          </w:p>
        </w:tc>
        <w:tc>
          <w:tcPr>
            <w:tcW w:type="dxa" w:w="403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Public content</w:t>
            </w:r>
          </w:p>
        </w:tc>
        <w:tc>
          <w:tcPr>
            <w:tcW w:type="dxa" w:w="345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5"/>
              </w:rPr>
              <w:t>Restricted/internal content</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Capability context</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Aggregated education, health, technical capacity, local supplier capacity, and public capability indicators.</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Sensitive community or household-level data; vulnerable group details.</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Labor dignity</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Sector/corridor-level indicators with caveats.</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Worker testimony, grievance details, whistleblower evidence.</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Ecological relation</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Safe summaries of stewardship, subsistence, or restoration relations.</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Sacred, community-governed, or location-sensitive knowledge.</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Harm exposure</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Aggregated exposure indicators and uncertainty.</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Exact identities, coordinates, or allegations requiring protection.</w:t>
            </w:r>
          </w:p>
        </w:tc>
      </w:tr>
      <w:tr>
        <w:tc>
          <w:tcPr>
            <w:tcW w:type="dxa" w:w="24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Public benefit</w:t>
            </w:r>
          </w:p>
        </w:tc>
        <w:tc>
          <w:tcPr>
            <w:tcW w:type="dxa" w:w="403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Outcomes and questions: education, health, infrastructure, local procurement, resilience.</w:t>
            </w:r>
          </w:p>
        </w:tc>
        <w:tc>
          <w:tcPr>
            <w:tcW w:type="dxa" w:w="345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5"/>
              </w:rPr>
              <w:t>Unreviewed claims, private budget records, or sensitive beneficiary data.</w:t>
            </w:r>
          </w:p>
        </w:tc>
      </w:tr>
    </w:tbl>
    <w:p/>
    <w:p>
      <w:pPr>
        <w:pStyle w:val="Heading1"/>
      </w:pPr>
      <w:r>
        <w:rPr>
          <w:rFonts w:ascii="Aptos Display" w:hAnsi="Aptos Display"/>
          <w:color w:val="123626"/>
        </w:rPr>
        <w:t>11. Data Model and Database Extensions</w:t>
      </w:r>
    </w:p>
    <w:p>
      <w:pPr>
        <w:spacing w:after="120" w:line="259" w:lineRule="auto"/>
      </w:pPr>
      <w:r>
        <w:t>The human layer should extend the EEO data plane without turning people into public records. Person-level public profiles should be forbidden by default. The canonical object should be a claim about a population, capability, relation, labor process, exposure, or public-benefit outcome, always tied to source, method, confidence, disclosure tier, review status, and use limitation.</w:t>
      </w:r>
    </w:p>
    <w:p>
      <w:pPr>
        <w:pStyle w:val="Heading2"/>
      </w:pPr>
      <w:r>
        <w:rPr>
          <w:rFonts w:ascii="Aptos Display" w:hAnsi="Aptos Display"/>
          <w:color w:val="123626"/>
        </w:rPr>
        <w:t>Recommended entity groups</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core.human_populations</w:t>
            </w:r>
            <w:r>
              <w:rPr>
                <w:rFonts w:ascii="Aptos" w:hAnsi="Aptos"/>
              </w:rPr>
              <w:br/>
            </w:r>
            <w:r>
              <w:rPr>
                <w:rFonts w:ascii="Consolas" w:hAnsi="Consolas"/>
                <w:sz w:val="17"/>
              </w:rPr>
              <w:t>core.capability_profiles</w:t>
            </w:r>
            <w:r>
              <w:rPr>
                <w:rFonts w:ascii="Aptos" w:hAnsi="Aptos"/>
              </w:rPr>
              <w:br/>
            </w:r>
            <w:r>
              <w:rPr>
                <w:rFonts w:ascii="Consolas" w:hAnsi="Consolas"/>
                <w:sz w:val="17"/>
              </w:rPr>
              <w:t>core.labor_processes</w:t>
            </w:r>
            <w:r>
              <w:rPr>
                <w:rFonts w:ascii="Aptos" w:hAnsi="Aptos"/>
              </w:rPr>
              <w:br/>
            </w:r>
            <w:r>
              <w:rPr>
                <w:rFonts w:ascii="Consolas" w:hAnsi="Consolas"/>
                <w:sz w:val="17"/>
              </w:rPr>
              <w:t>core.knowledge_systems</w:t>
            </w:r>
            <w:r>
              <w:rPr>
                <w:rFonts w:ascii="Aptos" w:hAnsi="Aptos"/>
              </w:rPr>
              <w:br/>
            </w:r>
            <w:r>
              <w:rPr>
                <w:rFonts w:ascii="Consolas" w:hAnsi="Consolas"/>
                <w:sz w:val="17"/>
              </w:rPr>
              <w:t>core.stewardship_relations</w:t>
            </w:r>
            <w:r>
              <w:rPr>
                <w:rFonts w:ascii="Aptos" w:hAnsi="Aptos"/>
              </w:rPr>
              <w:br/>
            </w:r>
            <w:r>
              <w:rPr>
                <w:rFonts w:ascii="Consolas" w:hAnsi="Consolas"/>
                <w:sz w:val="17"/>
              </w:rPr>
              <w:t>core.biocultural_relations</w:t>
            </w:r>
            <w:r>
              <w:rPr>
                <w:rFonts w:ascii="Aptos" w:hAnsi="Aptos"/>
              </w:rPr>
              <w:br/>
            </w:r>
            <w:r>
              <w:rPr>
                <w:rFonts w:ascii="Consolas" w:hAnsi="Consolas"/>
                <w:sz w:val="17"/>
              </w:rPr>
              <w:t>core.harm_exposures</w:t>
            </w:r>
            <w:r>
              <w:rPr>
                <w:rFonts w:ascii="Aptos" w:hAnsi="Aptos"/>
              </w:rPr>
              <w:br/>
            </w:r>
            <w:r>
              <w:rPr>
                <w:rFonts w:ascii="Consolas" w:hAnsi="Consolas"/>
                <w:sz w:val="17"/>
              </w:rPr>
              <w:t>core.public_benefit_outcomes</w:t>
            </w:r>
            <w:r>
              <w:rPr>
                <w:rFonts w:ascii="Aptos" w:hAnsi="Aptos"/>
              </w:rPr>
              <w:br/>
            </w:r>
            <w:r>
              <w:rPr>
                <w:rFonts w:ascii="Consolas" w:hAnsi="Consolas"/>
                <w:sz w:val="17"/>
              </w:rPr>
              <w:t>core.worker_voice_indicators</w:t>
            </w:r>
            <w:r>
              <w:rPr>
                <w:rFonts w:ascii="Aptos" w:hAnsi="Aptos"/>
              </w:rPr>
              <w:br/>
            </w:r>
            <w:r>
              <w:rPr>
                <w:rFonts w:ascii="Consolas" w:hAnsi="Consolas"/>
                <w:sz w:val="17"/>
              </w:rPr>
              <w:t>core.capability_conversion_claims</w:t>
            </w:r>
          </w:p>
        </w:tc>
      </w:tr>
    </w:tbl>
    <w:p/>
    <w:p>
      <w:pPr>
        <w:pStyle w:val="Heading2"/>
      </w:pPr>
      <w:r>
        <w:rPr>
          <w:rFonts w:ascii="Aptos Display" w:hAnsi="Aptos Display"/>
          <w:color w:val="123626"/>
        </w:rPr>
        <w:t>Minimum fields: core.capability_profiles</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id</w:t>
            </w:r>
            <w:r>
              <w:rPr>
                <w:rFonts w:ascii="Aptos" w:hAnsi="Aptos"/>
              </w:rPr>
              <w:br/>
            </w:r>
            <w:r>
              <w:rPr>
                <w:rFonts w:ascii="Consolas" w:hAnsi="Consolas"/>
                <w:sz w:val="17"/>
              </w:rPr>
              <w:t>geography_id</w:t>
            </w:r>
            <w:r>
              <w:rPr>
                <w:rFonts w:ascii="Aptos" w:hAnsi="Aptos"/>
              </w:rPr>
              <w:br/>
            </w:r>
            <w:r>
              <w:rPr>
                <w:rFonts w:ascii="Consolas" w:hAnsi="Consolas"/>
                <w:sz w:val="17"/>
              </w:rPr>
              <w:t>population_group_description</w:t>
            </w:r>
            <w:r>
              <w:rPr>
                <w:rFonts w:ascii="Aptos" w:hAnsi="Aptos"/>
              </w:rPr>
              <w:br/>
            </w:r>
            <w:r>
              <w:rPr>
                <w:rFonts w:ascii="Consolas" w:hAnsi="Consolas"/>
                <w:sz w:val="17"/>
              </w:rPr>
              <w:t>capability_family</w:t>
            </w:r>
            <w:r>
              <w:rPr>
                <w:rFonts w:ascii="Aptos" w:hAnsi="Aptos"/>
              </w:rPr>
              <w:br/>
            </w:r>
            <w:r>
              <w:rPr>
                <w:rFonts w:ascii="Consolas" w:hAnsi="Consolas"/>
                <w:sz w:val="17"/>
              </w:rPr>
              <w:t>indicator_name</w:t>
            </w:r>
            <w:r>
              <w:rPr>
                <w:rFonts w:ascii="Aptos" w:hAnsi="Aptos"/>
              </w:rPr>
              <w:br/>
            </w:r>
            <w:r>
              <w:rPr>
                <w:rFonts w:ascii="Consolas" w:hAnsi="Consolas"/>
                <w:sz w:val="17"/>
              </w:rPr>
              <w:t>indicator_value</w:t>
            </w:r>
            <w:r>
              <w:rPr>
                <w:rFonts w:ascii="Aptos" w:hAnsi="Aptos"/>
              </w:rPr>
              <w:br/>
            </w:r>
            <w:r>
              <w:rPr>
                <w:rFonts w:ascii="Consolas" w:hAnsi="Consolas"/>
                <w:sz w:val="17"/>
              </w:rPr>
              <w:t>unit</w:t>
            </w:r>
            <w:r>
              <w:rPr>
                <w:rFonts w:ascii="Aptos" w:hAnsi="Aptos"/>
              </w:rPr>
              <w:br/>
            </w:r>
            <w:r>
              <w:rPr>
                <w:rFonts w:ascii="Consolas" w:hAnsi="Consolas"/>
                <w:sz w:val="17"/>
              </w:rPr>
              <w:t>temporal_scope</w:t>
            </w:r>
            <w:r>
              <w:rPr>
                <w:rFonts w:ascii="Aptos" w:hAnsi="Aptos"/>
              </w:rPr>
              <w:br/>
            </w:r>
            <w:r>
              <w:rPr>
                <w:rFonts w:ascii="Consolas" w:hAnsi="Consolas"/>
                <w:sz w:val="17"/>
              </w:rPr>
              <w:t>source_id</w:t>
            </w:r>
            <w:r>
              <w:rPr>
                <w:rFonts w:ascii="Aptos" w:hAnsi="Aptos"/>
              </w:rPr>
              <w:br/>
            </w:r>
            <w:r>
              <w:rPr>
                <w:rFonts w:ascii="Consolas" w:hAnsi="Consolas"/>
                <w:sz w:val="17"/>
              </w:rPr>
              <w:t>method_note</w:t>
            </w:r>
            <w:r>
              <w:rPr>
                <w:rFonts w:ascii="Aptos" w:hAnsi="Aptos"/>
              </w:rPr>
              <w:br/>
            </w:r>
            <w:r>
              <w:rPr>
                <w:rFonts w:ascii="Consolas" w:hAnsi="Consolas"/>
                <w:sz w:val="17"/>
              </w:rPr>
              <w:t>confidence_label</w:t>
            </w:r>
            <w:r>
              <w:rPr>
                <w:rFonts w:ascii="Aptos" w:hAnsi="Aptos"/>
              </w:rPr>
              <w:br/>
            </w:r>
            <w:r>
              <w:rPr>
                <w:rFonts w:ascii="Consolas" w:hAnsi="Consolas"/>
                <w:sz w:val="17"/>
              </w:rPr>
              <w:t>granularity_class</w:t>
            </w:r>
            <w:r>
              <w:rPr>
                <w:rFonts w:ascii="Aptos" w:hAnsi="Aptos"/>
              </w:rPr>
              <w:br/>
            </w:r>
            <w:r>
              <w:rPr>
                <w:rFonts w:ascii="Consolas" w:hAnsi="Consolas"/>
                <w:sz w:val="17"/>
              </w:rPr>
              <w:t>disclosure_tier</w:t>
            </w:r>
            <w:r>
              <w:rPr>
                <w:rFonts w:ascii="Aptos" w:hAnsi="Aptos"/>
              </w:rPr>
              <w:br/>
            </w:r>
            <w:r>
              <w:rPr>
                <w:rFonts w:ascii="Consolas" w:hAnsi="Consolas"/>
                <w:sz w:val="17"/>
              </w:rPr>
              <w:t>sensitivity_note</w:t>
            </w:r>
            <w:r>
              <w:rPr>
                <w:rFonts w:ascii="Aptos" w:hAnsi="Aptos"/>
              </w:rPr>
              <w:br/>
            </w:r>
            <w:r>
              <w:rPr>
                <w:rFonts w:ascii="Consolas" w:hAnsi="Consolas"/>
                <w:sz w:val="17"/>
              </w:rPr>
              <w:t>use_limitations</w:t>
            </w:r>
            <w:r>
              <w:rPr>
                <w:rFonts w:ascii="Aptos" w:hAnsi="Aptos"/>
              </w:rPr>
              <w:br/>
            </w:r>
            <w:r>
              <w:rPr>
                <w:rFonts w:ascii="Consolas" w:hAnsi="Consolas"/>
                <w:sz w:val="17"/>
              </w:rPr>
              <w:t>created_at</w:t>
            </w:r>
            <w:r>
              <w:rPr>
                <w:rFonts w:ascii="Aptos" w:hAnsi="Aptos"/>
              </w:rPr>
              <w:br/>
            </w:r>
            <w:r>
              <w:rPr>
                <w:rFonts w:ascii="Consolas" w:hAnsi="Consolas"/>
                <w:sz w:val="17"/>
              </w:rPr>
              <w:t>updated_at</w:t>
            </w:r>
          </w:p>
        </w:tc>
      </w:tr>
    </w:tbl>
    <w:p/>
    <w:p>
      <w:pPr>
        <w:pStyle w:val="Heading2"/>
      </w:pPr>
      <w:r>
        <w:rPr>
          <w:rFonts w:ascii="Aptos Display" w:hAnsi="Aptos Display"/>
          <w:color w:val="123626"/>
        </w:rPr>
        <w:t>Minimum fields: core.biocultural_relations</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id</w:t>
            </w:r>
            <w:r>
              <w:rPr>
                <w:rFonts w:ascii="Aptos" w:hAnsi="Aptos"/>
              </w:rPr>
              <w:br/>
            </w:r>
            <w:r>
              <w:rPr>
                <w:rFonts w:ascii="Consolas" w:hAnsi="Consolas"/>
                <w:sz w:val="17"/>
              </w:rPr>
              <w:t>community_or_population_id</w:t>
            </w:r>
            <w:r>
              <w:rPr>
                <w:rFonts w:ascii="Aptos" w:hAnsi="Aptos"/>
              </w:rPr>
              <w:br/>
            </w:r>
            <w:r>
              <w:rPr>
                <w:rFonts w:ascii="Consolas" w:hAnsi="Consolas"/>
                <w:sz w:val="17"/>
              </w:rPr>
              <w:t>place_or_endowment_id</w:t>
            </w:r>
            <w:r>
              <w:rPr>
                <w:rFonts w:ascii="Aptos" w:hAnsi="Aptos"/>
              </w:rPr>
              <w:br/>
            </w:r>
            <w:r>
              <w:rPr>
                <w:rFonts w:ascii="Consolas" w:hAnsi="Consolas"/>
                <w:sz w:val="17"/>
              </w:rPr>
              <w:t>relation_type</w:t>
            </w:r>
            <w:r>
              <w:rPr>
                <w:rFonts w:ascii="Aptos" w:hAnsi="Aptos"/>
              </w:rPr>
              <w:br/>
            </w:r>
            <w:r>
              <w:rPr>
                <w:rFonts w:ascii="Consolas" w:hAnsi="Consolas"/>
                <w:sz w:val="17"/>
              </w:rPr>
              <w:t>relation_description</w:t>
            </w:r>
            <w:r>
              <w:rPr>
                <w:rFonts w:ascii="Aptos" w:hAnsi="Aptos"/>
              </w:rPr>
              <w:br/>
            </w:r>
            <w:r>
              <w:rPr>
                <w:rFonts w:ascii="Consolas" w:hAnsi="Consolas"/>
                <w:sz w:val="17"/>
              </w:rPr>
              <w:t>authority_or_consent_status</w:t>
            </w:r>
            <w:r>
              <w:rPr>
                <w:rFonts w:ascii="Aptos" w:hAnsi="Aptos"/>
              </w:rPr>
              <w:br/>
            </w:r>
            <w:r>
              <w:rPr>
                <w:rFonts w:ascii="Consolas" w:hAnsi="Consolas"/>
                <w:sz w:val="17"/>
              </w:rPr>
              <w:t>sensitivity_level</w:t>
            </w:r>
            <w:r>
              <w:rPr>
                <w:rFonts w:ascii="Aptos" w:hAnsi="Aptos"/>
              </w:rPr>
              <w:br/>
            </w:r>
            <w:r>
              <w:rPr>
                <w:rFonts w:ascii="Consolas" w:hAnsi="Consolas"/>
                <w:sz w:val="17"/>
              </w:rPr>
              <w:t>public_summary</w:t>
            </w:r>
            <w:r>
              <w:rPr>
                <w:rFonts w:ascii="Aptos" w:hAnsi="Aptos"/>
              </w:rPr>
              <w:br/>
            </w:r>
            <w:r>
              <w:rPr>
                <w:rFonts w:ascii="Consolas" w:hAnsi="Consolas"/>
                <w:sz w:val="17"/>
              </w:rPr>
              <w:t>restricted_note_path</w:t>
            </w:r>
            <w:r>
              <w:rPr>
                <w:rFonts w:ascii="Aptos" w:hAnsi="Aptos"/>
              </w:rPr>
              <w:br/>
            </w:r>
            <w:r>
              <w:rPr>
                <w:rFonts w:ascii="Consolas" w:hAnsi="Consolas"/>
                <w:sz w:val="17"/>
              </w:rPr>
              <w:t>source_id</w:t>
            </w:r>
            <w:r>
              <w:rPr>
                <w:rFonts w:ascii="Aptos" w:hAnsi="Aptos"/>
              </w:rPr>
              <w:br/>
            </w:r>
            <w:r>
              <w:rPr>
                <w:rFonts w:ascii="Consolas" w:hAnsi="Consolas"/>
                <w:sz w:val="17"/>
              </w:rPr>
              <w:t>confidence_label</w:t>
            </w:r>
            <w:r>
              <w:rPr>
                <w:rFonts w:ascii="Aptos" w:hAnsi="Aptos"/>
              </w:rPr>
              <w:br/>
            </w:r>
            <w:r>
              <w:rPr>
                <w:rFonts w:ascii="Consolas" w:hAnsi="Consolas"/>
                <w:sz w:val="17"/>
              </w:rPr>
              <w:t>disclosure_tier</w:t>
            </w:r>
            <w:r>
              <w:rPr>
                <w:rFonts w:ascii="Aptos" w:hAnsi="Aptos"/>
              </w:rPr>
              <w:br/>
            </w:r>
            <w:r>
              <w:rPr>
                <w:rFonts w:ascii="Consolas" w:hAnsi="Consolas"/>
                <w:sz w:val="17"/>
              </w:rPr>
              <w:t>review_status</w:t>
            </w:r>
            <w:r>
              <w:rPr>
                <w:rFonts w:ascii="Aptos" w:hAnsi="Aptos"/>
              </w:rPr>
              <w:br/>
            </w:r>
            <w:r>
              <w:rPr>
                <w:rFonts w:ascii="Consolas" w:hAnsi="Consolas"/>
                <w:sz w:val="17"/>
              </w:rPr>
              <w:t>created_at</w:t>
            </w:r>
            <w:r>
              <w:rPr>
                <w:rFonts w:ascii="Aptos" w:hAnsi="Aptos"/>
              </w:rPr>
              <w:br/>
            </w:r>
            <w:r>
              <w:rPr>
                <w:rFonts w:ascii="Consolas" w:hAnsi="Consolas"/>
                <w:sz w:val="17"/>
              </w:rPr>
              <w:t>updated_at</w:t>
            </w:r>
          </w:p>
        </w:tc>
      </w:tr>
    </w:tbl>
    <w:p/>
    <w:p>
      <w:pPr>
        <w:pStyle w:val="Heading2"/>
      </w:pPr>
      <w:r>
        <w:rPr>
          <w:rFonts w:ascii="Aptos Display" w:hAnsi="Aptos Display"/>
          <w:color w:val="123626"/>
        </w:rPr>
        <w:t>Minimum fields: core.labor_processes</w:t>
      </w:r>
    </w:p>
    <w:tbl>
      <w:tblPr>
        <w:tblW w:type="auto" w:w="0"/>
        <w:jc w:val="center"/>
        <w:tblLook w:firstColumn="1" w:firstRow="1" w:lastColumn="0" w:lastRow="0" w:noHBand="0" w:noVBand="1" w:val="04A0"/>
      </w:tblPr>
      <w:tblGrid>
        <w:gridCol w:w="10368"/>
      </w:tblGrid>
      <w:tr>
        <w:tc>
          <w:tcPr>
            <w:tcW w:type="dxa" w:w="10368"/>
            <w:shd w:fill="F5F6F4"/>
            <w:tcBorders>
              <w:top w:val="single" w:sz="6" w:space="0" w:color="C9C9C9"/>
              <w:left w:val="single" w:sz="6" w:space="0" w:color="C9C9C9"/>
              <w:bottom w:val="single" w:sz="6" w:space="0" w:color="C9C9C9"/>
              <w:right w:val="single" w:sz="6" w:space="0" w:color="C9C9C9"/>
            </w:tcBorders>
          </w:tcPr>
          <w:p>
            <w:pPr>
              <w:spacing w:after="0"/>
            </w:pPr>
            <w:r>
              <w:rPr>
                <w:rFonts w:ascii="Aptos" w:hAnsi="Aptos"/>
              </w:rPr>
            </w:r>
            <w:r>
              <w:rPr>
                <w:rFonts w:ascii="Consolas" w:hAnsi="Consolas"/>
                <w:sz w:val="17"/>
              </w:rPr>
              <w:t>id</w:t>
            </w:r>
            <w:r>
              <w:rPr>
                <w:rFonts w:ascii="Aptos" w:hAnsi="Aptos"/>
              </w:rPr>
              <w:br/>
            </w:r>
            <w:r>
              <w:rPr>
                <w:rFonts w:ascii="Consolas" w:hAnsi="Consolas"/>
                <w:sz w:val="17"/>
              </w:rPr>
              <w:t>endowment_asset_id</w:t>
            </w:r>
            <w:r>
              <w:rPr>
                <w:rFonts w:ascii="Aptos" w:hAnsi="Aptos"/>
              </w:rPr>
              <w:br/>
            </w:r>
            <w:r>
              <w:rPr>
                <w:rFonts w:ascii="Consolas" w:hAnsi="Consolas"/>
                <w:sz w:val="17"/>
              </w:rPr>
              <w:t>value_chain_stage</w:t>
            </w:r>
            <w:r>
              <w:rPr>
                <w:rFonts w:ascii="Aptos" w:hAnsi="Aptos"/>
              </w:rPr>
              <w:br/>
            </w:r>
            <w:r>
              <w:rPr>
                <w:rFonts w:ascii="Consolas" w:hAnsi="Consolas"/>
                <w:sz w:val="17"/>
              </w:rPr>
              <w:t>worker_population_id</w:t>
            </w:r>
            <w:r>
              <w:rPr>
                <w:rFonts w:ascii="Aptos" w:hAnsi="Aptos"/>
              </w:rPr>
              <w:br/>
            </w:r>
            <w:r>
              <w:rPr>
                <w:rFonts w:ascii="Consolas" w:hAnsi="Consolas"/>
                <w:sz w:val="17"/>
              </w:rPr>
              <w:t>labor_arrangement</w:t>
            </w:r>
            <w:r>
              <w:rPr>
                <w:rFonts w:ascii="Aptos" w:hAnsi="Aptos"/>
              </w:rPr>
              <w:br/>
            </w:r>
            <w:r>
              <w:rPr>
                <w:rFonts w:ascii="Consolas" w:hAnsi="Consolas"/>
                <w:sz w:val="17"/>
              </w:rPr>
              <w:t>known_risks</w:t>
            </w:r>
            <w:r>
              <w:rPr>
                <w:rFonts w:ascii="Aptos" w:hAnsi="Aptos"/>
              </w:rPr>
              <w:br/>
            </w:r>
            <w:r>
              <w:rPr>
                <w:rFonts w:ascii="Consolas" w:hAnsi="Consolas"/>
                <w:sz w:val="17"/>
              </w:rPr>
              <w:t>wage_indicator_id</w:t>
            </w:r>
            <w:r>
              <w:rPr>
                <w:rFonts w:ascii="Aptos" w:hAnsi="Aptos"/>
              </w:rPr>
              <w:br/>
            </w:r>
            <w:r>
              <w:rPr>
                <w:rFonts w:ascii="Consolas" w:hAnsi="Consolas"/>
                <w:sz w:val="17"/>
              </w:rPr>
              <w:t>worker_voice_indicator_id</w:t>
            </w:r>
            <w:r>
              <w:rPr>
                <w:rFonts w:ascii="Aptos" w:hAnsi="Aptos"/>
              </w:rPr>
              <w:br/>
            </w:r>
            <w:r>
              <w:rPr>
                <w:rFonts w:ascii="Consolas" w:hAnsi="Consolas"/>
                <w:sz w:val="17"/>
              </w:rPr>
              <w:t>source_id</w:t>
            </w:r>
            <w:r>
              <w:rPr>
                <w:rFonts w:ascii="Aptos" w:hAnsi="Aptos"/>
              </w:rPr>
              <w:br/>
            </w:r>
            <w:r>
              <w:rPr>
                <w:rFonts w:ascii="Consolas" w:hAnsi="Consolas"/>
                <w:sz w:val="17"/>
              </w:rPr>
              <w:t>method_note</w:t>
            </w:r>
            <w:r>
              <w:rPr>
                <w:rFonts w:ascii="Aptos" w:hAnsi="Aptos"/>
              </w:rPr>
              <w:br/>
            </w:r>
            <w:r>
              <w:rPr>
                <w:rFonts w:ascii="Consolas" w:hAnsi="Consolas"/>
                <w:sz w:val="17"/>
              </w:rPr>
              <w:t>confidence_label</w:t>
            </w:r>
            <w:r>
              <w:rPr>
                <w:rFonts w:ascii="Aptos" w:hAnsi="Aptos"/>
              </w:rPr>
              <w:br/>
            </w:r>
            <w:r>
              <w:rPr>
                <w:rFonts w:ascii="Consolas" w:hAnsi="Consolas"/>
                <w:sz w:val="17"/>
              </w:rPr>
              <w:t>granularity_class</w:t>
            </w:r>
            <w:r>
              <w:rPr>
                <w:rFonts w:ascii="Aptos" w:hAnsi="Aptos"/>
              </w:rPr>
              <w:br/>
            </w:r>
            <w:r>
              <w:rPr>
                <w:rFonts w:ascii="Consolas" w:hAnsi="Consolas"/>
                <w:sz w:val="17"/>
              </w:rPr>
              <w:t>disclosure_tier</w:t>
            </w:r>
            <w:r>
              <w:rPr>
                <w:rFonts w:ascii="Aptos" w:hAnsi="Aptos"/>
              </w:rPr>
              <w:br/>
            </w:r>
            <w:r>
              <w:rPr>
                <w:rFonts w:ascii="Consolas" w:hAnsi="Consolas"/>
                <w:sz w:val="17"/>
              </w:rPr>
              <w:t>legal_posture</w:t>
            </w:r>
            <w:r>
              <w:rPr>
                <w:rFonts w:ascii="Aptos" w:hAnsi="Aptos"/>
              </w:rPr>
              <w:br/>
            </w:r>
            <w:r>
              <w:rPr>
                <w:rFonts w:ascii="Consolas" w:hAnsi="Consolas"/>
                <w:sz w:val="17"/>
              </w:rPr>
              <w:t>review_status</w:t>
            </w:r>
            <w:r>
              <w:rPr>
                <w:rFonts w:ascii="Aptos" w:hAnsi="Aptos"/>
              </w:rPr>
              <w:br/>
            </w:r>
            <w:r>
              <w:rPr>
                <w:rFonts w:ascii="Consolas" w:hAnsi="Consolas"/>
                <w:sz w:val="17"/>
              </w:rPr>
              <w:t>stale_after_date</w:t>
            </w:r>
            <w:r>
              <w:rPr>
                <w:rFonts w:ascii="Aptos" w:hAnsi="Aptos"/>
              </w:rPr>
              <w:br/>
            </w:r>
            <w:r>
              <w:rPr>
                <w:rFonts w:ascii="Consolas" w:hAnsi="Consolas"/>
                <w:sz w:val="17"/>
              </w:rPr>
              <w:t>created_at</w:t>
            </w:r>
            <w:r>
              <w:rPr>
                <w:rFonts w:ascii="Aptos" w:hAnsi="Aptos"/>
              </w:rPr>
              <w:br/>
            </w:r>
            <w:r>
              <w:rPr>
                <w:rFonts w:ascii="Consolas" w:hAnsi="Consolas"/>
                <w:sz w:val="17"/>
              </w:rPr>
              <w:t>updated_at</w:t>
            </w:r>
          </w:p>
        </w:tc>
      </w:tr>
    </w:tbl>
    <w:p/>
    <w:p>
      <w:pPr>
        <w:pStyle w:val="Heading1"/>
      </w:pPr>
      <w:r>
        <w:rPr>
          <w:rFonts w:ascii="Aptos Display" w:hAnsi="Aptos Display"/>
          <w:color w:val="123626"/>
        </w:rPr>
        <w:t>12. Evidence, Disclosure, and Review Rules</w:t>
      </w:r>
    </w:p>
    <w:p>
      <w:pPr>
        <w:spacing w:after="120" w:line="259" w:lineRule="auto"/>
      </w:pPr>
      <w:r>
        <w:t>Human-related claims require a higher review bar than ordinary environmental or commodity claims because exposure can create retaliation, stigma, recruitment exploitation, sacred-knowledge harm, legal risk, or political misuse.</w:t>
      </w:r>
    </w:p>
    <w:tbl>
      <w:tblPr>
        <w:tblStyle w:val="TableGrid"/>
        <w:tblW w:type="auto" w:w="0"/>
        <w:jc w:val="center"/>
        <w:tblLook w:firstColumn="1" w:firstRow="1" w:lastColumn="0" w:lastRow="0" w:noHBand="0" w:noVBand="1" w:val="04A0"/>
      </w:tblPr>
      <w:tblGrid>
        <w:gridCol w:w="5184"/>
        <w:gridCol w:w="5184"/>
      </w:tblGrid>
      <w:tr>
        <w:tc>
          <w:tcPr>
            <w:tcW w:type="dxa" w:w="302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Claim type</w:t>
            </w:r>
          </w:p>
        </w:tc>
        <w:tc>
          <w:tcPr>
            <w:tcW w:type="dxa" w:w="691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Required safeguards</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Aggregated labor indicator</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Source, method, confidence, granularity, misuse warning, stale-after date.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Site-level labor risk</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review, legal review if named actor risk exists, right-of-reply where required, no certainty inflation.</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Community-reported harm</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Consent, safety review, anonymization, restricted storage, no public identity exposure.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Indigenous or customary knowledge</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Authority to control, consent protocol, community governance, suppression if unsafe.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Sacred or sensitive ecological relation</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Restricted, masked, consent-only, or do-not-collect posture.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Public benefit claim</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Outcome evidence; revenue alone is insufficient.</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 capability estimate</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Aggregate geography, method note, no individual ranking, no protected-class inference.</w:t>
            </w:r>
          </w:p>
        </w:tc>
      </w:tr>
    </w:tbl>
    <w:p/>
    <w:p>
      <w:pPr>
        <w:pStyle w:val="Heading2"/>
      </w:pPr>
      <w:r>
        <w:rPr>
          <w:rFonts w:ascii="Aptos Display" w:hAnsi="Aptos Display"/>
          <w:color w:val="123626"/>
        </w:rPr>
        <w:t>Default disclosure posture</w:t>
      </w:r>
    </w:p>
    <w:tbl>
      <w:tblPr>
        <w:tblStyle w:val="TableGrid"/>
        <w:tblW w:type="auto" w:w="0"/>
        <w:jc w:val="center"/>
        <w:tblLook w:firstColumn="1" w:firstRow="1" w:lastColumn="0" w:lastRow="0" w:noHBand="0" w:noVBand="1" w:val="04A0"/>
      </w:tblPr>
      <w:tblGrid>
        <w:gridCol w:w="5184"/>
        <w:gridCol w:w="5184"/>
      </w:tblGrid>
      <w:tr>
        <w:tc>
          <w:tcPr>
            <w:tcW w:type="dxa" w:w="316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Data type</w:t>
            </w:r>
          </w:p>
        </w:tc>
        <w:tc>
          <w:tcPr>
            <w:tcW w:type="dxa" w:w="676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Default posture</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National or regional capability indicators</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Contextual public if source and method are clear.</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Worker safety indicators</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Public at safe granularity; avoid unsupported site-level certainty.</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Small worker populations or vulnerable groups</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Aggregated or restricted.</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 testimony</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Restricted by default; public summary only after consent and safety review.</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Sacred, cultural, or indigenous knowledge</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Community-governed, consent-only, or suppressed.</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 harm exposure locations</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Masked, aggregated, or restricted.</w:t>
            </w:r>
          </w:p>
        </w:tc>
      </w:tr>
      <w:tr>
        <w:tc>
          <w:tcPr>
            <w:tcW w:type="dxa" w:w="31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Individual identity data</w:t>
            </w:r>
          </w:p>
        </w:tc>
        <w:tc>
          <w:tcPr>
            <w:tcW w:type="dxa" w:w="676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Do not publish; collect only when necessary and protected.</w:t>
            </w:r>
          </w:p>
        </w:tc>
      </w:tr>
    </w:tbl>
    <w:p/>
    <w:p>
      <w:pPr>
        <w:pStyle w:val="Heading1"/>
      </w:pPr>
      <w:r>
        <w:rPr>
          <w:rFonts w:ascii="Aptos Display" w:hAnsi="Aptos Display"/>
          <w:color w:val="123626"/>
        </w:rPr>
        <w:t>13. Constitutional Red Lines</w:t>
      </w:r>
    </w:p>
    <w:p>
      <w:pPr>
        <w:pStyle w:val="ListBullet"/>
        <w:spacing w:after="60"/>
      </w:pPr>
      <w:r>
        <w:t>No classification of human beings as natural resources.</w:t>
      </w:r>
    </w:p>
    <w:p>
      <w:pPr>
        <w:pStyle w:val="ListBullet"/>
        <w:spacing w:after="60"/>
      </w:pPr>
      <w:r>
        <w:t>No individual talent scores.</w:t>
      </w:r>
    </w:p>
    <w:p>
      <w:pPr>
        <w:pStyle w:val="ListBullet"/>
        <w:spacing w:after="60"/>
      </w:pPr>
      <w:r>
        <w:t>No public labor availability maps that enable exploitation.</w:t>
      </w:r>
    </w:p>
    <w:p>
      <w:pPr>
        <w:pStyle w:val="ListBullet"/>
        <w:spacing w:after="60"/>
      </w:pPr>
      <w:r>
        <w:t>No race, ethnicity, caste, tribe, religion, disability, nationality, or migration-status proxy for talent.</w:t>
      </w:r>
    </w:p>
    <w:p>
      <w:pPr>
        <w:pStyle w:val="ListBullet"/>
        <w:spacing w:after="60"/>
      </w:pPr>
      <w:r>
        <w:t>No publication of sensitive community knowledge without authority and consent.</w:t>
      </w:r>
    </w:p>
    <w:p>
      <w:pPr>
        <w:pStyle w:val="ListBullet"/>
        <w:spacing w:after="60"/>
      </w:pPr>
      <w:r>
        <w:t>No public mapping of vulnerable groups at actionable resolution.</w:t>
      </w:r>
    </w:p>
    <w:p>
      <w:pPr>
        <w:pStyle w:val="ListBullet"/>
        <w:spacing w:after="60"/>
      </w:pPr>
      <w:r>
        <w:t>No use of capability data for coercive recruitment, surveillance, policing, union avoidance, displacement, or targeting.</w:t>
      </w:r>
    </w:p>
    <w:p>
      <w:pPr>
        <w:pStyle w:val="ListBullet"/>
        <w:spacing w:after="60"/>
      </w:pPr>
      <w:r>
        <w:t>No reduction of human flourishing to wages, GDP, productivity, fiscal revenue, or export volume.</w:t>
      </w:r>
    </w:p>
    <w:p>
      <w:pPr>
        <w:pStyle w:val="ListBullet"/>
        <w:spacing w:after="60"/>
      </w:pPr>
      <w:r>
        <w:t>No claim that public revenue equals public benefit without outcome evidence.</w:t>
      </w:r>
    </w:p>
    <w:p>
      <w:pPr>
        <w:pStyle w:val="ListBullet"/>
        <w:spacing w:after="60"/>
      </w:pPr>
      <w:r>
        <w:t>No dashboard that treats human dignity as an externality.</w:t>
      </w:r>
    </w:p>
    <w:tbl>
      <w:tblPr>
        <w:tblW w:type="auto" w:w="0"/>
        <w:jc w:val="center"/>
        <w:tblLook w:firstColumn="1" w:firstRow="1" w:lastColumn="0" w:lastRow="0" w:noHBand="0" w:noVBand="1" w:val="04A0"/>
      </w:tblPr>
      <w:tblGrid>
        <w:gridCol w:w="10368"/>
      </w:tblGrid>
      <w:tr>
        <w:tc>
          <w:tcPr>
            <w:tcW w:type="dxa" w:w="10368"/>
            <w:shd w:fill="F8F1E4"/>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b/>
                <w:color w:val="123626"/>
                <w:sz w:val="20"/>
              </w:rPr>
              <w:t>Reference line</w:t>
            </w:r>
          </w:p>
          <w:p>
            <w:pPr>
              <w:spacing w:after="0"/>
            </w:pPr>
            <w:r>
              <w:rPr>
                <w:rFonts w:ascii="Aptos" w:hAnsi="Aptos"/>
                <w:i/>
                <w:sz w:val="20"/>
              </w:rPr>
              <w:t>The moral unit is not the commodity. The moral unit is the living relationship among people, place, work, value, and future life.</w:t>
            </w:r>
          </w:p>
        </w:tc>
      </w:tr>
    </w:tbl>
    <w:p/>
    <w:p>
      <w:pPr>
        <w:pStyle w:val="Heading1"/>
      </w:pPr>
      <w:r>
        <w:rPr>
          <w:rFonts w:ascii="Aptos Display" w:hAnsi="Aptos Display"/>
          <w:color w:val="123626"/>
        </w:rPr>
        <w:t>14. Public Communication Guide</w:t>
      </w:r>
    </w:p>
    <w:p>
      <w:pPr>
        <w:spacing w:after="120" w:line="259" w:lineRule="auto"/>
      </w:pPr>
      <w:r>
        <w:t>The public language should be vivid, legally careful, and institutionally humble. It should make human dignity central without implying that EEO governs people, territories, or resources.</w:t>
      </w:r>
    </w:p>
    <w:tbl>
      <w:tblPr>
        <w:tblStyle w:val="TableGrid"/>
        <w:tblW w:type="auto" w:w="0"/>
        <w:jc w:val="center"/>
        <w:tblLook w:firstColumn="1" w:firstRow="1" w:lastColumn="0" w:lastRow="0" w:noHBand="0" w:noVBand="1" w:val="04A0"/>
      </w:tblPr>
      <w:tblGrid>
        <w:gridCol w:w="5184"/>
        <w:gridCol w:w="5184"/>
      </w:tblGrid>
      <w:tr>
        <w:tc>
          <w:tcPr>
            <w:tcW w:type="dxa" w:w="489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Use</w:t>
            </w:r>
          </w:p>
        </w:tc>
        <w:tc>
          <w:tcPr>
            <w:tcW w:type="dxa" w:w="4896"/>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7"/>
              </w:rPr>
              <w:t>Avoid</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Human capability and stewardship</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Human resource inventory</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Worker dignity and value capture</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Labor supply optimization</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Protected legibility under consent</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Full transparency of community knowledge</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Capability formation</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Population productivity score</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Ecological relationship</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Primitive attachment to land</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Community-governed knowledge</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Open data for all local knowledge</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Future inheritance</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Extract now, remediate later</w:t>
            </w:r>
          </w:p>
        </w:tc>
      </w:tr>
      <w:tr>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Rights-bearing agents</w:t>
            </w:r>
          </w:p>
        </w:tc>
        <w:tc>
          <w:tcPr>
            <w:tcW w:type="dxa" w:w="4896"/>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7"/>
              </w:rPr>
              <w:t>Human assets</w:t>
            </w:r>
          </w:p>
        </w:tc>
      </w:tr>
    </w:tbl>
    <w:p/>
    <w:p>
      <w:pPr>
        <w:pStyle w:val="Heading2"/>
      </w:pPr>
      <w:r>
        <w:rPr>
          <w:rFonts w:ascii="Aptos Display" w:hAnsi="Aptos Display"/>
          <w:color w:val="123626"/>
        </w:rPr>
        <w:t>One-sentence version</w:t>
      </w:r>
    </w:p>
    <w:tbl>
      <w:tblPr>
        <w:tblW w:type="auto" w:w="0"/>
        <w:jc w:val="center"/>
        <w:tblLook w:firstColumn="1" w:firstRow="1" w:lastColumn="0" w:lastRow="0" w:noHBand="0" w:noVBand="1" w:val="04A0"/>
      </w:tblPr>
      <w:tblGrid>
        <w:gridCol w:w="10368"/>
      </w:tblGrid>
      <w:tr>
        <w:tc>
          <w:tcPr>
            <w:tcW w:type="dxa" w:w="10368"/>
            <w:shd w:fill="EAF3EC"/>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i/>
                <w:sz w:val="20"/>
              </w:rPr>
              <w:t>The Earth Endowment Observatory studies humans not as resources, but as rights-bearing agents whose capability, labor, knowledge, governance, ecological relationship, and future inheritance determine whether endowment use is legitimate.</w:t>
            </w:r>
          </w:p>
        </w:tc>
      </w:tr>
    </w:tbl>
    <w:p/>
    <w:p>
      <w:pPr>
        <w:pStyle w:val="Heading2"/>
      </w:pPr>
      <w:r>
        <w:rPr>
          <w:rFonts w:ascii="Aptos Display" w:hAnsi="Aptos Display"/>
          <w:color w:val="123626"/>
        </w:rPr>
        <w:t>Homepage-ready version</w:t>
      </w:r>
    </w:p>
    <w:p>
      <w:pPr>
        <w:spacing w:after="120" w:line="259" w:lineRule="auto"/>
      </w:pPr>
      <w:r>
        <w:t>Earth's endowments become value through people: workers, communities, scientists, stewards, public institutions, entrepreneurs, and future generations. EEO makes this relationship visible without reducing people to inputs or exposing vulnerable knowledge, places, or communities.</w:t>
      </w:r>
    </w:p>
    <w:p>
      <w:pPr>
        <w:pStyle w:val="Heading2"/>
      </w:pPr>
      <w:r>
        <w:rPr>
          <w:rFonts w:ascii="Aptos Display" w:hAnsi="Aptos Display"/>
          <w:color w:val="123626"/>
        </w:rPr>
        <w:t>Policy version</w:t>
      </w:r>
    </w:p>
    <w:p>
      <w:pPr>
        <w:spacing w:after="120" w:line="259" w:lineRule="auto"/>
      </w:pPr>
      <w:r>
        <w:t>EEO supports informed sovereignty and public accountability by connecting natural endowment evidence with human capability, labor conditions, rights, public benefit, ecological stewardship, and intergenerational outcomes. It does not adjudicate rights, rank populations, or publish sensitive community data without authority and protection.</w:t>
      </w:r>
    </w:p>
    <w:p>
      <w:pPr>
        <w:pStyle w:val="Heading1"/>
      </w:pPr>
      <w:r>
        <w:rPr>
          <w:rFonts w:ascii="Aptos Display" w:hAnsi="Aptos Display"/>
          <w:color w:val="123626"/>
        </w:rPr>
        <w:t>15. Implementation Sequence</w:t>
      </w:r>
    </w:p>
    <w:tbl>
      <w:tblPr>
        <w:tblStyle w:val="TableGrid"/>
        <w:tblW w:type="auto" w:w="0"/>
        <w:jc w:val="center"/>
        <w:tblLook w:firstColumn="1" w:firstRow="1" w:lastColumn="0" w:lastRow="0" w:noHBand="0" w:noVBand="1" w:val="04A0"/>
      </w:tblPr>
      <w:tblGrid>
        <w:gridCol w:w="3456"/>
        <w:gridCol w:w="3456"/>
        <w:gridCol w:w="3456"/>
      </w:tblGrid>
      <w:tr>
        <w:tc>
          <w:tcPr>
            <w:tcW w:type="dxa" w:w="86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Step</w:t>
            </w:r>
          </w:p>
        </w:tc>
        <w:tc>
          <w:tcPr>
            <w:tcW w:type="dxa" w:w="6480"/>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Build action</w:t>
            </w:r>
          </w:p>
        </w:tc>
        <w:tc>
          <w:tcPr>
            <w:tcW w:type="dxa" w:w="259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Gate</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1</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Adopt the doctrine clause: humans are not endowments; humans are rights-bearing agents in relation to endowments.</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Founder approval.</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2</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Add the Human Capability, Labor, Stewardship, and Relationship Layer to the ontology.</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Methods and safeguards review.</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3</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Create database stubs for capability profiles, labor processes, biocultural relations, and harm exposures.</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Data model review.</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4</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Add the Human Capability and Stewardship Profile to the pilot dossier architecture.</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Product review.</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5</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Define disclosure defaults for human-related claims.</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Safeguards and legal review.</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6</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Create indicator cards for labor dignity, capability conversion, worker voice, and public benefit outcomes.</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Evidence standard review.</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7</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Test the profile using only public, synthetic, or consent-cleared data.</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Internal QA.</w:t>
            </w:r>
          </w:p>
        </w:tc>
      </w:tr>
      <w:tr>
        <w:tc>
          <w:tcPr>
            <w:tcW w:type="dxa" w:w="86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8</w:t>
            </w:r>
          </w:p>
        </w:tc>
        <w:tc>
          <w:tcPr>
            <w:tcW w:type="dxa" w:w="6480"/>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Run exposure review before any public map, community relation, or named actor claim.</w:t>
            </w:r>
          </w:p>
        </w:tc>
        <w:tc>
          <w:tcPr>
            <w:tcW w:type="dxa" w:w="259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Launch gate.</w:t>
            </w:r>
          </w:p>
        </w:tc>
      </w:tr>
    </w:tbl>
    <w:p/>
    <w:p>
      <w:pPr>
        <w:pStyle w:val="Heading2"/>
      </w:pPr>
      <w:r>
        <w:rPr>
          <w:rFonts w:ascii="Aptos Display" w:hAnsi="Aptos Display"/>
          <w:color w:val="123626"/>
        </w:rPr>
        <w:t>Immediate next actions</w:t>
      </w:r>
    </w:p>
    <w:p>
      <w:pPr>
        <w:pStyle w:val="ListBullet"/>
        <w:spacing w:after="60"/>
      </w:pPr>
      <w:r>
        <w:t>Insert the doctrine clause into the canonical specification after the Earth Endowments definition.</w:t>
      </w:r>
    </w:p>
    <w:p>
      <w:pPr>
        <w:pStyle w:val="ListBullet"/>
        <w:spacing w:after="60"/>
      </w:pPr>
      <w:r>
        <w:t>Add Human Capability and Stewardship Profile to the product route backlog.</w:t>
      </w:r>
    </w:p>
    <w:p>
      <w:pPr>
        <w:pStyle w:val="ListBullet"/>
        <w:spacing w:after="60"/>
      </w:pPr>
      <w:r>
        <w:t>Add database stubs to the data dictionary before the first pilot migration hardens.</w:t>
      </w:r>
    </w:p>
    <w:p>
      <w:pPr>
        <w:pStyle w:val="ListBullet"/>
        <w:spacing w:after="60"/>
      </w:pPr>
      <w:r>
        <w:t>Create a human-layer safeguards checklist for any worker, community, indigenous, or vulnerable-population data.</w:t>
      </w:r>
    </w:p>
    <w:p>
      <w:pPr>
        <w:pStyle w:val="ListBullet"/>
        <w:spacing w:after="60"/>
      </w:pPr>
      <w:r>
        <w:t>Draft synthetic sample data for capability profiles and labor indicators; do not use real sensitive data in seed files.</w:t>
      </w:r>
    </w:p>
    <w:p>
      <w:pPr>
        <w:pStyle w:val="ListBullet"/>
        <w:spacing w:after="60"/>
      </w:pPr>
      <w:r>
        <w:t>Add public copy to methods-and-limits explaining that EEO does not rank people, infer talent from identity, or publish vulnerable community data by default.</w:t>
      </w:r>
    </w:p>
    <w:p>
      <w:pPr>
        <w:pStyle w:val="Heading1"/>
      </w:pPr>
      <w:r>
        <w:rPr>
          <w:rFonts w:ascii="Aptos Display" w:hAnsi="Aptos Display"/>
          <w:color w:val="123626"/>
        </w:rPr>
        <w:t>Appendix A. Competency Stack for the Human Layer</w:t>
      </w:r>
    </w:p>
    <w:tbl>
      <w:tblPr>
        <w:tblStyle w:val="TableGrid"/>
        <w:tblW w:type="auto" w:w="0"/>
        <w:jc w:val="center"/>
        <w:tblLook w:firstColumn="1" w:firstRow="1" w:lastColumn="0" w:lastRow="0" w:noHBand="0" w:noVBand="1" w:val="04A0"/>
      </w:tblPr>
      <w:tblGrid>
        <w:gridCol w:w="5184"/>
        <w:gridCol w:w="5184"/>
      </w:tblGrid>
      <w:tr>
        <w:tc>
          <w:tcPr>
            <w:tcW w:type="dxa" w:w="331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Competency</w:t>
            </w:r>
          </w:p>
        </w:tc>
        <w:tc>
          <w:tcPr>
            <w:tcW w:type="dxa" w:w="662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Role in the human layer</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Political philosophy</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Clarifies dignity, personhood, capability, justice, stewardship, and intergenerational duty.</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International law and indigenous rights</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Protects sovereignty, self-determination, consent, customary authority, and data sovereignty.</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Natural resource governance</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Connects people to concessions, permits, institutions, public obligations, and accountability.</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Ecological economics</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Links human capability, ecological limits, depletion, restoration, and public benefit.</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economics</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Examines wages, safety, bargaining power, informality, coercion risk, and value capture.</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Trade and value-chain analysis</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Shows how local work, harm, and capability connect to global value chains.</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Earth systems and geospatial science</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Observes ecological change while preventing map-based exposure harm.</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Data governance and safeguards</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Defines what can be public, aggregated, restricted, community-governed, or suppressed.</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Product architecture</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Converts doctrine into evidence dossiers, profiles, claims, workflows, and release gates.</w:t>
            </w:r>
          </w:p>
        </w:tc>
      </w:tr>
      <w:tr>
        <w:tc>
          <w:tcPr>
            <w:tcW w:type="dxa" w:w="33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Public communication</w:t>
            </w:r>
          </w:p>
        </w:tc>
        <w:tc>
          <w:tcPr>
            <w:tcW w:type="dxa" w:w="66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Makes the human layer intelligible without reckless claims or extractive language.</w:t>
            </w:r>
          </w:p>
        </w:tc>
      </w:tr>
    </w:tbl>
    <w:p/>
    <w:p>
      <w:pPr>
        <w:pStyle w:val="Heading1"/>
      </w:pPr>
      <w:r>
        <w:rPr>
          <w:rFonts w:ascii="Aptos Display" w:hAnsi="Aptos Display"/>
          <w:color w:val="123626"/>
        </w:rPr>
        <w:t>Appendix B. Ready-to-Insert Constitutional Clause</w:t>
      </w:r>
    </w:p>
    <w:p>
      <w:pPr>
        <w:spacing w:after="120" w:line="259" w:lineRule="auto"/>
      </w:pPr>
      <w:r>
        <w:t>Use this section as direct insertion language in the canonical doctrine or systems specification.</w:t>
      </w:r>
    </w:p>
    <w:tbl>
      <w:tblPr>
        <w:tblW w:type="auto" w:w="0"/>
        <w:jc w:val="center"/>
        <w:tblLook w:firstColumn="1" w:firstRow="1" w:lastColumn="0" w:lastRow="0" w:noHBand="0" w:noVBand="1" w:val="04A0"/>
      </w:tblPr>
      <w:tblGrid>
        <w:gridCol w:w="10368"/>
      </w:tblGrid>
      <w:tr>
        <w:tc>
          <w:tcPr>
            <w:tcW w:type="dxa" w:w="10368"/>
            <w:shd w:fill="EAF3EC"/>
            <w:tcBorders>
              <w:top w:val="single" w:sz="8" w:space="0" w:color="CBBE9B"/>
              <w:left w:val="single" w:sz="8" w:space="0" w:color="CBBE9B"/>
              <w:bottom w:val="single" w:sz="8" w:space="0" w:color="CBBE9B"/>
              <w:right w:val="single" w:sz="8" w:space="0" w:color="CBBE9B"/>
            </w:tcBorders>
          </w:tcPr>
          <w:p>
            <w:pPr>
              <w:spacing w:after="0"/>
            </w:pPr>
            <w:r>
              <w:rPr>
                <w:rFonts w:ascii="Aptos" w:hAnsi="Aptos"/>
              </w:rPr>
            </w:r>
            <w:r>
              <w:rPr>
                <w:rFonts w:ascii="Aptos" w:hAnsi="Aptos"/>
                <w:i/>
                <w:sz w:val="20"/>
              </w:rPr>
              <w:t>Humans in the Earth Endowment System</w:t>
              <w:br/>
              <w:br/>
              <w:t>EEO does not classify human beings as natural resources, economic assets, labor inventory, or productive stock. Human beings are rights-bearing, knowledge-bearing, laboring, creative, governing, ecological, cultural, and intergenerational agents within endowment systems. Human capabilities transform endowments into usable value through labor, care, knowledge, technology, organization, governance, and imagination. Human communities also maintain endowments through stewardship, ecological knowledge, customary law, scientific practice, restoration work, and cultural relation.</w:t>
              <w:br/>
              <w:br/>
              <w:t>EEO therefore studies human systems in relation to endowments: the distribution of skills, health, labor conditions, education, scientific capacity, ecological knowledge, bargaining power, civic institutions, public benefit, vulnerability, and stewardship responsibility. It does not rank human worth, commodify persons, expose vulnerable communities, or reduce talent to market price.</w:t>
              <w:br/>
              <w:br/>
              <w:t>The ultimate test of endowment governance is not extraction volume, export value, or GDP. It is whether Earth's endowments are transformed in ways that respect rights, dignify labor, sustain ecological life, expand human capability, repair damage, and preserve future inheritance.</w:t>
            </w:r>
          </w:p>
        </w:tc>
      </w:tr>
    </w:tbl>
    <w:p/>
    <w:p>
      <w:pPr>
        <w:pStyle w:val="Heading1"/>
      </w:pPr>
      <w:r>
        <w:rPr>
          <w:rFonts w:ascii="Aptos Display" w:hAnsi="Aptos Display"/>
          <w:color w:val="123626"/>
        </w:rPr>
        <w:t>Appendix C. Glossary</w:t>
      </w:r>
    </w:p>
    <w:tbl>
      <w:tblPr>
        <w:tblStyle w:val="TableGrid"/>
        <w:tblW w:type="auto" w:w="0"/>
        <w:jc w:val="center"/>
        <w:tblLook w:firstColumn="1" w:firstRow="1" w:lastColumn="0" w:lastRow="0" w:noHBand="0" w:noVBand="1" w:val="04A0"/>
      </w:tblPr>
      <w:tblGrid>
        <w:gridCol w:w="5184"/>
        <w:gridCol w:w="5184"/>
      </w:tblGrid>
      <w:tr>
        <w:tc>
          <w:tcPr>
            <w:tcW w:type="dxa" w:w="3024"/>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Term</w:t>
            </w:r>
          </w:p>
        </w:tc>
        <w:tc>
          <w:tcPr>
            <w:tcW w:type="dxa" w:w="6912"/>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Definition</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Human capability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The real freedom and capacity of people to live, learn, work safely, govern, create, care, participate, adapt, restore, and inherit a viable future.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Talent distribution</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The aggregate distribution of developed and latent capabilities across geographies, institutions, and communities; never an individual worth ranking.</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Skill ecology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The system of formal, informal, technical, ecological, institutional, and care capacities that make a value chain possible.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Ingenuity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Distributed intelligence that includes science, engineering, local adaptation, repair, ecological knowledge, institutional invention, and collective problem-solving.</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Labor process</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The organized deployment of human capability to transform, maintain, extract, transport, process, repair, or restore an endowment.</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Biocultural relation</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A relationship among people, place, species, ecosystem, knowledge, identity, livelihood, law, sacred meaning, or stewardship practice.</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Capability conversion</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The process by which endowment value becomes or fails to become health, education, safety, bargaining power, public infrastructure, ecological repair, and future opportunity.</w:t>
            </w:r>
          </w:p>
        </w:tc>
      </w:tr>
      <w:tr>
        <w:tc>
          <w:tcPr>
            <w:tcW w:type="dxa" w:w="3024"/>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Governed visibility</w:t>
            </w:r>
          </w:p>
        </w:tc>
        <w:tc>
          <w:tcPr>
            <w:tcW w:type="dxa" w:w="6912"/>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Transparency disciplined by rights, consent, uncertainty, harm review, and tiered disclosure.</w:t>
            </w:r>
          </w:p>
        </w:tc>
      </w:tr>
    </w:tbl>
    <w:p/>
    <w:p>
      <w:pPr>
        <w:pStyle w:val="Heading1"/>
      </w:pPr>
      <w:r>
        <w:rPr>
          <w:rFonts w:ascii="Aptos Display" w:hAnsi="Aptos Display"/>
          <w:color w:val="123626"/>
        </w:rPr>
        <w:t>Appendix D. Source Basis and Integration Notes</w:t>
      </w:r>
    </w:p>
    <w:p>
      <w:pPr>
        <w:spacing w:after="120" w:line="259" w:lineRule="auto"/>
      </w:pPr>
      <w:r>
        <w:t>This reference addendum consolidates the conversation drafts and aligns them with the existing Earth Endowment Observatory doctrine and systems documents. It is designed to be added to the canonical specification without changing the MVP posture: controlled evidence product first, limited dashboard second, broader knowledge commons only after trust is earned.</w:t>
      </w:r>
    </w:p>
    <w:tbl>
      <w:tblPr>
        <w:tblStyle w:val="TableGrid"/>
        <w:tblW w:type="auto" w:w="0"/>
        <w:jc w:val="center"/>
        <w:tblLook w:firstColumn="1" w:firstRow="1" w:lastColumn="0" w:lastRow="0" w:noHBand="0" w:noVBand="1" w:val="04A0"/>
      </w:tblPr>
      <w:tblGrid>
        <w:gridCol w:w="5184"/>
        <w:gridCol w:w="5184"/>
      </w:tblGrid>
      <w:tr>
        <w:tc>
          <w:tcPr>
            <w:tcW w:type="dxa" w:w="388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Source document</w:t>
            </w:r>
          </w:p>
        </w:tc>
        <w:tc>
          <w:tcPr>
            <w:tcW w:type="dxa" w:w="6048"/>
            <w:shd w:fill="EAF3EC"/>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color w:val="123626"/>
                <w:sz w:val="16"/>
              </w:rPr>
              <w:t>Relevant contribution</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Canonical Institutional, Product, and Web-App Systems Specification v2.0</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Evidence-first loop, tiered disclosure, claim provenance, map safety, right-of-reply, product discipline, and launch gates.</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Founding Doctrine and Technical Design Annex</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Moral theory, plural governance, non-duplication doctrine, labor and value theory, exposure ethics, and the public manifesto.</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Narrative and Technical Concept Paper</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Mature theory of endowments, legal humility, value-capture framework, human flourishing, and institutional leverage.</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Map Safety Protocol</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Default generalization, coordinate caution, exposure review before high-resolution publication.</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Right-of-Reply Protocol</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Named-party challenge path, method boundaries, and non-adjudicatory posture.</w:t>
            </w:r>
          </w:p>
        </w:tc>
      </w:tr>
      <w:tr>
        <w:tc>
          <w:tcPr>
            <w:tcW w:type="dxa" w:w="388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Data Policy</w:t>
            </w:r>
          </w:p>
        </w:tc>
        <w:tc>
          <w:tcPr>
            <w:tcW w:type="dxa" w:w="6048"/>
            <w:tcBorders>
              <w:top w:val="single" w:sz="6" w:space="0" w:color="B7B7B7"/>
              <w:left w:val="single" w:sz="6" w:space="0" w:color="B7B7B7"/>
              <w:bottom w:val="single" w:sz="6" w:space="0" w:color="B7B7B7"/>
              <w:right w:val="single" w:sz="6" w:space="0" w:color="B7B7B7"/>
            </w:tcBorders>
            <w:vAlign w:val="top"/>
          </w:tcPr>
          <w:p>
            <w:pPr>
              <w:spacing w:after="0"/>
            </w:pPr>
            <w:r>
              <w:rPr>
                <w:rFonts w:ascii="Aptos" w:hAnsi="Aptos"/>
              </w:rPr>
            </w:r>
            <w:r>
              <w:rPr>
                <w:rFonts w:ascii="Aptos" w:hAnsi="Aptos"/>
                <w:b w:val="0"/>
                <w:sz w:val="16"/>
              </w:rPr>
              <w:t>Synthetic data posture, no sensitive coordinates, no raw restricted evidence, explicit disclosure tiering, correction and right-of-reply pathways.</w:t>
            </w:r>
          </w:p>
        </w:tc>
      </w:tr>
    </w:tbl>
    <w:p/>
    <w:p>
      <w:pPr>
        <w:pStyle w:val="Heading2"/>
      </w:pPr>
      <w:r>
        <w:rPr>
          <w:rFonts w:ascii="Aptos Display" w:hAnsi="Aptos Display"/>
          <w:color w:val="123626"/>
        </w:rPr>
        <w:t>Document status</w:t>
      </w:r>
    </w:p>
    <w:p>
      <w:pPr>
        <w:spacing w:after="120" w:line="259" w:lineRule="auto"/>
      </w:pPr>
      <w:r>
        <w:t>This is a reference draft, not a legal opinion, data release, or final publication policy. Before public implementation, human-related data structures and public copy should receive legal, safeguards, labor/human-rights, community, and methods review.</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063"/>
        <w:sz w:val="16"/>
      </w:rPr>
      <w:t xml:space="preserve">Page </w:t>
    </w:r>
    <w:r>
      <w:rPr>
        <w:color w:val="59606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6063"/>
        <w:sz w:val="16"/>
      </w:rPr>
      <w:t>Earth Endowment Observatory | Human Capability and Stewardship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6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6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6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