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color w:val="666666"/>
          <w:sz w:val="22"/>
          <w:szCs w:val="22"/>
        </w:rPr>
        <w:t xml:space="preserve">ENSPD — Niveau 5 · Architecture Logicielle &amp; Objets répartis</w:t>
      </w:r>
    </w:p>
    <w:p>
      <w:pPr>
        <w:spacing w:after="200"/>
        <w:jc w:val="center"/>
      </w:pPr>
      <w:r>
        <w:rPr>
          <w:b/>
          <w:bCs/>
          <w:color w:val="1F4E79"/>
          <w:sz w:val="44"/>
          <w:szCs w:val="44"/>
        </w:rPr>
        <w:t xml:space="preserve">SPÉCIFICATIONS FONCTIONNELLES (FRS)</w:t>
      </w:r>
    </w:p>
    <w:p>
      <w:pPr>
        <w:spacing w:after="60"/>
        <w:jc w:val="center"/>
      </w:pPr>
      <w:r>
        <w:rPr>
          <w:b/>
          <w:bCs/>
          <w:sz w:val="28"/>
          <w:szCs w:val="28"/>
        </w:rPr>
        <w:t xml:space="preserve">API intermédiaire de gestion des actes administratifs</w:t>
      </w:r>
    </w:p>
    <w:p>
      <w:pPr>
        <w:spacing w:after="60"/>
        <w:jc w:val="center"/>
      </w:pPr>
      <w:r>
        <w:rPr>
          <w:b/>
          <w:bCs/>
          <w:sz w:val="28"/>
          <w:szCs w:val="28"/>
        </w:rPr>
        <w:t xml:space="preserve">Intégration avec Pipedrive</w:t>
      </w:r>
    </w:p>
    <w:p>
      <w:pPr>
        <w:spacing w:after="40" w:before="300"/>
        <w:jc w:val="center"/>
      </w:pPr>
      <w:r>
        <w:rPr>
          <w:sz w:val="22"/>
          <w:szCs w:val="22"/>
        </w:rPr>
        <w:t xml:space="preserve">Version 3.0 — Alignement sur le cahier des charges v3.0 et l’analyse fonctionnelle v1.0</w:t>
      </w:r>
    </w:p>
    <w:p>
      <w:pPr>
        <w:spacing w:after="400"/>
        <w:jc w:val="center"/>
      </w:pPr>
      <w:r>
        <w:rPr>
          <w:sz w:val="22"/>
          <w:szCs w:val="22"/>
        </w:rPr>
        <w:t xml:space="preserve">Date : 29 octobre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2"/>
        <w:gridCol w:w="7036"/>
      </w:tblGrid>
      <w:tr>
        <w:trPr>
          <w:tblHeader/>
        </w:trPr>
        <w:tc>
          <w:tcPr>
            <w:tcW w:type="dxa" w:w="2602"/>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Élément</w:t>
            </w:r>
          </w:p>
        </w:tc>
        <w:tc>
          <w:tcPr>
            <w:tcW w:type="dxa" w:w="7036"/>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Description</w:t>
            </w:r>
          </w:p>
        </w:tc>
      </w:tr>
      <w:tr>
        <w:trPr>
          <w:cantSplit/>
        </w:trPr>
        <w:tc>
          <w:tcPr>
            <w:tcW w:type="dxa" w:w="260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Document</w:t>
            </w:r>
          </w:p>
        </w:tc>
        <w:tc>
          <w:tcPr>
            <w:tcW w:type="dxa" w:w="703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Functional Requirements Specification (FRS)</w:t>
            </w:r>
          </w:p>
        </w:tc>
      </w:tr>
      <w:tr>
        <w:trPr>
          <w:cantSplit/>
        </w:trPr>
        <w:tc>
          <w:tcPr>
            <w:tcW w:type="dxa" w:w="260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Référentiel</w:t>
            </w:r>
          </w:p>
        </w:tc>
        <w:tc>
          <w:tcPr>
            <w:tcW w:type="dxa" w:w="703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Cahier des charges v3.0 (CDC) · Document d’analyse fonctionnelle v1.0 (AF) · ISD-001 v2.0</w:t>
            </w:r>
          </w:p>
        </w:tc>
      </w:tr>
      <w:tr>
        <w:trPr>
          <w:cantSplit/>
        </w:trPr>
        <w:tc>
          <w:tcPr>
            <w:tcW w:type="dxa" w:w="260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Système intégré</w:t>
            </w:r>
          </w:p>
        </w:tc>
        <w:tc>
          <w:tcPr>
            <w:tcW w:type="dxa" w:w="703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Pipedrive — API v2 (Persons, Deals, Activities, Pipelines, Stages) et API v1 (users/me uniquement)</w:t>
            </w:r>
          </w:p>
        </w:tc>
      </w:tr>
      <w:tr>
        <w:trPr>
          <w:cantSplit/>
        </w:trPr>
        <w:tc>
          <w:tcPr>
            <w:tcW w:type="dxa" w:w="260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Principe d’architecture</w:t>
            </w:r>
          </w:p>
        </w:tc>
        <w:tc>
          <w:tcPr>
            <w:tcW w:type="dxa" w:w="703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L’API intermédiaire porte les règles et les données métier (source de vérité). Pipedrive reçoit une projection minimale de suivi : contact, deal, activités.</w:t>
            </w:r>
          </w:p>
        </w:tc>
      </w:tr>
      <w:tr>
        <w:trPr>
          <w:cantSplit/>
        </w:trPr>
        <w:tc>
          <w:tcPr>
            <w:tcW w:type="dxa" w:w="260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Encadrant</w:t>
            </w:r>
          </w:p>
        </w:tc>
        <w:tc>
          <w:tcPr>
            <w:tcW w:type="dxa" w:w="703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M. Tchuigoua Elvé</w:t>
            </w:r>
          </w:p>
        </w:tc>
      </w:tr>
      <w:tr>
        <w:trPr>
          <w:cantSplit/>
        </w:trPr>
        <w:tc>
          <w:tcPr>
            <w:tcW w:type="dxa" w:w="260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Statut</w:t>
            </w:r>
          </w:p>
        </w:tc>
        <w:tc>
          <w:tcPr>
            <w:tcW w:type="dxa" w:w="703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Version de travail — à valider par l’encadrant (prototype académique sur données fictives)</w:t>
            </w:r>
          </w:p>
        </w:tc>
      </w:tr>
    </w:tbl>
    <w:p>
      <w:pPr>
        <w:spacing w:after="80"/>
      </w:pPr>
    </w:p>
    <w:p>
      <w:r>
        <w:br w:type="page"/>
      </w:r>
    </w:p>
    <w:p>
      <w:pPr>
        <w:spacing w:after="160"/>
      </w:pPr>
      <w:r>
        <w:rPr>
          <w:b/>
          <w:bCs/>
          <w:color w:val="1F4E79"/>
          <w:sz w:val="30"/>
          <w:szCs w:val="30"/>
        </w:rPr>
        <w:t xml:space="preserve">Sommaire</w:t>
      </w:r>
    </w:p>
    <w:p>
      <w:pPr>
        <w:spacing w:after="90"/>
        <w:ind w:left="200"/>
      </w:pPr>
      <w:r>
        <w:rPr>
          <w:sz w:val="22"/>
          <w:szCs w:val="22"/>
        </w:rPr>
        <w:t xml:space="preserve">Historique et objet du document</w:t>
      </w:r>
    </w:p>
    <w:p>
      <w:pPr>
        <w:spacing w:after="90"/>
        <w:ind w:left="200"/>
      </w:pPr>
      <w:r>
        <w:rPr>
          <w:sz w:val="22"/>
          <w:szCs w:val="22"/>
        </w:rPr>
        <w:t xml:space="preserve">1. Périmètre et responsabilités</w:t>
      </w:r>
    </w:p>
    <w:p>
      <w:pPr>
        <w:spacing w:after="90"/>
        <w:ind w:left="200"/>
      </w:pPr>
      <w:r>
        <w:rPr>
          <w:sz w:val="22"/>
          <w:szCs w:val="22"/>
        </w:rPr>
        <w:t xml:space="preserve">2. Acteurs et rôles</w:t>
      </w:r>
    </w:p>
    <w:p>
      <w:pPr>
        <w:spacing w:after="90"/>
        <w:ind w:left="200"/>
      </w:pPr>
      <w:r>
        <w:rPr>
          <w:sz w:val="22"/>
          <w:szCs w:val="22"/>
        </w:rPr>
        <w:t xml:space="preserve">3. Règles</w:t>
      </w:r>
    </w:p>
    <w:p>
      <w:pPr>
        <w:spacing w:after="90"/>
        <w:ind w:left="200"/>
      </w:pPr>
      <w:r>
        <w:rPr>
          <w:sz w:val="22"/>
          <w:szCs w:val="22"/>
        </w:rPr>
        <w:t xml:space="preserve">4. Cycle de vie du dossier</w:t>
      </w:r>
    </w:p>
    <w:p>
      <w:pPr>
        <w:spacing w:after="90"/>
        <w:ind w:left="200"/>
      </w:pPr>
      <w:r>
        <w:rPr>
          <w:sz w:val="22"/>
          <w:szCs w:val="22"/>
        </w:rPr>
        <w:t xml:space="preserve">5. Cas d’utilisation détaillés</w:t>
      </w:r>
    </w:p>
    <w:p>
      <w:pPr>
        <w:spacing w:after="90"/>
        <w:ind w:left="200"/>
      </w:pPr>
      <w:r>
        <w:rPr>
          <w:sz w:val="22"/>
          <w:szCs w:val="22"/>
        </w:rPr>
        <w:t xml:space="preserve">6. Données</w:t>
      </w:r>
    </w:p>
    <w:p>
      <w:pPr>
        <w:spacing w:after="90"/>
        <w:ind w:left="200"/>
      </w:pPr>
      <w:r>
        <w:rPr>
          <w:sz w:val="22"/>
          <w:szCs w:val="22"/>
        </w:rPr>
        <w:t xml:space="preserve">7. Contrat de l’API exposée</w:t>
      </w:r>
    </w:p>
    <w:p>
      <w:pPr>
        <w:spacing w:after="90"/>
        <w:ind w:left="200"/>
      </w:pPr>
      <w:r>
        <w:rPr>
          <w:sz w:val="22"/>
          <w:szCs w:val="22"/>
        </w:rPr>
        <w:t xml:space="preserve">8. Exigences non fonctionnelles</w:t>
      </w:r>
    </w:p>
    <w:p>
      <w:pPr>
        <w:spacing w:after="90"/>
        <w:ind w:left="200"/>
      </w:pPr>
      <w:r>
        <w:rPr>
          <w:sz w:val="22"/>
          <w:szCs w:val="22"/>
        </w:rPr>
        <w:t xml:space="preserve">9. Traçabilité</w:t>
      </w:r>
    </w:p>
    <w:p>
      <w:pPr>
        <w:spacing w:after="90"/>
        <w:ind w:left="200"/>
      </w:pPr>
      <w:r>
        <w:rPr>
          <w:sz w:val="22"/>
          <w:szCs w:val="22"/>
        </w:rPr>
        <w:t xml:space="preserve">10. Éléments du FRS v2.0 retirés ou reportés</w:t>
      </w:r>
    </w:p>
    <w:p>
      <w:pPr>
        <w:spacing w:after="90"/>
        <w:ind w:left="200"/>
      </w:pPr>
      <w:r>
        <w:rPr>
          <w:sz w:val="22"/>
          <w:szCs w:val="22"/>
        </w:rPr>
        <w:t xml:space="preserve">11. Points ouverts</w:t>
      </w:r>
    </w:p>
    <w:p>
      <w:pPr>
        <w:spacing w:after="90"/>
        <w:ind w:left="200"/>
      </w:pPr>
      <w:r>
        <w:rPr>
          <w:sz w:val="22"/>
          <w:szCs w:val="22"/>
        </w:rPr>
        <w:t xml:space="preserve">Annexe A — Conventions des diagrammes</w:t>
      </w:r>
    </w:p>
    <w:p>
      <w:r>
        <w:br w:type="page"/>
      </w:r>
    </w:p>
    <w:p>
      <w:pPr>
        <w:pStyle w:val="Heading1"/>
      </w:pPr>
      <w:r>
        <w:t xml:space="preserve">Historique et objet du document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1349"/>
        <w:gridCol w:w="1252"/>
        <w:gridCol w:w="6074"/>
      </w:tblGrid>
      <w:tr>
        <w:trPr>
          <w:tblHeader/>
        </w:trPr>
        <w:tc>
          <w:tcPr>
            <w:tcW w:type="dxa" w:w="963"/>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Version</w:t>
            </w:r>
          </w:p>
        </w:tc>
        <w:tc>
          <w:tcPr>
            <w:tcW w:type="dxa" w:w="1349"/>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Date</w:t>
            </w:r>
          </w:p>
        </w:tc>
        <w:tc>
          <w:tcPr>
            <w:tcW w:type="dxa" w:w="1252"/>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Auteur</w:t>
            </w:r>
          </w:p>
        </w:tc>
        <w:tc>
          <w:tcPr>
            <w:tcW w:type="dxa" w:w="6074"/>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Modifications</w:t>
            </w:r>
          </w:p>
        </w:tc>
      </w:tr>
      <w:tr>
        <w:trPr>
          <w:cantSplit/>
        </w:trPr>
        <w:tc>
          <w:tcPr>
            <w:tcW w:type="dxa" w:w="96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2.0</w:t>
            </w:r>
          </w:p>
        </w:tc>
        <w:tc>
          <w:tcPr>
            <w:tcW w:type="dxa" w:w="134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22/10/2026</w:t>
            </w:r>
          </w:p>
        </w:tc>
        <w:tc>
          <w:tcPr>
            <w:tcW w:type="dxa" w:w="125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Groupe 3</w:t>
            </w:r>
          </w:p>
        </w:tc>
        <w:tc>
          <w:tcPr>
            <w:tcW w:type="dxa" w:w="6074"/>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Reprise complète : authentification Pipedrive, fichiers et activités gérés dans Pipedrive.</w:t>
            </w:r>
          </w:p>
        </w:tc>
      </w:tr>
      <w:tr>
        <w:trPr>
          <w:cantSplit/>
        </w:trPr>
        <w:tc>
          <w:tcPr>
            <w:tcW w:type="dxa" w:w="96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3.0</w:t>
            </w:r>
          </w:p>
        </w:tc>
        <w:tc>
          <w:tcPr>
            <w:tcW w:type="dxa" w:w="134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29/10/2026</w:t>
            </w:r>
          </w:p>
        </w:tc>
        <w:tc>
          <w:tcPr>
            <w:tcW w:type="dxa" w:w="125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Groupe 3</w:t>
            </w:r>
          </w:p>
        </w:tc>
        <w:tc>
          <w:tcPr>
            <w:tcW w:type="dxa" w:w="6074"/>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Alignement sur le CDC v3.0 et l’AF v1.0 : authentification propre, aucun fichier transmis, module métier source de vérité, synchronisation asynchrone, API Pipedrive v2, numérotation des cas d’utilisation de l’AF.</w:t>
            </w:r>
          </w:p>
        </w:tc>
      </w:tr>
    </w:tbl>
    <w:p>
      <w:pPr>
        <w:spacing w:after="80"/>
      </w:pPr>
    </w:p>
    <w:p>
      <w:pPr>
        <w:spacing w:after="100" w:line="276"/>
      </w:pPr>
      <w:r>
        <w:rPr>
          <w:b/>
          <w:bCs/>
        </w:rPr>
        <w:t xml:space="preserve">Objet.</w:t>
      </w:r>
      <w:r>
        <w:t xml:space="preserve"> Ce document décrit ce que l’API intermédiaire doit permettre, les échanges avec Pipedrive, les conditions de réussite et les erreurs à traiter. Il est la déclinaison opérationnelle de l’AF : les cas d’utilisation portent la même numérotation (UC01 à UC17). Il précise en plus les endpoints exposés, les contrats d’erreur et les règles d’intégration. Les contrats détaillés des appels Pipedrive figurent dans l’ISD-001 v2.0.</w:t>
      </w:r>
    </w:p>
    <w:p>
      <w:pPr>
        <w:spacing w:after="100" w:line="276"/>
      </w:pPr>
      <w:r>
        <w:rPr>
          <w:b/>
          <w:bCs/>
        </w:rPr>
        <w:t xml:space="preserve">Lecture.</w:t>
      </w:r>
      <w:r>
        <w:t xml:space="preserve"> En cas de divergence, l’ordre de priorité est : CDC v3.0, puis AF v1.0, puis le présent FRS, puis l’ISD.</w:t>
      </w:r>
    </w:p>
    <w:p>
      <w:pPr>
        <w:pStyle w:val="Heading2"/>
        <w:keepNext/>
      </w:pPr>
      <w:r>
        <w:t xml:space="preserve">Résumé des décisions de la version 3.0</w:t>
      </w:r>
    </w:p>
    <w:p>
      <w:pPr>
        <w:spacing w:after="100" w:line="276"/>
      </w:pPr>
      <w:r>
        <w:t xml:space="preserve">Le FRS v2.0 contredisait le cahier des charges et l’analyse fonctionnelle sur plusieurs points structurants. Le tableau suivant récapitule les arbitrages retenus et leur fondement.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5"/>
        <w:gridCol w:w="2120"/>
        <w:gridCol w:w="4144"/>
        <w:gridCol w:w="1929"/>
      </w:tblGrid>
      <w:tr>
        <w:trPr>
          <w:tblHeader/>
        </w:trPr>
        <w:tc>
          <w:tcPr>
            <w:tcW w:type="dxa" w:w="1445"/>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Sujet</w:t>
            </w:r>
          </w:p>
        </w:tc>
        <w:tc>
          <w:tcPr>
            <w:tcW w:type="dxa" w:w="2120"/>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FRS v2.0</w:t>
            </w:r>
          </w:p>
        </w:tc>
        <w:tc>
          <w:tcPr>
            <w:tcW w:type="dxa" w:w="4144"/>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Décision v3.0</w:t>
            </w:r>
          </w:p>
        </w:tc>
        <w:tc>
          <w:tcPr>
            <w:tcW w:type="dxa" w:w="1929"/>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Fondement</w:t>
            </w:r>
          </w:p>
        </w:tc>
      </w:tr>
      <w:tr>
        <w:trPr>
          <w:cantSplit/>
        </w:trPr>
        <w:tc>
          <w:tcPr>
            <w:tcW w:type="dxa" w:w="144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Authentification</w:t>
            </w:r>
          </w:p>
        </w:tc>
        <w:tc>
          <w:tcPr>
            <w:tcW w:type="dxa" w:w="212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Connexion des utilisateurs via Pipedrive (OAuth).</w:t>
            </w:r>
          </w:p>
        </w:tc>
        <w:tc>
          <w:tcPr>
            <w:tcW w:type="dxa" w:w="4144"/>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Authentification propre à l’API (identifiant, mot de passe, JWT à durée limitée, rôles). Pipedrive est appelé côté serveur avec un jeton de compte de service.</w:t>
            </w:r>
          </w:p>
        </w:tc>
        <w:tc>
          <w:tcPr>
            <w:tcW w:type="dxa" w:w="192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AF UC01, P6 ; CDC §5.1, RG02, RG07</w:t>
            </w:r>
          </w:p>
        </w:tc>
      </w:tr>
      <w:tr>
        <w:trPr>
          <w:cantSplit/>
        </w:trPr>
        <w:tc>
          <w:tcPr>
            <w:tcW w:type="dxa" w:w="144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Fichiers</w:t>
            </w:r>
          </w:p>
        </w:tc>
        <w:tc>
          <w:tcPr>
            <w:tcW w:type="dxa" w:w="212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Téléversement, téléchargement, liaison et suppression dans Pipedrive Files.</w:t>
            </w:r>
          </w:p>
        </w:tc>
        <w:tc>
          <w:tcPr>
            <w:tcW w:type="dxa" w:w="4144"/>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Aucun fichier transmis à Pipedrive en V1. Les pièces justificatives sont déclarées (type, date, état, observation). Les UC fichiers sont reportés.</w:t>
            </w:r>
          </w:p>
        </w:tc>
        <w:tc>
          <w:tcPr>
            <w:tcW w:type="dxa" w:w="192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CDC §2.3, §2.4, §5.6, RG10 ; AF H3</w:t>
            </w:r>
          </w:p>
        </w:tc>
      </w:tr>
      <w:tr>
        <w:trPr>
          <w:cantSplit/>
        </w:trPr>
        <w:tc>
          <w:tcPr>
            <w:tcW w:type="dxa" w:w="144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Source de vérité</w:t>
            </w:r>
          </w:p>
        </w:tc>
        <w:tc>
          <w:tcPr>
            <w:tcW w:type="dxa" w:w="212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Non décidée pour les actes.</w:t>
            </w:r>
          </w:p>
        </w:tc>
        <w:tc>
          <w:tcPr>
            <w:tcW w:type="dxa" w:w="4144"/>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Le module métier (base PostgreSQL du projet) est la source de vérité des dossiers, statuts, pièces, décisions et historique. Pipedrive est un miroir.</w:t>
            </w:r>
          </w:p>
        </w:tc>
        <w:tc>
          <w:tcPr>
            <w:tcW w:type="dxa" w:w="192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CDC RG03, RG11 ; AF H2, P5</w:t>
            </w:r>
          </w:p>
        </w:tc>
      </w:tr>
      <w:tr>
        <w:trPr>
          <w:cantSplit/>
        </w:trPr>
        <w:tc>
          <w:tcPr>
            <w:tcW w:type="dxa" w:w="144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Activités</w:t>
            </w:r>
          </w:p>
        </w:tc>
        <w:tc>
          <w:tcPr>
            <w:tcW w:type="dxa" w:w="212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Pipedrive seul registre d’activités.</w:t>
            </w:r>
          </w:p>
        </w:tc>
        <w:tc>
          <w:tcPr>
            <w:tcW w:type="dxa" w:w="4144"/>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Les activités Pipedrive sont la projection des événements du dossier. L’historique interne, en ajout seul, est la trace métier officielle. Ce n’est pas un registre d’activités concurrent.</w:t>
            </w:r>
          </w:p>
        </w:tc>
        <w:tc>
          <w:tcPr>
            <w:tcW w:type="dxa" w:w="192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AF RM06, RM07, UC14</w:t>
            </w:r>
          </w:p>
        </w:tc>
      </w:tr>
      <w:tr>
        <w:trPr>
          <w:cantSplit/>
        </w:trPr>
        <w:tc>
          <w:tcPr>
            <w:tcW w:type="dxa" w:w="144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Ressources Pipedrive</w:t>
            </w:r>
          </w:p>
        </w:tc>
        <w:tc>
          <w:tcPr>
            <w:tcW w:type="dxa" w:w="212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Activities, Files, users.</w:t>
            </w:r>
          </w:p>
        </w:tc>
        <w:tc>
          <w:tcPr>
            <w:tcW w:type="dxa" w:w="4144"/>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Persons (demandeur), Deals (dossier, pipeline miroir), Activities (suivi). users/me pour le contrôle du jeton.</w:t>
            </w:r>
          </w:p>
        </w:tc>
        <w:tc>
          <w:tcPr>
            <w:tcW w:type="dxa" w:w="192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CDC EF07, EF08 ; AF §10.1</w:t>
            </w:r>
          </w:p>
        </w:tc>
      </w:tr>
      <w:tr>
        <w:trPr>
          <w:cantSplit/>
        </w:trPr>
        <w:tc>
          <w:tcPr>
            <w:tcW w:type="dxa" w:w="144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Version de l’API Pipedrive</w:t>
            </w:r>
          </w:p>
        </w:tc>
        <w:tc>
          <w:tcPr>
            <w:tcW w:type="dxa" w:w="212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Routes v1 (/api/v1/files…).</w:t>
            </w:r>
          </w:p>
        </w:tc>
        <w:tc>
          <w:tcPr>
            <w:tcW w:type="dxa" w:w="4144"/>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API v2 pour persons, deals, activities, pipelines et stages. Les routes v1 équivalentes sont dépréciées et hors support depuis le 1er août 2026.</w:t>
            </w:r>
          </w:p>
        </w:tc>
        <w:tc>
          <w:tcPr>
            <w:tcW w:type="dxa" w:w="192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AF §13 (risque version) ; changelog Pipedrive</w:t>
            </w:r>
          </w:p>
        </w:tc>
      </w:tr>
      <w:tr>
        <w:trPr>
          <w:cantSplit/>
        </w:trPr>
        <w:tc>
          <w:tcPr>
            <w:tcW w:type="dxa" w:w="144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Synchronisation</w:t>
            </w:r>
          </w:p>
        </w:tc>
        <w:tc>
          <w:tcPr>
            <w:tcW w:type="dxa" w:w="212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Appel direct, stratégie anti-doublon à définir.</w:t>
            </w:r>
          </w:p>
        </w:tc>
        <w:tc>
          <w:tcPr>
            <w:tcW w:type="dxa" w:w="4144"/>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Synchronisation asynchrone par file d’événements transactionnelle (outbox). Idempotence par clé dossier + événement. Relances bornées.</w:t>
            </w:r>
          </w:p>
        </w:tc>
        <w:tc>
          <w:tcPr>
            <w:tcW w:type="dxa" w:w="192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CDC §5.2, RG05, RG06 ; AF UC03-A2, UC14, RM06</w:t>
            </w:r>
          </w:p>
        </w:tc>
      </w:tr>
      <w:tr>
        <w:trPr>
          <w:cantSplit/>
        </w:trPr>
        <w:tc>
          <w:tcPr>
            <w:tcW w:type="dxa" w:w="144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Numérotation</w:t>
            </w:r>
          </w:p>
        </w:tc>
        <w:tc>
          <w:tcPr>
            <w:tcW w:type="dxa" w:w="212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UC-01 à UC-13 propres au FRS.</w:t>
            </w:r>
          </w:p>
        </w:tc>
        <w:tc>
          <w:tcPr>
            <w:tcW w:type="dxa" w:w="4144"/>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Numérotation de l’AF : UC01 à UC17.</w:t>
            </w:r>
          </w:p>
        </w:tc>
        <w:tc>
          <w:tcPr>
            <w:tcW w:type="dxa" w:w="192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AF §5</w:t>
            </w:r>
          </w:p>
        </w:tc>
      </w:tr>
      <w:tr>
        <w:trPr>
          <w:cantSplit/>
        </w:trPr>
        <w:tc>
          <w:tcPr>
            <w:tcW w:type="dxa" w:w="144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Interface</w:t>
            </w:r>
          </w:p>
        </w:tc>
        <w:tc>
          <w:tcPr>
            <w:tcW w:type="dxa" w:w="212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Application avec interface.</w:t>
            </w:r>
          </w:p>
        </w:tc>
        <w:tc>
          <w:tcPr>
            <w:tcW w:type="dxa" w:w="4144"/>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API REST indépendante de toute interface. L’application cliente est hors périmètre.</w:t>
            </w:r>
          </w:p>
        </w:tc>
        <w:tc>
          <w:tcPr>
            <w:tcW w:type="dxa" w:w="192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CDC §1.4 ; AF H1</w:t>
            </w:r>
          </w:p>
        </w:tc>
      </w:tr>
      <w:tr>
        <w:trPr>
          <w:cantSplit/>
        </w:trPr>
        <w:tc>
          <w:tcPr>
            <w:tcW w:type="dxa" w:w="144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Technologie</w:t>
            </w:r>
          </w:p>
        </w:tc>
        <w:tc>
          <w:tcPr>
            <w:tcW w:type="dxa" w:w="212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Non précisée.</w:t>
            </w:r>
          </w:p>
        </w:tc>
        <w:tc>
          <w:tcPr>
            <w:tcW w:type="dxa" w:w="4144"/>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Python 3.12 / FastAPI, PostgreSQL, OpenAPI. Dérogation à la proposition Spring Boot du CDC §7.3, à faire valider.</w:t>
            </w:r>
          </w:p>
        </w:tc>
        <w:tc>
          <w:tcPr>
            <w:tcW w:type="dxa" w:w="192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CDC §7.3 (« à confirmer »)</w:t>
            </w:r>
          </w:p>
        </w:tc>
      </w:tr>
    </w:tbl>
    <w:p>
      <w:pPr>
        <w:spacing w:after="80"/>
      </w:pPr>
    </w:p>
    <w:p>
      <w:pPr>
        <w:pStyle w:val="Heading1"/>
      </w:pPr>
      <w:r>
        <w:t xml:space="preserve">1. Périmètre et responsabilités</w:t>
      </w:r>
    </w:p>
    <w:p>
      <w:pPr>
        <w:pStyle w:val="Heading2"/>
        <w:keepNext/>
      </w:pPr>
      <w:r>
        <w:t xml:space="preserve">1.1 Inclus dans la version 1</w:t>
      </w:r>
    </w:p>
    <w:p>
      <w:pPr>
        <w:pStyle w:val="ListParagraph"/>
        <w:numPr>
          <w:ilvl w:val="0"/>
          <w:numId w:val="2"/>
        </w:numPr>
        <w:spacing w:after="60" w:line="264"/>
      </w:pPr>
      <w:r>
        <w:t xml:space="preserve">Une API REST/JSON documentée (OpenAPI) qui encapsule l’API Pipedrive et expose des endpoints propres au projet.</w:t>
      </w:r>
    </w:p>
    <w:p>
      <w:pPr>
        <w:pStyle w:val="ListParagraph"/>
        <w:numPr>
          <w:ilvl w:val="0"/>
          <w:numId w:val="2"/>
        </w:numPr>
        <w:spacing w:after="60" w:line="264"/>
      </w:pPr>
      <w:r>
        <w:t xml:space="preserve">Un module métier « démarches administratives » couvrant cinq démarches : acte de mariage, acte de décès, copie d’acte d’état civil, légalisation de signature, certification conforme de copies.</w:t>
      </w:r>
    </w:p>
    <w:p>
      <w:pPr>
        <w:pStyle w:val="ListParagraph"/>
        <w:numPr>
          <w:ilvl w:val="0"/>
          <w:numId w:val="2"/>
        </w:numPr>
        <w:spacing w:after="60" w:line="264"/>
      </w:pPr>
      <w:r>
        <w:t xml:space="preserve">L’authentification des agents, les rôles et les autorisations, la validation, la normalisation des réponses et des erreurs.</w:t>
      </w:r>
    </w:p>
    <w:p>
      <w:pPr>
        <w:pStyle w:val="ListParagraph"/>
        <w:numPr>
          <w:ilvl w:val="0"/>
          <w:numId w:val="2"/>
        </w:numPr>
        <w:spacing w:after="60" w:line="264"/>
      </w:pPr>
      <w:r>
        <w:t xml:space="preserve">La synchronisation vers Pipedrive (contact, deal, activités), le suivi des correspondances, la prévention des doublons et la relance des synchronisations en échec.</w:t>
      </w:r>
    </w:p>
    <w:p>
      <w:pPr>
        <w:pStyle w:val="ListParagraph"/>
        <w:numPr>
          <w:ilvl w:val="0"/>
          <w:numId w:val="2"/>
        </w:numPr>
        <w:spacing w:after="60" w:line="264"/>
      </w:pPr>
      <w:r>
        <w:t xml:space="preserve">La journalisation technique sans secret, l’administration des types de démarches et des comptes.</w:t>
      </w:r>
    </w:p>
    <w:p>
      <w:pPr>
        <w:pStyle w:val="Heading2"/>
        <w:keepNext/>
      </w:pPr>
      <w:r>
        <w:t xml:space="preserve">1.2 Exclu de la version 1</w:t>
      </w:r>
    </w:p>
    <w:p>
      <w:pPr>
        <w:pStyle w:val="ListParagraph"/>
        <w:numPr>
          <w:ilvl w:val="0"/>
          <w:numId w:val="2"/>
        </w:numPr>
        <w:spacing w:after="60" w:line="264"/>
      </w:pPr>
      <w:r>
        <w:t xml:space="preserve">L’acte de naissance et la copie d’acte de naissance (RM08).</w:t>
      </w:r>
    </w:p>
    <w:p>
      <w:pPr>
        <w:pStyle w:val="ListParagraph"/>
        <w:numPr>
          <w:ilvl w:val="0"/>
          <w:numId w:val="2"/>
        </w:numPr>
        <w:spacing w:after="60" w:line="264"/>
      </w:pPr>
      <w:r>
        <w:t xml:space="preserve">Le stockage, le téléversement ou la transmission de fichiers vers Pipedrive ou un autre service (RG10).</w:t>
      </w:r>
    </w:p>
    <w:p>
      <w:pPr>
        <w:pStyle w:val="ListParagraph"/>
        <w:numPr>
          <w:ilvl w:val="0"/>
          <w:numId w:val="2"/>
        </w:numPr>
        <w:spacing w:after="60" w:line="264"/>
      </w:pPr>
      <w:r>
        <w:t xml:space="preserve">L’envoi automatique de SMS ou de courriels.</w:t>
      </w:r>
    </w:p>
    <w:p>
      <w:pPr>
        <w:pStyle w:val="ListParagraph"/>
        <w:numPr>
          <w:ilvl w:val="0"/>
          <w:numId w:val="2"/>
        </w:numPr>
        <w:spacing w:after="60" w:line="264"/>
      </w:pPr>
      <w:r>
        <w:t xml:space="preserve">L’authentification des agents par OAuth Pipedrive et l’accès direct des citoyens.</w:t>
      </w:r>
    </w:p>
    <w:p>
      <w:pPr>
        <w:pStyle w:val="ListParagraph"/>
        <w:numPr>
          <w:ilvl w:val="0"/>
          <w:numId w:val="2"/>
        </w:numPr>
        <w:spacing w:after="60" w:line="264"/>
      </w:pPr>
      <w:r>
        <w:t xml:space="preserve">La gestion multi-mairies, la mise en production officielle sans validation réglementaire et sécuritaire.</w:t>
      </w:r>
    </w:p>
    <w:p>
      <w:pPr>
        <w:pStyle w:val="ListParagraph"/>
        <w:numPr>
          <w:ilvl w:val="0"/>
          <w:numId w:val="2"/>
        </w:numPr>
        <w:spacing w:after="60" w:line="264"/>
      </w:pPr>
      <w:r>
        <w:t xml:space="preserve">La reproduction des fonctionnalités de Pipedrive (gestion des utilisateurs Pipedrive, organisations, leads, produits, fichiers).</w:t>
      </w:r>
    </w:p>
    <w:p>
      <w:pPr>
        <w:pStyle w:val="Heading2"/>
        <w:keepNext/>
      </w:pPr>
      <w:r>
        <w:t xml:space="preserve">1.3 Partage des responsabilités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2891"/>
        <w:gridCol w:w="4049"/>
      </w:tblGrid>
      <w:tr>
        <w:trPr>
          <w:tblHeader/>
        </w:trPr>
        <w:tc>
          <w:tcPr>
            <w:tcW w:type="dxa" w:w="2698"/>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Domaine</w:t>
            </w:r>
          </w:p>
        </w:tc>
        <w:tc>
          <w:tcPr>
            <w:tcW w:type="dxa" w:w="2891"/>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Système de référence</w:t>
            </w:r>
          </w:p>
        </w:tc>
        <w:tc>
          <w:tcPr>
            <w:tcW w:type="dxa" w:w="4049"/>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Responsabilité de l’API</w:t>
            </w:r>
          </w:p>
        </w:tc>
      </w:tr>
      <w:tr>
        <w:trPr>
          <w:cantSplit/>
        </w:trPr>
        <w:tc>
          <w:tcPr>
            <w:tcW w:type="dxa" w:w="2698"/>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Comptes et rôles des agents</w:t>
            </w:r>
          </w:p>
        </w:tc>
        <w:tc>
          <w:tcPr>
            <w:tcW w:type="dxa" w:w="2891"/>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Base du projet</w:t>
            </w:r>
          </w:p>
        </w:tc>
        <w:tc>
          <w:tcPr>
            <w:tcW w:type="dxa" w:w="404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Authentifier, émettre les jetons, contrôler les rôles à chaque requête.</w:t>
            </w:r>
          </w:p>
        </w:tc>
      </w:tr>
      <w:tr>
        <w:trPr>
          <w:cantSplit/>
        </w:trPr>
        <w:tc>
          <w:tcPr>
            <w:tcW w:type="dxa" w:w="2698"/>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Dossiers, statuts, pièces, décisions, historique</w:t>
            </w:r>
          </w:p>
        </w:tc>
        <w:tc>
          <w:tcPr>
            <w:tcW w:type="dxa" w:w="2891"/>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Module métier (base du projet)</w:t>
            </w:r>
          </w:p>
        </w:tc>
        <w:tc>
          <w:tcPr>
            <w:tcW w:type="dxa" w:w="404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Appliquer RM01 à RM09 et le cycle de vie du §4.</w:t>
            </w:r>
          </w:p>
        </w:tc>
      </w:tr>
      <w:tr>
        <w:trPr>
          <w:cantSplit/>
        </w:trPr>
        <w:tc>
          <w:tcPr>
            <w:tcW w:type="dxa" w:w="2698"/>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Types de démarches et pièces requises</w:t>
            </w:r>
          </w:p>
        </w:tc>
        <w:tc>
          <w:tcPr>
            <w:tcW w:type="dxa" w:w="2891"/>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Module métier (configuration)</w:t>
            </w:r>
          </w:p>
        </w:tc>
        <w:tc>
          <w:tcPr>
            <w:tcW w:type="dxa" w:w="404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Charger le registre des démarches, permettre son administration (UC16).</w:t>
            </w:r>
          </w:p>
        </w:tc>
      </w:tr>
      <w:tr>
        <w:trPr>
          <w:cantSplit/>
        </w:trPr>
        <w:tc>
          <w:tcPr>
            <w:tcW w:type="dxa" w:w="2698"/>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Contact du demandeur</w:t>
            </w:r>
          </w:p>
        </w:tc>
        <w:tc>
          <w:tcPr>
            <w:tcW w:type="dxa" w:w="2891"/>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Module métier ; copie dans Pipedrive Persons</w:t>
            </w:r>
          </w:p>
        </w:tc>
        <w:tc>
          <w:tcPr>
            <w:tcW w:type="dxa" w:w="404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Créer ou réutiliser la personne Pipedrive avec les seules données autorisées.</w:t>
            </w:r>
          </w:p>
        </w:tc>
      </w:tr>
      <w:tr>
        <w:trPr>
          <w:cantSplit/>
        </w:trPr>
        <w:tc>
          <w:tcPr>
            <w:tcW w:type="dxa" w:w="2698"/>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Avancement du dossier</w:t>
            </w:r>
          </w:p>
        </w:tc>
        <w:tc>
          <w:tcPr>
            <w:tcW w:type="dxa" w:w="2891"/>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Module métier ; miroir dans Pipedrive Deals</w:t>
            </w:r>
          </w:p>
        </w:tc>
        <w:tc>
          <w:tcPr>
            <w:tcW w:type="dxa" w:w="404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Positionner le deal sur l’étape correspondant au statut.</w:t>
            </w:r>
          </w:p>
        </w:tc>
      </w:tr>
      <w:tr>
        <w:trPr>
          <w:cantSplit/>
        </w:trPr>
        <w:tc>
          <w:tcPr>
            <w:tcW w:type="dxa" w:w="2698"/>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Suivi des actions</w:t>
            </w:r>
          </w:p>
        </w:tc>
        <w:tc>
          <w:tcPr>
            <w:tcW w:type="dxa" w:w="2891"/>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Historique interne ; projection dans Pipedrive Activities</w:t>
            </w:r>
          </w:p>
        </w:tc>
        <w:tc>
          <w:tcPr>
            <w:tcW w:type="dxa" w:w="404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Créer une activité par événement métier, une seule fois (RM06).</w:t>
            </w:r>
          </w:p>
        </w:tc>
      </w:tr>
      <w:tr>
        <w:trPr>
          <w:cantSplit/>
        </w:trPr>
        <w:tc>
          <w:tcPr>
            <w:tcW w:type="dxa" w:w="2698"/>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Références de synchronisation</w:t>
            </w:r>
          </w:p>
        </w:tc>
        <w:tc>
          <w:tcPr>
            <w:tcW w:type="dxa" w:w="2891"/>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Base du projet</w:t>
            </w:r>
          </w:p>
        </w:tc>
        <w:tc>
          <w:tcPr>
            <w:tcW w:type="dxa" w:w="404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Associer explicitement identifiants internes et identifiants Pipedrive (RG04).</w:t>
            </w:r>
          </w:p>
        </w:tc>
      </w:tr>
      <w:tr>
        <w:trPr>
          <w:cantSplit/>
        </w:trPr>
        <w:tc>
          <w:tcPr>
            <w:tcW w:type="dxa" w:w="2698"/>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Journaux techniques</w:t>
            </w:r>
          </w:p>
        </w:tc>
        <w:tc>
          <w:tcPr>
            <w:tcW w:type="dxa" w:w="2891"/>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Base du projet / sortie standard</w:t>
            </w:r>
          </w:p>
        </w:tc>
        <w:tc>
          <w:tcPr>
            <w:tcW w:type="dxa" w:w="404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Tracer les appels et erreurs avec corrélation, sans secret (RG08).</w:t>
            </w:r>
          </w:p>
        </w:tc>
      </w:tr>
      <w:tr>
        <w:trPr>
          <w:cantSplit/>
        </w:trPr>
        <w:tc>
          <w:tcPr>
            <w:tcW w:type="dxa" w:w="2698"/>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Interface utilisateur</w:t>
            </w:r>
          </w:p>
        </w:tc>
        <w:tc>
          <w:tcPr>
            <w:tcW w:type="dxa" w:w="2891"/>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Application cliente (hors périmètre)</w:t>
            </w:r>
          </w:p>
        </w:tc>
        <w:tc>
          <w:tcPr>
            <w:tcW w:type="dxa" w:w="404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Aucune : l’API est indépendante de l’interface.</w:t>
            </w:r>
          </w:p>
        </w:tc>
      </w:tr>
    </w:tbl>
    <w:p>
      <w:pPr>
        <w:spacing w:after="80"/>
      </w:pPr>
    </w:p>
    <w:p>
      <w:pPr>
        <w:pBdr>
          <w:left w:val="single" w:color="C77C02" w:sz="18" w:space="6"/>
        </w:pBdr>
        <w:shd w:fill="FFF4E0" w:color="auto" w:val="clear"/>
        <w:spacing w:after="140" w:before="80" w:line="264"/>
        <w:ind w:left="120" w:right="120"/>
      </w:pPr>
      <w:r>
        <w:rPr>
          <w:b/>
          <w:bCs/>
          <w:color w:val="C77C02"/>
          <w:sz w:val="19"/>
          <w:szCs w:val="19"/>
        </w:rPr>
        <w:t xml:space="preserve">Point de vigilance — </w:t>
      </w:r>
      <w:r>
        <w:rPr>
          <w:sz w:val="19"/>
          <w:szCs w:val="19"/>
        </w:rPr>
        <w:t xml:space="preserve">Pipedrive n’est jamais source de vérité. Une modification faite directement dans Pipedrive (déplacement d’un deal, suppression d’une activité) est écrasée ou recréée lors de la synchronisation suivante, et l’écart est journalisé.</w:t>
      </w:r>
    </w:p>
    <w:p>
      <w:pPr>
        <w:pStyle w:val="Heading1"/>
      </w:pPr>
      <w:r>
        <w:t xml:space="preserve">2. Acteurs et rôles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1927"/>
        <w:gridCol w:w="5013"/>
      </w:tblGrid>
      <w:tr>
        <w:trPr>
          <w:tblHeader/>
        </w:trPr>
        <w:tc>
          <w:tcPr>
            <w:tcW w:type="dxa" w:w="2698"/>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Acteur</w:t>
            </w:r>
          </w:p>
        </w:tc>
        <w:tc>
          <w:tcPr>
            <w:tcW w:type="dxa" w:w="1927"/>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Code de rôle</w:t>
            </w:r>
          </w:p>
        </w:tc>
        <w:tc>
          <w:tcPr>
            <w:tcW w:type="dxa" w:w="5013"/>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Responsabilités</w:t>
            </w:r>
          </w:p>
        </w:tc>
      </w:tr>
      <w:tr>
        <w:trPr>
          <w:cantSplit/>
        </w:trPr>
        <w:tc>
          <w:tcPr>
            <w:tcW w:type="dxa" w:w="2698"/>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Agent d’accueil / de guichet</w:t>
            </w:r>
          </w:p>
        </w:tc>
        <w:tc>
          <w:tcPr>
            <w:tcW w:type="dxa" w:w="1927"/>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ACCUEIL</w:t>
            </w:r>
          </w:p>
        </w:tc>
        <w:tc>
          <w:tcPr>
            <w:tcW w:type="dxa" w:w="501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Crée les dossiers, saisit le demandeur, déclare les pièces, soumet le dossier, consulte le suivi.</w:t>
            </w:r>
          </w:p>
        </w:tc>
      </w:tr>
      <w:tr>
        <w:trPr>
          <w:cantSplit/>
        </w:trPr>
        <w:tc>
          <w:tcPr>
            <w:tcW w:type="dxa" w:w="2698"/>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Agent d’état civil</w:t>
            </w:r>
          </w:p>
        </w:tc>
        <w:tc>
          <w:tcPr>
            <w:tcW w:type="dxa" w:w="1927"/>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AGENT_ETAT_CIVIL</w:t>
            </w:r>
          </w:p>
        </w:tc>
        <w:tc>
          <w:tcPr>
            <w:tcW w:type="dxa" w:w="501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Instruit les dossiers de la catégorie État civil (mariage, décès, copie).</w:t>
            </w:r>
          </w:p>
        </w:tc>
      </w:tr>
      <w:tr>
        <w:trPr>
          <w:cantSplit/>
        </w:trPr>
        <w:tc>
          <w:tcPr>
            <w:tcW w:type="dxa" w:w="2698"/>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Agent de certification</w:t>
            </w:r>
          </w:p>
        </w:tc>
        <w:tc>
          <w:tcPr>
            <w:tcW w:type="dxa" w:w="1927"/>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AGENT_CERTIFICATION</w:t>
            </w:r>
          </w:p>
        </w:tc>
        <w:tc>
          <w:tcPr>
            <w:tcW w:type="dxa" w:w="501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Instruit les dossiers de la catégorie Certification (légalisation, certification conforme).</w:t>
            </w:r>
          </w:p>
        </w:tc>
      </w:tr>
      <w:tr>
        <w:trPr>
          <w:cantSplit/>
        </w:trPr>
        <w:tc>
          <w:tcPr>
            <w:tcW w:type="dxa" w:w="2698"/>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Officier d’état civil / responsable</w:t>
            </w:r>
          </w:p>
        </w:tc>
        <w:tc>
          <w:tcPr>
            <w:tcW w:type="dxa" w:w="1927"/>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RESPONSABLE</w:t>
            </w:r>
          </w:p>
        </w:tc>
        <w:tc>
          <w:tcPr>
            <w:tcW w:type="dxa" w:w="501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Approuve ou rejette, débloque les cas particuliers, peut annuler.</w:t>
            </w:r>
          </w:p>
        </w:tc>
      </w:tr>
      <w:tr>
        <w:trPr>
          <w:cantSplit/>
        </w:trPr>
        <w:tc>
          <w:tcPr>
            <w:tcW w:type="dxa" w:w="2698"/>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Administrateur</w:t>
            </w:r>
          </w:p>
        </w:tc>
        <w:tc>
          <w:tcPr>
            <w:tcW w:type="dxa" w:w="1927"/>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ADMIN</w:t>
            </w:r>
          </w:p>
        </w:tc>
        <w:tc>
          <w:tcPr>
            <w:tcW w:type="dxa" w:w="501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Gère les comptes et rôles, la configuration des démarches, consulte les journaux, relance les synchronisations.</w:t>
            </w:r>
          </w:p>
        </w:tc>
      </w:tr>
      <w:tr>
        <w:trPr>
          <w:cantSplit/>
        </w:trPr>
        <w:tc>
          <w:tcPr>
            <w:tcW w:type="dxa" w:w="2698"/>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Système (worker de synchronisation)</w:t>
            </w:r>
          </w:p>
        </w:tc>
        <w:tc>
          <w:tcPr>
            <w:tcW w:type="dxa" w:w="1927"/>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SYSTEME</w:t>
            </w:r>
          </w:p>
        </w:tc>
        <w:tc>
          <w:tcPr>
            <w:tcW w:type="dxa" w:w="501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Exécute les synchronisations vers Pipedrive (UC13, UC14).</w:t>
            </w:r>
          </w:p>
        </w:tc>
      </w:tr>
      <w:tr>
        <w:trPr>
          <w:cantSplit/>
        </w:trPr>
        <w:tc>
          <w:tcPr>
            <w:tcW w:type="dxa" w:w="2698"/>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Citoyen / demandeur</w:t>
            </w:r>
          </w:p>
        </w:tc>
        <w:tc>
          <w:tcPr>
            <w:tcW w:type="dxa" w:w="1927"/>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 (indirect)</w:t>
            </w:r>
          </w:p>
        </w:tc>
        <w:tc>
          <w:tcPr>
            <w:tcW w:type="dxa" w:w="501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N’appelle pas l’API en V1 : il est représenté par l’agent.</w:t>
            </w:r>
          </w:p>
        </w:tc>
      </w:tr>
      <w:tr>
        <w:trPr>
          <w:cantSplit/>
        </w:trPr>
        <w:tc>
          <w:tcPr>
            <w:tcW w:type="dxa" w:w="2698"/>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Pipedrive</w:t>
            </w:r>
          </w:p>
        </w:tc>
        <w:tc>
          <w:tcPr>
            <w:tcW w:type="dxa" w:w="1927"/>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Système externe</w:t>
            </w:r>
          </w:p>
        </w:tc>
        <w:tc>
          <w:tcPr>
            <w:tcW w:type="dxa" w:w="501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Reçoit contacts, deals et activités. Peut être indisponible, lent ou refuser un appel.</w:t>
            </w:r>
          </w:p>
        </w:tc>
      </w:tr>
    </w:tbl>
    <w:p>
      <w:pPr>
        <w:spacing w:after="80"/>
      </w:pPr>
    </w:p>
    <w:p>
      <w:pPr>
        <w:pStyle w:val="Heading2"/>
        <w:keepNext/>
      </w:pPr>
      <w:r>
        <w:t xml:space="preserve">2.1 Matrice des droits</w:t>
      </w:r>
    </w:p>
    <w:p>
      <w:pPr>
        <w:spacing w:after="100" w:line="276"/>
      </w:pPr>
      <w:r>
        <w:t xml:space="preserve">« ✓ » : autorisé ; « cat. » : limité aux dossiers de la catégorie de l’agent ; « — » : refusé (403).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1156"/>
        <w:gridCol w:w="1156"/>
        <w:gridCol w:w="1156"/>
        <w:gridCol w:w="1156"/>
        <w:gridCol w:w="1159"/>
      </w:tblGrid>
      <w:tr>
        <w:trPr>
          <w:tblHeader/>
        </w:trPr>
        <w:tc>
          <w:tcPr>
            <w:tcW w:type="dxa" w:w="3855"/>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Opération</w:t>
            </w:r>
          </w:p>
        </w:tc>
        <w:tc>
          <w:tcPr>
            <w:tcW w:type="dxa" w:w="1156"/>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ACCUEIL</w:t>
            </w:r>
          </w:p>
        </w:tc>
        <w:tc>
          <w:tcPr>
            <w:tcW w:type="dxa" w:w="1156"/>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AGENT_EC</w:t>
            </w:r>
          </w:p>
        </w:tc>
        <w:tc>
          <w:tcPr>
            <w:tcW w:type="dxa" w:w="1156"/>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AGENT_CERT</w:t>
            </w:r>
          </w:p>
        </w:tc>
        <w:tc>
          <w:tcPr>
            <w:tcW w:type="dxa" w:w="1156"/>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RESP.</w:t>
            </w:r>
          </w:p>
        </w:tc>
        <w:tc>
          <w:tcPr>
            <w:tcW w:type="dxa" w:w="1159"/>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ADMIN</w:t>
            </w:r>
          </w:p>
        </w:tc>
      </w:tr>
      <w:tr>
        <w:trPr>
          <w:cantSplit/>
        </w:trPr>
        <w:tc>
          <w:tcPr>
            <w:tcW w:type="dxa" w:w="385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Créer / modifier un dossier en brouillon</w:t>
            </w:r>
          </w:p>
        </w:tc>
        <w:tc>
          <w:tcPr>
            <w:tcW w:type="dxa" w:w="115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w:t>
            </w:r>
          </w:p>
        </w:tc>
        <w:tc>
          <w:tcPr>
            <w:tcW w:type="dxa" w:w="115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w:t>
            </w:r>
          </w:p>
        </w:tc>
        <w:tc>
          <w:tcPr>
            <w:tcW w:type="dxa" w:w="115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w:t>
            </w:r>
          </w:p>
        </w:tc>
        <w:tc>
          <w:tcPr>
            <w:tcW w:type="dxa" w:w="115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w:t>
            </w:r>
          </w:p>
        </w:tc>
        <w:tc>
          <w:tcPr>
            <w:tcW w:type="dxa" w:w="115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w:t>
            </w:r>
          </w:p>
        </w:tc>
      </w:tr>
      <w:tr>
        <w:trPr>
          <w:cantSplit/>
        </w:trPr>
        <w:tc>
          <w:tcPr>
            <w:tcW w:type="dxa" w:w="385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Soumettre un dossier (BROUILLON → SOUMIS)</w:t>
            </w:r>
          </w:p>
        </w:tc>
        <w:tc>
          <w:tcPr>
            <w:tcW w:type="dxa" w:w="115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w:t>
            </w:r>
          </w:p>
        </w:tc>
        <w:tc>
          <w:tcPr>
            <w:tcW w:type="dxa" w:w="115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w:t>
            </w:r>
          </w:p>
        </w:tc>
        <w:tc>
          <w:tcPr>
            <w:tcW w:type="dxa" w:w="115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w:t>
            </w:r>
          </w:p>
        </w:tc>
        <w:tc>
          <w:tcPr>
            <w:tcW w:type="dxa" w:w="115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w:t>
            </w:r>
          </w:p>
        </w:tc>
        <w:tc>
          <w:tcPr>
            <w:tcW w:type="dxa" w:w="115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w:t>
            </w:r>
          </w:p>
        </w:tc>
      </w:tr>
      <w:tr>
        <w:trPr>
          <w:cantSplit/>
        </w:trPr>
        <w:tc>
          <w:tcPr>
            <w:tcW w:type="dxa" w:w="385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Déclarer / mettre à jour des pièces</w:t>
            </w:r>
          </w:p>
        </w:tc>
        <w:tc>
          <w:tcPr>
            <w:tcW w:type="dxa" w:w="115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w:t>
            </w:r>
          </w:p>
        </w:tc>
        <w:tc>
          <w:tcPr>
            <w:tcW w:type="dxa" w:w="115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cat.</w:t>
            </w:r>
          </w:p>
        </w:tc>
        <w:tc>
          <w:tcPr>
            <w:tcW w:type="dxa" w:w="115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cat.</w:t>
            </w:r>
          </w:p>
        </w:tc>
        <w:tc>
          <w:tcPr>
            <w:tcW w:type="dxa" w:w="115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w:t>
            </w:r>
          </w:p>
        </w:tc>
        <w:tc>
          <w:tcPr>
            <w:tcW w:type="dxa" w:w="115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w:t>
            </w:r>
          </w:p>
        </w:tc>
      </w:tr>
      <w:tr>
        <w:trPr>
          <w:cantSplit/>
        </w:trPr>
        <w:tc>
          <w:tcPr>
            <w:tcW w:type="dxa" w:w="385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Vérifier la complétude, instruire (transitions)</w:t>
            </w:r>
          </w:p>
        </w:tc>
        <w:tc>
          <w:tcPr>
            <w:tcW w:type="dxa" w:w="115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w:t>
            </w:r>
          </w:p>
        </w:tc>
        <w:tc>
          <w:tcPr>
            <w:tcW w:type="dxa" w:w="115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cat.</w:t>
            </w:r>
          </w:p>
        </w:tc>
        <w:tc>
          <w:tcPr>
            <w:tcW w:type="dxa" w:w="115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cat.</w:t>
            </w:r>
          </w:p>
        </w:tc>
        <w:tc>
          <w:tcPr>
            <w:tcW w:type="dxa" w:w="115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w:t>
            </w:r>
          </w:p>
        </w:tc>
        <w:tc>
          <w:tcPr>
            <w:tcW w:type="dxa" w:w="115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w:t>
            </w:r>
          </w:p>
        </w:tc>
      </w:tr>
      <w:tr>
        <w:trPr>
          <w:cantSplit/>
        </w:trPr>
        <w:tc>
          <w:tcPr>
            <w:tcW w:type="dxa" w:w="385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Décider (approuver / rejeter)</w:t>
            </w:r>
          </w:p>
        </w:tc>
        <w:tc>
          <w:tcPr>
            <w:tcW w:type="dxa" w:w="115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w:t>
            </w:r>
          </w:p>
        </w:tc>
        <w:tc>
          <w:tcPr>
            <w:tcW w:type="dxa" w:w="115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w:t>
            </w:r>
          </w:p>
        </w:tc>
        <w:tc>
          <w:tcPr>
            <w:tcW w:type="dxa" w:w="115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w:t>
            </w:r>
          </w:p>
        </w:tc>
        <w:tc>
          <w:tcPr>
            <w:tcW w:type="dxa" w:w="115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w:t>
            </w:r>
          </w:p>
        </w:tc>
        <w:tc>
          <w:tcPr>
            <w:tcW w:type="dxa" w:w="115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w:t>
            </w:r>
          </w:p>
        </w:tc>
      </w:tr>
      <w:tr>
        <w:trPr>
          <w:cantSplit/>
        </w:trPr>
        <w:tc>
          <w:tcPr>
            <w:tcW w:type="dxa" w:w="385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Délivrer (APPROUVE → DELIVRE)</w:t>
            </w:r>
          </w:p>
        </w:tc>
        <w:tc>
          <w:tcPr>
            <w:tcW w:type="dxa" w:w="115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w:t>
            </w:r>
          </w:p>
        </w:tc>
        <w:tc>
          <w:tcPr>
            <w:tcW w:type="dxa" w:w="115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cat.</w:t>
            </w:r>
          </w:p>
        </w:tc>
        <w:tc>
          <w:tcPr>
            <w:tcW w:type="dxa" w:w="115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cat.</w:t>
            </w:r>
          </w:p>
        </w:tc>
        <w:tc>
          <w:tcPr>
            <w:tcW w:type="dxa" w:w="115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w:t>
            </w:r>
          </w:p>
        </w:tc>
        <w:tc>
          <w:tcPr>
            <w:tcW w:type="dxa" w:w="115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w:t>
            </w:r>
          </w:p>
        </w:tc>
      </w:tr>
      <w:tr>
        <w:trPr>
          <w:cantSplit/>
        </w:trPr>
        <w:tc>
          <w:tcPr>
            <w:tcW w:type="dxa" w:w="385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Annuler un dossier</w:t>
            </w:r>
          </w:p>
        </w:tc>
        <w:tc>
          <w:tcPr>
            <w:tcW w:type="dxa" w:w="115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w:t>
            </w:r>
          </w:p>
        </w:tc>
        <w:tc>
          <w:tcPr>
            <w:tcW w:type="dxa" w:w="115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w:t>
            </w:r>
          </w:p>
        </w:tc>
        <w:tc>
          <w:tcPr>
            <w:tcW w:type="dxa" w:w="115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w:t>
            </w:r>
          </w:p>
        </w:tc>
        <w:tc>
          <w:tcPr>
            <w:tcW w:type="dxa" w:w="115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w:t>
            </w:r>
          </w:p>
        </w:tc>
        <w:tc>
          <w:tcPr>
            <w:tcW w:type="dxa" w:w="115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w:t>
            </w:r>
          </w:p>
        </w:tc>
      </w:tr>
      <w:tr>
        <w:trPr>
          <w:cantSplit/>
        </w:trPr>
        <w:tc>
          <w:tcPr>
            <w:tcW w:type="dxa" w:w="385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Consulter dossiers, historique, synchronisation</w:t>
            </w:r>
          </w:p>
        </w:tc>
        <w:tc>
          <w:tcPr>
            <w:tcW w:type="dxa" w:w="115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w:t>
            </w:r>
          </w:p>
        </w:tc>
        <w:tc>
          <w:tcPr>
            <w:tcW w:type="dxa" w:w="115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cat.</w:t>
            </w:r>
          </w:p>
        </w:tc>
        <w:tc>
          <w:tcPr>
            <w:tcW w:type="dxa" w:w="115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cat.</w:t>
            </w:r>
          </w:p>
        </w:tc>
        <w:tc>
          <w:tcPr>
            <w:tcW w:type="dxa" w:w="115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w:t>
            </w:r>
          </w:p>
        </w:tc>
        <w:tc>
          <w:tcPr>
            <w:tcW w:type="dxa" w:w="115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w:t>
            </w:r>
          </w:p>
        </w:tc>
      </w:tr>
      <w:tr>
        <w:trPr>
          <w:cantSplit/>
        </w:trPr>
        <w:tc>
          <w:tcPr>
            <w:tcW w:type="dxa" w:w="385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Relancer une synchronisation (UC15)</w:t>
            </w:r>
          </w:p>
        </w:tc>
        <w:tc>
          <w:tcPr>
            <w:tcW w:type="dxa" w:w="115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w:t>
            </w:r>
          </w:p>
        </w:tc>
        <w:tc>
          <w:tcPr>
            <w:tcW w:type="dxa" w:w="115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w:t>
            </w:r>
          </w:p>
        </w:tc>
        <w:tc>
          <w:tcPr>
            <w:tcW w:type="dxa" w:w="115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w:t>
            </w:r>
          </w:p>
        </w:tc>
        <w:tc>
          <w:tcPr>
            <w:tcW w:type="dxa" w:w="115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w:t>
            </w:r>
          </w:p>
        </w:tc>
        <w:tc>
          <w:tcPr>
            <w:tcW w:type="dxa" w:w="115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w:t>
            </w:r>
          </w:p>
        </w:tc>
      </w:tr>
      <w:tr>
        <w:trPr>
          <w:cantSplit/>
        </w:trPr>
        <w:tc>
          <w:tcPr>
            <w:tcW w:type="dxa" w:w="385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Configurer les démarches (UC16)</w:t>
            </w:r>
          </w:p>
        </w:tc>
        <w:tc>
          <w:tcPr>
            <w:tcW w:type="dxa" w:w="115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w:t>
            </w:r>
          </w:p>
        </w:tc>
        <w:tc>
          <w:tcPr>
            <w:tcW w:type="dxa" w:w="115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w:t>
            </w:r>
          </w:p>
        </w:tc>
        <w:tc>
          <w:tcPr>
            <w:tcW w:type="dxa" w:w="115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w:t>
            </w:r>
          </w:p>
        </w:tc>
        <w:tc>
          <w:tcPr>
            <w:tcW w:type="dxa" w:w="115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w:t>
            </w:r>
          </w:p>
        </w:tc>
        <w:tc>
          <w:tcPr>
            <w:tcW w:type="dxa" w:w="115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w:t>
            </w:r>
          </w:p>
        </w:tc>
      </w:tr>
      <w:tr>
        <w:trPr>
          <w:cantSplit/>
        </w:trPr>
        <w:tc>
          <w:tcPr>
            <w:tcW w:type="dxa" w:w="385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Gérer les comptes (UC02), consulter les journaux (UC17)</w:t>
            </w:r>
          </w:p>
        </w:tc>
        <w:tc>
          <w:tcPr>
            <w:tcW w:type="dxa" w:w="115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w:t>
            </w:r>
          </w:p>
        </w:tc>
        <w:tc>
          <w:tcPr>
            <w:tcW w:type="dxa" w:w="115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w:t>
            </w:r>
          </w:p>
        </w:tc>
        <w:tc>
          <w:tcPr>
            <w:tcW w:type="dxa" w:w="115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w:t>
            </w:r>
          </w:p>
        </w:tc>
        <w:tc>
          <w:tcPr>
            <w:tcW w:type="dxa" w:w="115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w:t>
            </w:r>
          </w:p>
        </w:tc>
        <w:tc>
          <w:tcPr>
            <w:tcW w:type="dxa" w:w="115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w:t>
            </w:r>
          </w:p>
        </w:tc>
      </w:tr>
    </w:tbl>
    <w:p>
      <w:pPr>
        <w:spacing w:after="80"/>
      </w:pPr>
    </w:p>
    <w:p>
      <w:pPr>
        <w:pBdr>
          <w:left w:val="single" w:color="2E75B6" w:sz="18" w:space="6"/>
        </w:pBdr>
        <w:shd w:fill="EAF1F8" w:color="auto" w:val="clear"/>
        <w:spacing w:after="140" w:before="80" w:line="264"/>
        <w:ind w:left="120" w:right="120"/>
      </w:pPr>
      <w:r>
        <w:rPr>
          <w:b/>
          <w:bCs/>
          <w:color w:val="2E75B6"/>
          <w:sz w:val="19"/>
          <w:szCs w:val="19"/>
        </w:rPr>
        <w:t xml:space="preserve">Séparation des rôles — </w:t>
      </w:r>
      <w:r>
        <w:rPr>
          <w:sz w:val="19"/>
          <w:szCs w:val="19"/>
        </w:rPr>
        <w:t xml:space="preserve">RM09 : si le paramètre </w:t>
      </w:r>
      <w:r>
        <w:rPr>
          <w:rFonts w:ascii="Consolas" w:cs="Consolas" w:eastAsia="Consolas" w:hAnsi="Consolas"/>
          <w:color w:val="7A2E0E"/>
          <w:sz w:val="16"/>
          <w:szCs w:val="16"/>
        </w:rPr>
        <w:t xml:space="preserve">separation_instruction_decision</w:t>
      </w:r>
      <w:r>
        <w:rPr>
          <w:sz w:val="19"/>
          <w:szCs w:val="19"/>
        </w:rPr>
        <w:t xml:space="preserve"> est actif (valeur par défaut), le responsable qui a instruit un dossier ne peut pas le décider. Ce choix reste à confirmer (point ouvert P4).</w:t>
      </w:r>
    </w:p>
    <w:p>
      <w:pPr>
        <w:pStyle w:val="Heading1"/>
      </w:pPr>
      <w:r>
        <w:t xml:space="preserve">3. Règles</w:t>
      </w:r>
    </w:p>
    <w:p>
      <w:pPr>
        <w:pStyle w:val="Heading2"/>
        <w:keepNext/>
      </w:pPr>
      <w:r>
        <w:t xml:space="preserve">3.1 Règles de gestion du cahier des charges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2409"/>
        <w:gridCol w:w="6266"/>
      </w:tblGrid>
      <w:tr>
        <w:trPr>
          <w:tblHeader/>
        </w:trPr>
        <w:tc>
          <w:tcPr>
            <w:tcW w:type="dxa" w:w="963"/>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Code</w:t>
            </w:r>
          </w:p>
        </w:tc>
        <w:tc>
          <w:tcPr>
            <w:tcW w:type="dxa" w:w="2409"/>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Règle</w:t>
            </w:r>
          </w:p>
        </w:tc>
        <w:tc>
          <w:tcPr>
            <w:tcW w:type="dxa" w:w="6266"/>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Application dans ce FRS</w:t>
            </w:r>
          </w:p>
        </w:tc>
      </w:tr>
      <w:tr>
        <w:trPr>
          <w:cantSplit/>
        </w:trPr>
        <w:tc>
          <w:tcPr>
            <w:tcW w:type="dxa" w:w="96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RG01</w:t>
            </w:r>
          </w:p>
        </w:tc>
        <w:tc>
          <w:tcPr>
            <w:tcW w:type="dxa" w:w="240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Validation préalable</w:t>
            </w:r>
          </w:p>
        </w:tc>
        <w:tc>
          <w:tcPr>
            <w:tcW w:type="dxa" w:w="626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Toute requête est validée (schéma et règles métier) et la transaction métier est validée avant tout appel Pipedrive (RI02).</w:t>
            </w:r>
          </w:p>
        </w:tc>
      </w:tr>
      <w:tr>
        <w:trPr>
          <w:cantSplit/>
        </w:trPr>
        <w:tc>
          <w:tcPr>
            <w:tcW w:type="dxa" w:w="96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RG02</w:t>
            </w:r>
          </w:p>
        </w:tc>
        <w:tc>
          <w:tcPr>
            <w:tcW w:type="dxa" w:w="240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Contrôle d’accès</w:t>
            </w:r>
          </w:p>
        </w:tc>
        <w:tc>
          <w:tcPr>
            <w:tcW w:type="dxa" w:w="626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JWT obligatoire sur tous les endpoints sauf /auth/login et /sante ; matrice du §2.1.</w:t>
            </w:r>
          </w:p>
        </w:tc>
      </w:tr>
      <w:tr>
        <w:trPr>
          <w:cantSplit/>
        </w:trPr>
        <w:tc>
          <w:tcPr>
            <w:tcW w:type="dxa" w:w="96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RG03</w:t>
            </w:r>
          </w:p>
        </w:tc>
        <w:tc>
          <w:tcPr>
            <w:tcW w:type="dxa" w:w="240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Source de vérité</w:t>
            </w:r>
          </w:p>
        </w:tc>
        <w:tc>
          <w:tcPr>
            <w:tcW w:type="dxa" w:w="626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Module métier pour les dossiers ; Pipedrive est un miroir (§1.3).</w:t>
            </w:r>
          </w:p>
        </w:tc>
      </w:tr>
      <w:tr>
        <w:trPr>
          <w:cantSplit/>
        </w:trPr>
        <w:tc>
          <w:tcPr>
            <w:tcW w:type="dxa" w:w="96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RG04</w:t>
            </w:r>
          </w:p>
        </w:tc>
        <w:tc>
          <w:tcPr>
            <w:tcW w:type="dxa" w:w="240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Correspondance des données</w:t>
            </w:r>
          </w:p>
        </w:tc>
        <w:tc>
          <w:tcPr>
            <w:tcW w:type="dxa" w:w="626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Entité ReferenceSynchro (§6.1).</w:t>
            </w:r>
          </w:p>
        </w:tc>
      </w:tr>
      <w:tr>
        <w:trPr>
          <w:cantSplit/>
        </w:trPr>
        <w:tc>
          <w:tcPr>
            <w:tcW w:type="dxa" w:w="96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RG05</w:t>
            </w:r>
          </w:p>
        </w:tc>
        <w:tc>
          <w:tcPr>
            <w:tcW w:type="dxa" w:w="240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Erreurs externes</w:t>
            </w:r>
          </w:p>
        </w:tc>
        <w:tc>
          <w:tcPr>
            <w:tcW w:type="dxa" w:w="626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Codes d’erreur d’intégration distincts (§7.2).</w:t>
            </w:r>
          </w:p>
        </w:tc>
      </w:tr>
      <w:tr>
        <w:trPr>
          <w:cantSplit/>
        </w:trPr>
        <w:tc>
          <w:tcPr>
            <w:tcW w:type="dxa" w:w="96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RG06</w:t>
            </w:r>
          </w:p>
        </w:tc>
        <w:tc>
          <w:tcPr>
            <w:tcW w:type="dxa" w:w="240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Nouvelles tentatives</w:t>
            </w:r>
          </w:p>
        </w:tc>
        <w:tc>
          <w:tcPr>
            <w:tcW w:type="dxa" w:w="626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Clé d’idempotence et contrôle d’existence avant relance (RI04).</w:t>
            </w:r>
          </w:p>
        </w:tc>
      </w:tr>
      <w:tr>
        <w:trPr>
          <w:cantSplit/>
        </w:trPr>
        <w:tc>
          <w:tcPr>
            <w:tcW w:type="dxa" w:w="96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RG07</w:t>
            </w:r>
          </w:p>
        </w:tc>
        <w:tc>
          <w:tcPr>
            <w:tcW w:type="dxa" w:w="240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Sécurité des secrets</w:t>
            </w:r>
          </w:p>
        </w:tc>
        <w:tc>
          <w:tcPr>
            <w:tcW w:type="dxa" w:w="626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Jeton Pipedrive et clé de signature JWT en variables d’environnement.</w:t>
            </w:r>
          </w:p>
        </w:tc>
      </w:tr>
      <w:tr>
        <w:trPr>
          <w:cantSplit/>
        </w:trPr>
        <w:tc>
          <w:tcPr>
            <w:tcW w:type="dxa" w:w="96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RG08</w:t>
            </w:r>
          </w:p>
        </w:tc>
        <w:tc>
          <w:tcPr>
            <w:tcW w:type="dxa" w:w="240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Journalisation</w:t>
            </w:r>
          </w:p>
        </w:tc>
        <w:tc>
          <w:tcPr>
            <w:tcW w:type="dxa" w:w="626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Identifiant de corrélation ; ni secret ni donnée personnelle inutile (RI09).</w:t>
            </w:r>
          </w:p>
        </w:tc>
      </w:tr>
      <w:tr>
        <w:trPr>
          <w:cantSplit/>
        </w:trPr>
        <w:tc>
          <w:tcPr>
            <w:tcW w:type="dxa" w:w="96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RG09</w:t>
            </w:r>
          </w:p>
        </w:tc>
        <w:tc>
          <w:tcPr>
            <w:tcW w:type="dxa" w:w="240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Extensibilité métier</w:t>
            </w:r>
          </w:p>
        </w:tc>
        <w:tc>
          <w:tcPr>
            <w:tcW w:type="dxa" w:w="626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Registre des démarches ; tout nouveau domaine fait l’objet d’une analyse préalable.</w:t>
            </w:r>
          </w:p>
        </w:tc>
      </w:tr>
      <w:tr>
        <w:trPr>
          <w:cantSplit/>
        </w:trPr>
        <w:tc>
          <w:tcPr>
            <w:tcW w:type="dxa" w:w="96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RG10</w:t>
            </w:r>
          </w:p>
        </w:tc>
        <w:tc>
          <w:tcPr>
            <w:tcW w:type="dxa" w:w="240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Gestion des fichiers</w:t>
            </w:r>
          </w:p>
        </w:tc>
        <w:tc>
          <w:tcPr>
            <w:tcW w:type="dxa" w:w="626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Aucune opération de fichier en V1 ; pièces déclarées uniquement.</w:t>
            </w:r>
          </w:p>
        </w:tc>
      </w:tr>
      <w:tr>
        <w:trPr>
          <w:cantSplit/>
        </w:trPr>
        <w:tc>
          <w:tcPr>
            <w:tcW w:type="dxa" w:w="96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RG11</w:t>
            </w:r>
          </w:p>
        </w:tc>
        <w:tc>
          <w:tcPr>
            <w:tcW w:type="dxa" w:w="240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Cohérence des dossiers</w:t>
            </w:r>
          </w:p>
        </w:tc>
        <w:tc>
          <w:tcPr>
            <w:tcW w:type="dxa" w:w="626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Statuts, pièces et décisions contrôlés par le module métier, jamais déduits de Pipedrive.</w:t>
            </w:r>
          </w:p>
        </w:tc>
      </w:tr>
      <w:tr>
        <w:trPr>
          <w:cantSplit/>
        </w:trPr>
        <w:tc>
          <w:tcPr>
            <w:tcW w:type="dxa" w:w="96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RG12</w:t>
            </w:r>
          </w:p>
        </w:tc>
        <w:tc>
          <w:tcPr>
            <w:tcW w:type="dxa" w:w="240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Documentation des opérations</w:t>
            </w:r>
          </w:p>
        </w:tc>
        <w:tc>
          <w:tcPr>
            <w:tcW w:type="dxa" w:w="626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Chaque endpoint figure dans l’OpenAPI et dans au moins un test.</w:t>
            </w:r>
          </w:p>
        </w:tc>
      </w:tr>
    </w:tbl>
    <w:p>
      <w:pPr>
        <w:spacing w:after="80"/>
      </w:pPr>
    </w:p>
    <w:p>
      <w:pPr>
        <w:pStyle w:val="Heading2"/>
        <w:keepNext/>
      </w:pPr>
      <w:r>
        <w:t xml:space="preserve">3.2 Règles du module administratif (AF §9.2)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8675"/>
      </w:tblGrid>
      <w:tr>
        <w:trPr>
          <w:tblHeader/>
        </w:trPr>
        <w:tc>
          <w:tcPr>
            <w:tcW w:type="dxa" w:w="963"/>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Code</w:t>
            </w:r>
          </w:p>
        </w:tc>
        <w:tc>
          <w:tcPr>
            <w:tcW w:type="dxa" w:w="8675"/>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Règle</w:t>
            </w:r>
          </w:p>
        </w:tc>
      </w:tr>
      <w:tr>
        <w:trPr>
          <w:cantSplit/>
        </w:trPr>
        <w:tc>
          <w:tcPr>
            <w:tcW w:type="dxa" w:w="96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RM01</w:t>
            </w:r>
          </w:p>
        </w:tc>
        <w:tc>
          <w:tcPr>
            <w:tcW w:type="dxa" w:w="867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Un dossier ne peut être soumis que si le demandeur, le type de démarche et les données spécifiques obligatoires sont renseignés et valides.</w:t>
            </w:r>
          </w:p>
        </w:tc>
      </w:tr>
      <w:tr>
        <w:trPr>
          <w:cantSplit/>
        </w:trPr>
        <w:tc>
          <w:tcPr>
            <w:tcW w:type="dxa" w:w="96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RM02</w:t>
            </w:r>
          </w:p>
        </w:tc>
        <w:tc>
          <w:tcPr>
            <w:tcW w:type="dxa" w:w="867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Détection de doublon : même clé de doublon (définie par démarche, §6.2) tant qu’un dossier est ouvert → création refusée (409) avec la référence existante. Une création forcée exige le paramètre </w:t>
            </w:r>
            <w:r>
              <w:rPr>
                <w:rFonts w:ascii="Consolas" w:cs="Consolas" w:eastAsia="Consolas" w:hAnsi="Consolas"/>
                <w:color w:val="7A2E0E"/>
                <w:sz w:val="15"/>
                <w:szCs w:val="15"/>
              </w:rPr>
              <w:t xml:space="preserve">confirmer_doublon=true</w:t>
            </w:r>
            <w:r>
              <w:rPr>
                <w:sz w:val="18"/>
                <w:szCs w:val="18"/>
              </w:rPr>
              <w:t xml:space="preserve"> et un motif, tracés dans l’historique.</w:t>
            </w:r>
          </w:p>
        </w:tc>
      </w:tr>
      <w:tr>
        <w:trPr>
          <w:cantSplit/>
        </w:trPr>
        <w:tc>
          <w:tcPr>
            <w:tcW w:type="dxa" w:w="96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RM03</w:t>
            </w:r>
          </w:p>
        </w:tc>
        <w:tc>
          <w:tcPr>
            <w:tcW w:type="dxa" w:w="867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Le passage en instruction exige que toutes les pièces requises obligatoires soient présentes et conformes.</w:t>
            </w:r>
          </w:p>
        </w:tc>
      </w:tr>
      <w:tr>
        <w:trPr>
          <w:cantSplit/>
        </w:trPr>
        <w:tc>
          <w:tcPr>
            <w:tcW w:type="dxa" w:w="96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RM04</w:t>
            </w:r>
          </w:p>
        </w:tc>
        <w:tc>
          <w:tcPr>
            <w:tcW w:type="dxa" w:w="867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Seules les transitions du §4.2 sont autorisées ; DELIVRE, REJETE et ANNULE sont terminaux.</w:t>
            </w:r>
          </w:p>
        </w:tc>
      </w:tr>
      <w:tr>
        <w:trPr>
          <w:cantSplit/>
        </w:trPr>
        <w:tc>
          <w:tcPr>
            <w:tcW w:type="dxa" w:w="96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RM05</w:t>
            </w:r>
          </w:p>
        </w:tc>
        <w:tc>
          <w:tcPr>
            <w:tcW w:type="dxa" w:w="867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Tout rejet, annulation ou blocage (INCOMPLET) porte un motif obligatoire (10 à 500 caractères).</w:t>
            </w:r>
          </w:p>
        </w:tc>
      </w:tr>
      <w:tr>
        <w:trPr>
          <w:cantSplit/>
        </w:trPr>
        <w:tc>
          <w:tcPr>
            <w:tcW w:type="dxa" w:w="96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RM06</w:t>
            </w:r>
          </w:p>
        </w:tc>
        <w:tc>
          <w:tcPr>
            <w:tcW w:type="dxa" w:w="867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Un même événement métier ne crée qu’une seule activité Pipedrive (clé d’idempotence : dossier + événement).</w:t>
            </w:r>
          </w:p>
        </w:tc>
      </w:tr>
      <w:tr>
        <w:trPr>
          <w:cantSplit/>
        </w:trPr>
        <w:tc>
          <w:tcPr>
            <w:tcW w:type="dxa" w:w="96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RM07</w:t>
            </w:r>
          </w:p>
        </w:tc>
        <w:tc>
          <w:tcPr>
            <w:tcW w:type="dxa" w:w="867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L’historique est en ajout seul : aucune entrée ne se modifie ni ne se supprime.</w:t>
            </w:r>
          </w:p>
        </w:tc>
      </w:tr>
      <w:tr>
        <w:trPr>
          <w:cantSplit/>
        </w:trPr>
        <w:tc>
          <w:tcPr>
            <w:tcW w:type="dxa" w:w="96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RM08</w:t>
            </w:r>
          </w:p>
        </w:tc>
        <w:tc>
          <w:tcPr>
            <w:tcW w:type="dxa" w:w="867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Une demande d’acte de naissance (ou de copie d’acte de naissance) est rejetée : hors périmètre V1.</w:t>
            </w:r>
          </w:p>
        </w:tc>
      </w:tr>
      <w:tr>
        <w:trPr>
          <w:cantSplit/>
        </w:trPr>
        <w:tc>
          <w:tcPr>
            <w:tcW w:type="dxa" w:w="96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RM09</w:t>
            </w:r>
          </w:p>
        </w:tc>
        <w:tc>
          <w:tcPr>
            <w:tcW w:type="dxa" w:w="867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Un agent n’agit que sur les dossiers et opérations autorisés par son rôle et sa catégorie ; séparation instruction / décision paramétrable.</w:t>
            </w:r>
          </w:p>
        </w:tc>
      </w:tr>
    </w:tbl>
    <w:p>
      <w:pPr>
        <w:spacing w:after="80"/>
      </w:pPr>
    </w:p>
    <w:p>
      <w:pPr>
        <w:pStyle w:val="Heading2"/>
        <w:keepNext/>
      </w:pPr>
      <w:r>
        <w:t xml:space="preserve">3.3 Règles d’intégration avec Pipedrive</w:t>
      </w:r>
    </w:p>
    <w:p>
      <w:pPr>
        <w:spacing w:after="100" w:line="276"/>
      </w:pPr>
      <w:r>
        <w:t xml:space="preserve">Ces règles remplacent les règles d’intégration du FRS v2.0. Leur mise en œuvre technique est détaillée dans l’ISD-001 v2.0.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8675"/>
      </w:tblGrid>
      <w:tr>
        <w:trPr>
          <w:tblHeader/>
        </w:trPr>
        <w:tc>
          <w:tcPr>
            <w:tcW w:type="dxa" w:w="963"/>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Code</w:t>
            </w:r>
          </w:p>
        </w:tc>
        <w:tc>
          <w:tcPr>
            <w:tcW w:type="dxa" w:w="8675"/>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Règle</w:t>
            </w:r>
          </w:p>
        </w:tc>
      </w:tr>
      <w:tr>
        <w:trPr>
          <w:cantSplit/>
        </w:trPr>
        <w:tc>
          <w:tcPr>
            <w:tcW w:type="dxa" w:w="96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RI01</w:t>
            </w:r>
          </w:p>
        </w:tc>
        <w:tc>
          <w:tcPr>
            <w:tcW w:type="dxa" w:w="867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Seul l’adaptateur Pipedrive appelle Pipedrive. Il utilise un jeton de compte de service (</w:t>
            </w:r>
            <w:r>
              <w:rPr>
                <w:rFonts w:ascii="Consolas" w:cs="Consolas" w:eastAsia="Consolas" w:hAnsi="Consolas"/>
                <w:color w:val="7A2E0E"/>
                <w:sz w:val="15"/>
                <w:szCs w:val="15"/>
              </w:rPr>
              <w:t xml:space="preserve">PIPEDRIVE_API_TOKEN</w:t>
            </w:r>
            <w:r>
              <w:rPr>
                <w:sz w:val="18"/>
                <w:szCs w:val="18"/>
              </w:rPr>
              <w:t xml:space="preserve">) transmis en en-tête, jamais exposé aux clients ni journalisé.</w:t>
            </w:r>
          </w:p>
        </w:tc>
      </w:tr>
      <w:tr>
        <w:trPr>
          <w:cantSplit/>
        </w:trPr>
        <w:tc>
          <w:tcPr>
            <w:tcW w:type="dxa" w:w="96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RI02</w:t>
            </w:r>
          </w:p>
        </w:tc>
        <w:tc>
          <w:tcPr>
            <w:tcW w:type="dxa" w:w="867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Aucun appel Pipedrive n’est fait dans la requête du client. L’écriture métier et l’événement de synchronisation sont enregistrés dans la même transaction (outbox) ; un worker exécute les appels.</w:t>
            </w:r>
          </w:p>
        </w:tc>
      </w:tr>
      <w:tr>
        <w:trPr>
          <w:cantSplit/>
        </w:trPr>
        <w:tc>
          <w:tcPr>
            <w:tcW w:type="dxa" w:w="96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RI03</w:t>
            </w:r>
          </w:p>
        </w:tc>
        <w:tc>
          <w:tcPr>
            <w:tcW w:type="dxa" w:w="867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Le résultat métier et l’état de synchronisation sont distincts. La réponse indique toujours l’état : </w:t>
            </w:r>
            <w:r>
              <w:rPr>
                <w:rFonts w:ascii="Consolas" w:cs="Consolas" w:eastAsia="Consolas" w:hAnsi="Consolas"/>
                <w:color w:val="7A2E0E"/>
                <w:sz w:val="15"/>
                <w:szCs w:val="15"/>
              </w:rPr>
              <w:t xml:space="preserve">SYNCHRONISE</w:t>
            </w:r>
            <w:r>
              <w:rPr>
                <w:sz w:val="18"/>
                <w:szCs w:val="18"/>
              </w:rPr>
              <w:t xml:space="preserve">, </w:t>
            </w:r>
            <w:r>
              <w:rPr>
                <w:rFonts w:ascii="Consolas" w:cs="Consolas" w:eastAsia="Consolas" w:hAnsi="Consolas"/>
                <w:color w:val="7A2E0E"/>
                <w:sz w:val="15"/>
                <w:szCs w:val="15"/>
              </w:rPr>
              <w:t xml:space="preserve">EN_ATTENTE</w:t>
            </w:r>
            <w:r>
              <w:rPr>
                <w:sz w:val="18"/>
                <w:szCs w:val="18"/>
              </w:rPr>
              <w:t xml:space="preserve"> ou </w:t>
            </w:r>
            <w:r>
              <w:rPr>
                <w:rFonts w:ascii="Consolas" w:cs="Consolas" w:eastAsia="Consolas" w:hAnsi="Consolas"/>
                <w:color w:val="7A2E0E"/>
                <w:sz w:val="15"/>
                <w:szCs w:val="15"/>
              </w:rPr>
              <w:t xml:space="preserve">ECHEC</w:t>
            </w:r>
            <w:r>
              <w:rPr>
                <w:sz w:val="18"/>
                <w:szCs w:val="18"/>
              </w:rPr>
              <w:t xml:space="preserve">. Aucune synchronisation n’est déclarée réussie sans réponse positive de Pipedrive.</w:t>
            </w:r>
          </w:p>
        </w:tc>
      </w:tr>
      <w:tr>
        <w:trPr>
          <w:cantSplit/>
        </w:trPr>
        <w:tc>
          <w:tcPr>
            <w:tcW w:type="dxa" w:w="96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RI04</w:t>
            </w:r>
          </w:p>
        </w:tc>
        <w:tc>
          <w:tcPr>
            <w:tcW w:type="dxa" w:w="867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Idempotence : une ReferenceSynchro est créée avant l’appel, avec une clé unique. Après un résultat indéterminé (timeout, coupure), l’adaptateur recherche l’objet dans Pipedrive avant de le recréer.</w:t>
            </w:r>
          </w:p>
        </w:tc>
      </w:tr>
      <w:tr>
        <w:trPr>
          <w:cantSplit/>
        </w:trPr>
        <w:tc>
          <w:tcPr>
            <w:tcW w:type="dxa" w:w="96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RI05</w:t>
            </w:r>
          </w:p>
        </w:tc>
        <w:tc>
          <w:tcPr>
            <w:tcW w:type="dxa" w:w="867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Minimisation : Person = nom, téléphone, e-mail ; Deal = référence du dossier et libellé de la démarche ; Activity = intitulé, type, échéance, référence. Ne sont jamais transmis : numéros de pièces d’identité, contenu des actes, données du défunt ou des témoins, motifs détaillés, fichiers.</w:t>
            </w:r>
          </w:p>
        </w:tc>
      </w:tr>
      <w:tr>
        <w:trPr>
          <w:cantSplit/>
        </w:trPr>
        <w:tc>
          <w:tcPr>
            <w:tcW w:type="dxa" w:w="96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RI06</w:t>
            </w:r>
          </w:p>
        </w:tc>
        <w:tc>
          <w:tcPr>
            <w:tcW w:type="dxa" w:w="867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Reprise : timeout, 5xx et 429 → relance automatique bornée (5 tentatives, attente exponentielle avec aléa, respect de Retry-After). 400, 401, 403, 404 inattendu, 410 → aucune relance automatique, état ECHEC et alerte.</w:t>
            </w:r>
          </w:p>
        </w:tc>
      </w:tr>
      <w:tr>
        <w:trPr>
          <w:cantSplit/>
        </w:trPr>
        <w:tc>
          <w:tcPr>
            <w:tcW w:type="dxa" w:w="96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RI07</w:t>
            </w:r>
          </w:p>
        </w:tc>
        <w:tc>
          <w:tcPr>
            <w:tcW w:type="dxa" w:w="867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Une erreur Pipedrive n’est jamais présentée comme une erreur de validation ou une erreur métier, ni comme un succès (RG05).</w:t>
            </w:r>
          </w:p>
        </w:tc>
      </w:tr>
      <w:tr>
        <w:trPr>
          <w:cantSplit/>
        </w:trPr>
        <w:tc>
          <w:tcPr>
            <w:tcW w:type="dxa" w:w="96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RI08</w:t>
            </w:r>
          </w:p>
        </w:tc>
        <w:tc>
          <w:tcPr>
            <w:tcW w:type="dxa" w:w="867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Pipedrive est un miroir : en cas d’écart (objet supprimé ou modifié dans Pipedrive), l’API rétablit l’état issu du module métier.</w:t>
            </w:r>
          </w:p>
        </w:tc>
      </w:tr>
      <w:tr>
        <w:trPr>
          <w:cantSplit/>
        </w:trPr>
        <w:tc>
          <w:tcPr>
            <w:tcW w:type="dxa" w:w="96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RI09</w:t>
            </w:r>
          </w:p>
        </w:tc>
        <w:tc>
          <w:tcPr>
            <w:tcW w:type="dxa" w:w="867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Chaque appel est journalisé avec l’identifiant de corrélation, l’opération (OP-xx de l’ISD), le code HTTP, la durée et le numéro de tentative, sans jeton ni donnée personnelle.</w:t>
            </w:r>
          </w:p>
        </w:tc>
      </w:tr>
      <w:tr>
        <w:trPr>
          <w:cantSplit/>
        </w:trPr>
        <w:tc>
          <w:tcPr>
            <w:tcW w:type="dxa" w:w="96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RI10</w:t>
            </w:r>
          </w:p>
        </w:tc>
        <w:tc>
          <w:tcPr>
            <w:tcW w:type="dxa" w:w="867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Une panne de Pipedrive ne bloque aucune opération métier. L’API reste utilisable et les synchronisations sont rattrapées.</w:t>
            </w:r>
          </w:p>
        </w:tc>
      </w:tr>
    </w:tbl>
    <w:p>
      <w:pPr>
        <w:spacing w:after="80"/>
      </w:pPr>
    </w:p>
    <w:p>
      <w:pPr>
        <w:pStyle w:val="Heading1"/>
      </w:pPr>
      <w:r>
        <w:t xml:space="preserve">4. Cycle de vie du dossier</w:t>
      </w:r>
    </w:p>
    <w:p>
      <w:pPr>
        <w:pStyle w:val="Heading2"/>
        <w:keepNext/>
      </w:pPr>
      <w:r>
        <w:t xml:space="preserve">4.1 Statuts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4144"/>
        <w:gridCol w:w="3374"/>
      </w:tblGrid>
      <w:tr>
        <w:trPr>
          <w:tblHeader/>
        </w:trPr>
        <w:tc>
          <w:tcPr>
            <w:tcW w:type="dxa" w:w="2120"/>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Statut</w:t>
            </w:r>
          </w:p>
        </w:tc>
        <w:tc>
          <w:tcPr>
            <w:tcW w:type="dxa" w:w="4144"/>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Signification</w:t>
            </w:r>
          </w:p>
        </w:tc>
        <w:tc>
          <w:tcPr>
            <w:tcW w:type="dxa" w:w="3374"/>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Étape du pipeline Pipedrive</w:t>
            </w:r>
          </w:p>
        </w:tc>
      </w:tr>
      <w:tr>
        <w:trPr>
          <w:cantSplit/>
        </w:trPr>
        <w:tc>
          <w:tcPr>
            <w:tcW w:type="dxa" w:w="212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BROUILLON</w:t>
            </w:r>
          </w:p>
        </w:tc>
        <w:tc>
          <w:tcPr>
            <w:tcW w:type="dxa" w:w="4144"/>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Dossier créé, non soumis ; modifiable.</w:t>
            </w:r>
          </w:p>
        </w:tc>
        <w:tc>
          <w:tcPr>
            <w:tcW w:type="dxa" w:w="3374"/>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Non synchronisé (seul le contact est créé)</w:t>
            </w:r>
          </w:p>
        </w:tc>
      </w:tr>
      <w:tr>
        <w:trPr>
          <w:cantSplit/>
        </w:trPr>
        <w:tc>
          <w:tcPr>
            <w:tcW w:type="dxa" w:w="212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SOUMIS</w:t>
            </w:r>
          </w:p>
        </w:tc>
        <w:tc>
          <w:tcPr>
            <w:tcW w:type="dxa" w:w="4144"/>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Demande enregistrée, en attente de vérification.</w:t>
            </w:r>
          </w:p>
        </w:tc>
        <w:tc>
          <w:tcPr>
            <w:tcW w:type="dxa" w:w="3374"/>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Reçu</w:t>
            </w:r>
          </w:p>
        </w:tc>
      </w:tr>
      <w:tr>
        <w:trPr>
          <w:cantSplit/>
        </w:trPr>
        <w:tc>
          <w:tcPr>
            <w:tcW w:type="dxa" w:w="212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INCOMPLET</w:t>
            </w:r>
          </w:p>
        </w:tc>
        <w:tc>
          <w:tcPr>
            <w:tcW w:type="dxa" w:w="4144"/>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Bloqué : pièce manquante ou invalide ; motif enregistré.</w:t>
            </w:r>
          </w:p>
        </w:tc>
        <w:tc>
          <w:tcPr>
            <w:tcW w:type="dxa" w:w="3374"/>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Pièces à compléter</w:t>
            </w:r>
          </w:p>
        </w:tc>
      </w:tr>
      <w:tr>
        <w:trPr>
          <w:cantSplit/>
        </w:trPr>
        <w:tc>
          <w:tcPr>
            <w:tcW w:type="dxa" w:w="212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EN_INSTRUCTION</w:t>
            </w:r>
          </w:p>
        </w:tc>
        <w:tc>
          <w:tcPr>
            <w:tcW w:type="dxa" w:w="4144"/>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Pièces complètes, instruction en cours.</w:t>
            </w:r>
          </w:p>
        </w:tc>
        <w:tc>
          <w:tcPr>
            <w:tcW w:type="dxa" w:w="3374"/>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En instruction</w:t>
            </w:r>
          </w:p>
        </w:tc>
      </w:tr>
      <w:tr>
        <w:trPr>
          <w:cantSplit/>
        </w:trPr>
        <w:tc>
          <w:tcPr>
            <w:tcW w:type="dxa" w:w="212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EN_ATTENTE_DECISION</w:t>
            </w:r>
          </w:p>
        </w:tc>
        <w:tc>
          <w:tcPr>
            <w:tcW w:type="dxa" w:w="4144"/>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Instruction terminée, décision attendue.</w:t>
            </w:r>
          </w:p>
        </w:tc>
        <w:tc>
          <w:tcPr>
            <w:tcW w:type="dxa" w:w="3374"/>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En attente de décision</w:t>
            </w:r>
          </w:p>
        </w:tc>
      </w:tr>
      <w:tr>
        <w:trPr>
          <w:cantSplit/>
        </w:trPr>
        <w:tc>
          <w:tcPr>
            <w:tcW w:type="dxa" w:w="212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APPROUVE</w:t>
            </w:r>
          </w:p>
        </w:tc>
        <w:tc>
          <w:tcPr>
            <w:tcW w:type="dxa" w:w="4144"/>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Décision favorable ; acte ou document prêt.</w:t>
            </w:r>
          </w:p>
        </w:tc>
        <w:tc>
          <w:tcPr>
            <w:tcW w:type="dxa" w:w="3374"/>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Approuvé</w:t>
            </w:r>
          </w:p>
        </w:tc>
      </w:tr>
      <w:tr>
        <w:trPr>
          <w:cantSplit/>
        </w:trPr>
        <w:tc>
          <w:tcPr>
            <w:tcW w:type="dxa" w:w="212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DELIVRE</w:t>
            </w:r>
          </w:p>
        </w:tc>
        <w:tc>
          <w:tcPr>
            <w:tcW w:type="dxa" w:w="4144"/>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Document remis au demandeur ; état final.</w:t>
            </w:r>
          </w:p>
        </w:tc>
        <w:tc>
          <w:tcPr>
            <w:tcW w:type="dxa" w:w="3374"/>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Délivré, deal gagné (status = won)</w:t>
            </w:r>
          </w:p>
        </w:tc>
      </w:tr>
      <w:tr>
        <w:trPr>
          <w:cantSplit/>
        </w:trPr>
        <w:tc>
          <w:tcPr>
            <w:tcW w:type="dxa" w:w="212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REJETE</w:t>
            </w:r>
          </w:p>
        </w:tc>
        <w:tc>
          <w:tcPr>
            <w:tcW w:type="dxa" w:w="4144"/>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Décision défavorable, motif obligatoire ; état final.</w:t>
            </w:r>
          </w:p>
        </w:tc>
        <w:tc>
          <w:tcPr>
            <w:tcW w:type="dxa" w:w="3374"/>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Deal perdu (status = lost)</w:t>
            </w:r>
          </w:p>
        </w:tc>
      </w:tr>
      <w:tr>
        <w:trPr>
          <w:cantSplit/>
        </w:trPr>
        <w:tc>
          <w:tcPr>
            <w:tcW w:type="dxa" w:w="212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ANNULE</w:t>
            </w:r>
          </w:p>
        </w:tc>
        <w:tc>
          <w:tcPr>
            <w:tcW w:type="dxa" w:w="4144"/>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Abandonné, motif obligatoire ; état final.</w:t>
            </w:r>
          </w:p>
        </w:tc>
        <w:tc>
          <w:tcPr>
            <w:tcW w:type="dxa" w:w="3374"/>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Deal perdu (status = lost)</w:t>
            </w:r>
          </w:p>
        </w:tc>
      </w:tr>
    </w:tbl>
    <w:p>
      <w:pPr>
        <w:spacing w:after="80"/>
      </w:pPr>
    </w:p>
    <w:p>
      <w:pPr>
        <w:pStyle w:val="Heading2"/>
        <w:keepNext/>
      </w:pPr>
      <w:r>
        <w:t xml:space="preserve">4.2 Transitions autorisées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1927"/>
        <w:gridCol w:w="1927"/>
        <w:gridCol w:w="3664"/>
      </w:tblGrid>
      <w:tr>
        <w:trPr>
          <w:tblHeader/>
        </w:trPr>
        <w:tc>
          <w:tcPr>
            <w:tcW w:type="dxa" w:w="2120"/>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De</w:t>
            </w:r>
          </w:p>
        </w:tc>
        <w:tc>
          <w:tcPr>
            <w:tcW w:type="dxa" w:w="1927"/>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Vers</w:t>
            </w:r>
          </w:p>
        </w:tc>
        <w:tc>
          <w:tcPr>
            <w:tcW w:type="dxa" w:w="1927"/>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Rôle</w:t>
            </w:r>
          </w:p>
        </w:tc>
        <w:tc>
          <w:tcPr>
            <w:tcW w:type="dxa" w:w="3664"/>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Condition</w:t>
            </w:r>
          </w:p>
        </w:tc>
      </w:tr>
      <w:tr>
        <w:trPr>
          <w:cantSplit/>
        </w:trPr>
        <w:tc>
          <w:tcPr>
            <w:tcW w:type="dxa" w:w="212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BROUILLON</w:t>
            </w:r>
          </w:p>
        </w:tc>
        <w:tc>
          <w:tcPr>
            <w:tcW w:type="dxa" w:w="1927"/>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SOUMIS</w:t>
            </w:r>
          </w:p>
        </w:tc>
        <w:tc>
          <w:tcPr>
            <w:tcW w:type="dxa" w:w="1927"/>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ACCUEIL</w:t>
            </w:r>
          </w:p>
        </w:tc>
        <w:tc>
          <w:tcPr>
            <w:tcW w:type="dxa" w:w="3664"/>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RM01 vérifiée.</w:t>
            </w:r>
          </w:p>
        </w:tc>
      </w:tr>
      <w:tr>
        <w:trPr>
          <w:cantSplit/>
        </w:trPr>
        <w:tc>
          <w:tcPr>
            <w:tcW w:type="dxa" w:w="212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SOUMIS</w:t>
            </w:r>
          </w:p>
        </w:tc>
        <w:tc>
          <w:tcPr>
            <w:tcW w:type="dxa" w:w="1927"/>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INCOMPLET</w:t>
            </w:r>
          </w:p>
        </w:tc>
        <w:tc>
          <w:tcPr>
            <w:tcW w:type="dxa" w:w="1927"/>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Instructeur (cat.)</w:t>
            </w:r>
          </w:p>
        </w:tc>
        <w:tc>
          <w:tcPr>
            <w:tcW w:type="dxa" w:w="3664"/>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Au moins une pièce requise absente ou à corriger ; motif (RM05).</w:t>
            </w:r>
          </w:p>
        </w:tc>
      </w:tr>
      <w:tr>
        <w:trPr>
          <w:cantSplit/>
        </w:trPr>
        <w:tc>
          <w:tcPr>
            <w:tcW w:type="dxa" w:w="212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SOUMIS, INCOMPLET</w:t>
            </w:r>
          </w:p>
        </w:tc>
        <w:tc>
          <w:tcPr>
            <w:tcW w:type="dxa" w:w="1927"/>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EN_INSTRUCTION</w:t>
            </w:r>
          </w:p>
        </w:tc>
        <w:tc>
          <w:tcPr>
            <w:tcW w:type="dxa" w:w="1927"/>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Instructeur (cat.)</w:t>
            </w:r>
          </w:p>
        </w:tc>
        <w:tc>
          <w:tcPr>
            <w:tcW w:type="dxa" w:w="3664"/>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Toutes les pièces requises présentes et conformes (RM03).</w:t>
            </w:r>
          </w:p>
        </w:tc>
      </w:tr>
      <w:tr>
        <w:trPr>
          <w:cantSplit/>
        </w:trPr>
        <w:tc>
          <w:tcPr>
            <w:tcW w:type="dxa" w:w="212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EN_INSTRUCTION</w:t>
            </w:r>
          </w:p>
        </w:tc>
        <w:tc>
          <w:tcPr>
            <w:tcW w:type="dxa" w:w="1927"/>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EN_ATTENTE_DECISION</w:t>
            </w:r>
          </w:p>
        </w:tc>
        <w:tc>
          <w:tcPr>
            <w:tcW w:type="dxa" w:w="1927"/>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Instructeur (cat.)</w:t>
            </w:r>
          </w:p>
        </w:tc>
        <w:tc>
          <w:tcPr>
            <w:tcW w:type="dxa" w:w="3664"/>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Instruction terminée ; commentaire facultatif.</w:t>
            </w:r>
          </w:p>
        </w:tc>
      </w:tr>
      <w:tr>
        <w:trPr>
          <w:cantSplit/>
        </w:trPr>
        <w:tc>
          <w:tcPr>
            <w:tcW w:type="dxa" w:w="212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EN_ATTENTE_DECISION</w:t>
            </w:r>
          </w:p>
        </w:tc>
        <w:tc>
          <w:tcPr>
            <w:tcW w:type="dxa" w:w="1927"/>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APPROUVE / REJETE</w:t>
            </w:r>
          </w:p>
        </w:tc>
        <w:tc>
          <w:tcPr>
            <w:tcW w:type="dxa" w:w="1927"/>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RESPONSABLE</w:t>
            </w:r>
          </w:p>
        </w:tc>
        <w:tc>
          <w:tcPr>
            <w:tcW w:type="dxa" w:w="3664"/>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Par UC10 uniquement ; motif obligatoire en cas de rejet (RM05) ; RM09.</w:t>
            </w:r>
          </w:p>
        </w:tc>
      </w:tr>
      <w:tr>
        <w:trPr>
          <w:cantSplit/>
        </w:trPr>
        <w:tc>
          <w:tcPr>
            <w:tcW w:type="dxa" w:w="212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APPROUVE</w:t>
            </w:r>
          </w:p>
        </w:tc>
        <w:tc>
          <w:tcPr>
            <w:tcW w:type="dxa" w:w="1927"/>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DELIVRE</w:t>
            </w:r>
          </w:p>
        </w:tc>
        <w:tc>
          <w:tcPr>
            <w:tcW w:type="dxa" w:w="1927"/>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ACCUEIL, instructeur, RESPONSABLE</w:t>
            </w:r>
          </w:p>
        </w:tc>
        <w:tc>
          <w:tcPr>
            <w:tcW w:type="dxa" w:w="3664"/>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Remise enregistrée (date, observation).</w:t>
            </w:r>
          </w:p>
        </w:tc>
      </w:tr>
      <w:tr>
        <w:trPr>
          <w:cantSplit/>
        </w:trPr>
        <w:tc>
          <w:tcPr>
            <w:tcW w:type="dxa" w:w="212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BROUILLON à EN_ATTENTE_DECISION</w:t>
            </w:r>
          </w:p>
        </w:tc>
        <w:tc>
          <w:tcPr>
            <w:tcW w:type="dxa" w:w="1927"/>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ANNULE</w:t>
            </w:r>
          </w:p>
        </w:tc>
        <w:tc>
          <w:tcPr>
            <w:tcW w:type="dxa" w:w="1927"/>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ACCUEIL, RESPONSABLE</w:t>
            </w:r>
          </w:p>
        </w:tc>
        <w:tc>
          <w:tcPr>
            <w:tcW w:type="dxa" w:w="3664"/>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Par UC12 ; motif obligatoire (RM05).</w:t>
            </w:r>
          </w:p>
        </w:tc>
      </w:tr>
    </w:tbl>
    <w:p>
      <w:pPr>
        <w:spacing w:after="80"/>
      </w:pPr>
    </w:p>
    <w:p>
      <w:pPr>
        <w:spacing w:after="100" w:line="276"/>
      </w:pPr>
      <w:r>
        <w:t xml:space="preserve">Toute autre transition est refusée (409 </w:t>
      </w:r>
      <w:r>
        <w:rPr>
          <w:rFonts w:ascii="Consolas" w:cs="Consolas" w:eastAsia="Consolas" w:hAnsi="Consolas"/>
          <w:color w:val="7A2E0E"/>
          <w:sz w:val="17"/>
          <w:szCs w:val="17"/>
        </w:rPr>
        <w:t xml:space="preserve">TRANSITION_INTERDITE</w:t>
      </w:r>
      <w:r>
        <w:t xml:space="preserve">, RM04). L’instructeur est l’agent de la catégorie du dossier (AGENT_ETAT_CIVIL ou AGENT_CERTIFICATION).</w:t>
      </w:r>
    </w:p>
    <w:p>
      <w:pPr>
        <w:pBdr>
          <w:left w:val="single" w:color="2E75B6" w:sz="18" w:space="6"/>
        </w:pBdr>
        <w:shd w:fill="EAF1F8" w:color="auto" w:val="clear"/>
        <w:spacing w:after="140" w:before="80" w:line="264"/>
        <w:ind w:left="120" w:right="120"/>
      </w:pPr>
      <w:r>
        <w:rPr>
          <w:b/>
          <w:bCs/>
          <w:color w:val="2E75B6"/>
          <w:sz w:val="19"/>
          <w:szCs w:val="19"/>
        </w:rPr>
        <w:t xml:space="preserve">Écart signalé — </w:t>
      </w:r>
      <w:r>
        <w:rPr>
          <w:sz w:val="19"/>
          <w:szCs w:val="19"/>
        </w:rPr>
        <w:t xml:space="preserve">L’AF ne prévoit pas EN_INSTRUCTION → INCOMPLET (pièce jugée invalide pendant l’instruction). Elle n’est pas ajoutée dans cette version afin de rester conforme à l’AF ; elle est proposée au point ouvert P10.</w:t>
      </w:r>
    </w:p>
    <w:p>
      <w:pPr>
        <w:pStyle w:val="Heading2"/>
        <w:keepNext/>
      </w:pPr>
      <w:r>
        <w:t xml:space="preserve">4.3 Projection des événements vers Pipedrive</w:t>
      </w:r>
    </w:p>
    <w:p>
      <w:pPr>
        <w:spacing w:after="100" w:line="276"/>
      </w:pPr>
      <w:r>
        <w:t xml:space="preserve">Chaque transition produit, dans la même transaction, un ou plusieurs événements de synchronisation. Le libellé des activités commence par le marqueur </w:t>
      </w:r>
      <w:r>
        <w:rPr>
          <w:rFonts w:ascii="Consolas" w:cs="Consolas" w:eastAsia="Consolas" w:hAnsi="Consolas"/>
          <w:color w:val="7A2E0E"/>
          <w:sz w:val="17"/>
          <w:szCs w:val="17"/>
        </w:rPr>
        <w:t xml:space="preserve">[REF·En]</w:t>
      </w:r>
      <w:r>
        <w:t xml:space="preserve"> (référence du dossier et numéro de l’événement d’historique), qui sert au contrôle d’existence (RI04).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2891"/>
        <w:gridCol w:w="3856"/>
      </w:tblGrid>
      <w:tr>
        <w:trPr>
          <w:tblHeader/>
        </w:trPr>
        <w:tc>
          <w:tcPr>
            <w:tcW w:type="dxa" w:w="2891"/>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Événement métier</w:t>
            </w:r>
          </w:p>
        </w:tc>
        <w:tc>
          <w:tcPr>
            <w:tcW w:type="dxa" w:w="2891"/>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Effet sur le deal</w:t>
            </w:r>
          </w:p>
        </w:tc>
        <w:tc>
          <w:tcPr>
            <w:tcW w:type="dxa" w:w="3856"/>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Activité créée (type, échéance)</w:t>
            </w:r>
          </w:p>
        </w:tc>
      </w:tr>
      <w:tr>
        <w:trPr>
          <w:cantSplit/>
        </w:trPr>
        <w:tc>
          <w:tcPr>
            <w:tcW w:type="dxa" w:w="2891"/>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Création du dossier (BROUILLON)</w:t>
            </w:r>
          </w:p>
        </w:tc>
        <w:tc>
          <w:tcPr>
            <w:tcW w:type="dxa" w:w="2891"/>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Aucun</w:t>
            </w:r>
          </w:p>
        </w:tc>
        <w:tc>
          <w:tcPr>
            <w:tcW w:type="dxa" w:w="385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Aucune — seul le contact est synchronisé (UC13).</w:t>
            </w:r>
          </w:p>
        </w:tc>
      </w:tr>
      <w:tr>
        <w:trPr>
          <w:cantSplit/>
        </w:trPr>
        <w:tc>
          <w:tcPr>
            <w:tcW w:type="dxa" w:w="2891"/>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Soumission (→ SOUMIS)</w:t>
            </w:r>
          </w:p>
        </w:tc>
        <w:tc>
          <w:tcPr>
            <w:tcW w:type="dxa" w:w="2891"/>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Création du deal, étape « Reçu »</w:t>
            </w:r>
          </w:p>
        </w:tc>
        <w:tc>
          <w:tcPr>
            <w:tcW w:type="dxa" w:w="385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 Vérifier les pièces » (task, J+2)</w:t>
            </w:r>
          </w:p>
        </w:tc>
      </w:tr>
      <w:tr>
        <w:trPr>
          <w:cantSplit/>
        </w:trPr>
        <w:tc>
          <w:tcPr>
            <w:tcW w:type="dxa" w:w="2891"/>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Blocage (→ INCOMPLET)</w:t>
            </w:r>
          </w:p>
        </w:tc>
        <w:tc>
          <w:tcPr>
            <w:tcW w:type="dxa" w:w="2891"/>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Étape « Pièces à compléter »</w:t>
            </w:r>
          </w:p>
        </w:tc>
        <w:tc>
          <w:tcPr>
            <w:tcW w:type="dxa" w:w="385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 Relancer le demandeur : pièces manquantes » (call, J+3)</w:t>
            </w:r>
          </w:p>
        </w:tc>
      </w:tr>
      <w:tr>
        <w:trPr>
          <w:cantSplit/>
        </w:trPr>
        <w:tc>
          <w:tcPr>
            <w:tcW w:type="dxa" w:w="2891"/>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Instruction (→ EN_INSTRUCTION)</w:t>
            </w:r>
          </w:p>
        </w:tc>
        <w:tc>
          <w:tcPr>
            <w:tcW w:type="dxa" w:w="2891"/>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Étape « En instruction »</w:t>
            </w:r>
          </w:p>
        </w:tc>
        <w:tc>
          <w:tcPr>
            <w:tcW w:type="dxa" w:w="385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 Instruire le dossier » (task, J+5)</w:t>
            </w:r>
          </w:p>
        </w:tc>
      </w:tr>
      <w:tr>
        <w:trPr>
          <w:cantSplit/>
        </w:trPr>
        <w:tc>
          <w:tcPr>
            <w:tcW w:type="dxa" w:w="2891"/>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Fin d’instruction (→ EN_ATTENTE_DECISION)</w:t>
            </w:r>
          </w:p>
        </w:tc>
        <w:tc>
          <w:tcPr>
            <w:tcW w:type="dxa" w:w="2891"/>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Étape « En attente de décision »</w:t>
            </w:r>
          </w:p>
        </w:tc>
        <w:tc>
          <w:tcPr>
            <w:tcW w:type="dxa" w:w="385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 Décision attendue » (deadline, J+3)</w:t>
            </w:r>
          </w:p>
        </w:tc>
      </w:tr>
      <w:tr>
        <w:trPr>
          <w:cantSplit/>
        </w:trPr>
        <w:tc>
          <w:tcPr>
            <w:tcW w:type="dxa" w:w="2891"/>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Approbation (→ APPROUVE)</w:t>
            </w:r>
          </w:p>
        </w:tc>
        <w:tc>
          <w:tcPr>
            <w:tcW w:type="dxa" w:w="2891"/>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Étape « Approuvé »</w:t>
            </w:r>
          </w:p>
        </w:tc>
        <w:tc>
          <w:tcPr>
            <w:tcW w:type="dxa" w:w="385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 Préparer la remise au demandeur » (task, J+2)</w:t>
            </w:r>
          </w:p>
        </w:tc>
      </w:tr>
      <w:tr>
        <w:trPr>
          <w:cantSplit/>
        </w:trPr>
        <w:tc>
          <w:tcPr>
            <w:tcW w:type="dxa" w:w="2891"/>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Remise (→ DELIVRE)</w:t>
            </w:r>
          </w:p>
        </w:tc>
        <w:tc>
          <w:tcPr>
            <w:tcW w:type="dxa" w:w="2891"/>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Étape « Délivré », status = won</w:t>
            </w:r>
          </w:p>
        </w:tc>
        <w:tc>
          <w:tcPr>
            <w:tcW w:type="dxa" w:w="385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Activités ouvertes du dossier marquées terminées (done = true)</w:t>
            </w:r>
          </w:p>
        </w:tc>
      </w:tr>
      <w:tr>
        <w:trPr>
          <w:cantSplit/>
        </w:trPr>
        <w:tc>
          <w:tcPr>
            <w:tcW w:type="dxa" w:w="2891"/>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Rejet (→ REJETE)</w:t>
            </w:r>
          </w:p>
        </w:tc>
        <w:tc>
          <w:tcPr>
            <w:tcW w:type="dxa" w:w="2891"/>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status = lost, lost_reason = « Dossier rejeté »</w:t>
            </w:r>
          </w:p>
        </w:tc>
        <w:tc>
          <w:tcPr>
            <w:tcW w:type="dxa" w:w="385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 Informer le demandeur de la décision » (call, J+1)</w:t>
            </w:r>
          </w:p>
        </w:tc>
      </w:tr>
      <w:tr>
        <w:trPr>
          <w:cantSplit/>
        </w:trPr>
        <w:tc>
          <w:tcPr>
            <w:tcW w:type="dxa" w:w="2891"/>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Annulation (→ ANNULE)</w:t>
            </w:r>
          </w:p>
        </w:tc>
        <w:tc>
          <w:tcPr>
            <w:tcW w:type="dxa" w:w="2891"/>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status = lost, lost_reason = « Dossier annulé »</w:t>
            </w:r>
          </w:p>
        </w:tc>
        <w:tc>
          <w:tcPr>
            <w:tcW w:type="dxa" w:w="385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Activités ouvertes du dossier marquées terminées</w:t>
            </w:r>
          </w:p>
        </w:tc>
      </w:tr>
    </w:tbl>
    <w:p>
      <w:pPr>
        <w:spacing w:after="80"/>
      </w:pPr>
    </w:p>
    <w:p>
      <w:pPr>
        <w:spacing w:after="100" w:line="276"/>
      </w:pPr>
      <w:r>
        <w:t xml:space="preserve">Les délais (J+n) et les types d’activités sont paramétrables. Le motif détaillé d’un rejet ou d’une annulation reste dans le module métier (RI05).</w:t>
      </w:r>
    </w:p>
    <w:p>
      <w:pPr>
        <w:pStyle w:val="Heading1"/>
      </w:pPr>
      <w:r>
        <w:t xml:space="preserve">5. Cas d’utilisation détaillés</w:t>
      </w:r>
    </w:p>
    <w:p>
      <w:pPr>
        <w:spacing w:after="100" w:line="276"/>
      </w:pPr>
      <w:r>
        <w:t xml:space="preserve">Les cas d’utilisation reprennent la numérotation et les paquetages de l’AF §5. Les plus structurants sont accompagnés d’un diagramme de séquence. Tous les endpoints sont préfixés par </w:t>
      </w:r>
      <w:r>
        <w:rPr>
          <w:rFonts w:ascii="Consolas" w:cs="Consolas" w:eastAsia="Consolas" w:hAnsi="Consolas"/>
          <w:color w:val="7A2E0E"/>
          <w:sz w:val="17"/>
          <w:szCs w:val="17"/>
        </w:rPr>
        <w:t xml:space="preserve">/api/v1</w:t>
      </w:r>
      <w:r>
        <w:t xml:space="preserve"> et exigent un JWT valide, sauf mention contraire.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Paquetage</w:t>
            </w:r>
          </w:p>
        </w:tc>
        <w:tc>
          <w:tcPr>
            <w:tcW w:type="dxa" w:w="7229"/>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Cas d’utilisation</w:t>
            </w:r>
          </w:p>
        </w:tc>
      </w:tr>
      <w:tr>
        <w:trPr>
          <w:cantSplit/>
        </w:trPr>
        <w:tc>
          <w:tcPr>
            <w:tcW w:type="dxa" w:w="240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Accès et sécurité</w:t>
            </w:r>
          </w:p>
        </w:tc>
        <w:tc>
          <w:tcPr>
            <w:tcW w:type="dxa" w:w="722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UC01 S’authentifier · UC02 Gérer les comptes et rôles</w:t>
            </w:r>
          </w:p>
        </w:tc>
      </w:tr>
      <w:tr>
        <w:trPr>
          <w:cantSplit/>
        </w:trPr>
        <w:tc>
          <w:tcPr>
            <w:tcW w:type="dxa" w:w="240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Gestion des dossiers</w:t>
            </w:r>
          </w:p>
        </w:tc>
        <w:tc>
          <w:tcPr>
            <w:tcW w:type="dxa" w:w="722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UC03 Créer · UC04 Consulter · UC05 Rechercher/lister · UC06 Modifier (brouillon) · UC07 Déclarer les pièces · UC08 Vérifier la complétude · UC09 Changer le statut · UC10 Décider · UC11 Consulter l’historique · UC12 Annuler</w:t>
            </w:r>
          </w:p>
        </w:tc>
      </w:tr>
      <w:tr>
        <w:trPr>
          <w:cantSplit/>
        </w:trPr>
        <w:tc>
          <w:tcPr>
            <w:tcW w:type="dxa" w:w="240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Intégration Pipedrive</w:t>
            </w:r>
          </w:p>
        </w:tc>
        <w:tc>
          <w:tcPr>
            <w:tcW w:type="dxa" w:w="722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UC13 Synchroniser le demandeur · UC14 Créer/mettre à jour l’activité de suivi et le deal · UC15 Relancer une synchronisation</w:t>
            </w:r>
          </w:p>
        </w:tc>
      </w:tr>
      <w:tr>
        <w:trPr>
          <w:cantSplit/>
        </w:trPr>
        <w:tc>
          <w:tcPr>
            <w:tcW w:type="dxa" w:w="240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Administration</w:t>
            </w:r>
          </w:p>
        </w:tc>
        <w:tc>
          <w:tcPr>
            <w:tcW w:type="dxa" w:w="722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UC16 Configurer les démarches et pièces · UC17 Consulter les journaux techniques</w:t>
            </w:r>
          </w:p>
        </w:tc>
      </w:tr>
    </w:tbl>
    <w:p>
      <w:pPr>
        <w:spacing w:after="80"/>
      </w:pPr>
    </w:p>
    <w:p>
      <w:pPr>
        <w:spacing w:after="100" w:line="276"/>
      </w:pPr>
      <w:r>
        <w:t xml:space="preserve">Relations : UC03 inclut UC13 ; UC09, UC10 et UC12 incluent UC14 ; UC10 étend UC08 ; UC15 étend UC13 et UC14.</w:t>
      </w:r>
    </w:p>
    <w:p>
      <w:pPr>
        <w:pStyle w:val="Heading2"/>
        <w:keepNext/>
      </w:pPr>
      <w:r>
        <w:t xml:space="preserve">UC01 — S’authentifier</w:t>
      </w:r>
    </w:p>
    <w:p>
      <w:pPr>
        <w:keepNext/>
        <w:spacing w:after="40" w:before="60"/>
        <w:jc w:val="center"/>
      </w:pPr>
      <w:r>
        <w:drawing>
          <wp:inline distT="0" distB="0" distL="0" distR="0">
            <wp:extent cx="5343525" cy="5648325"/>
            <wp:effectExtent t="0" r="0" b="0" l="0"/>
            <wp:docPr id="1" name="uc01" descr="Figure 1 — UC01 S’authentifier" title="Figure 1 — UC01 S’authentif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43525" cy="5648325"/>
                    </a:xfrm>
                    <a:prstGeom prst="rect">
                      <a:avLst/>
                    </a:prstGeom>
                  </pic:spPr>
                </pic:pic>
              </a:graphicData>
            </a:graphic>
          </wp:inline>
        </w:drawing>
      </w:r>
    </w:p>
    <w:p>
      <w:pPr>
        <w:spacing w:after="160"/>
        <w:jc w:val="center"/>
      </w:pPr>
      <w:r>
        <w:rPr>
          <w:i/>
          <w:iCs/>
          <w:color w:val="555555"/>
          <w:sz w:val="17"/>
          <w:szCs w:val="17"/>
        </w:rPr>
        <w:t xml:space="preserve">Figure 1 — UC01 S’authentifier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2"/>
        <w:gridCol w:w="7036"/>
      </w:tblGrid>
      <w:tr>
        <w:trPr>
          <w:tblHeader/>
        </w:trPr>
        <w:tc>
          <w:tcPr>
            <w:tcW w:type="dxa" w:w="2602"/>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Élément</w:t>
            </w:r>
          </w:p>
        </w:tc>
        <w:tc>
          <w:tcPr>
            <w:tcW w:type="dxa" w:w="7036"/>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Description</w:t>
            </w:r>
          </w:p>
        </w:tc>
      </w:tr>
      <w:tr>
        <w:trPr>
          <w:cantSplit/>
        </w:trPr>
        <w:tc>
          <w:tcPr>
            <w:tcW w:type="dxa" w:w="260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Acteur principal</w:t>
            </w:r>
          </w:p>
        </w:tc>
        <w:tc>
          <w:tcPr>
            <w:tcW w:type="dxa" w:w="703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Tout utilisateur (via l’application cliente)</w:t>
            </w:r>
          </w:p>
        </w:tc>
      </w:tr>
      <w:tr>
        <w:trPr>
          <w:cantSplit/>
        </w:trPr>
        <w:tc>
          <w:tcPr>
            <w:tcW w:type="dxa" w:w="260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Objectif</w:t>
            </w:r>
          </w:p>
        </w:tc>
        <w:tc>
          <w:tcPr>
            <w:tcW w:type="dxa" w:w="703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Obtenir un jeton d’accès portant l’identité et le rôle de l’agent.</w:t>
            </w:r>
          </w:p>
        </w:tc>
      </w:tr>
      <w:tr>
        <w:trPr>
          <w:cantSplit/>
        </w:trPr>
        <w:tc>
          <w:tcPr>
            <w:tcW w:type="dxa" w:w="260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Exigences couvertes</w:t>
            </w:r>
          </w:p>
        </w:tc>
        <w:tc>
          <w:tcPr>
            <w:tcW w:type="dxa" w:w="703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EF04 ; RG02, RG07, RG08</w:t>
            </w:r>
          </w:p>
        </w:tc>
      </w:tr>
      <w:tr>
        <w:trPr>
          <w:cantSplit/>
        </w:trPr>
        <w:tc>
          <w:tcPr>
            <w:tcW w:type="dxa" w:w="260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Endpoint exposé</w:t>
            </w:r>
          </w:p>
        </w:tc>
        <w:tc>
          <w:tcPr>
            <w:tcW w:type="dxa" w:w="703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POST /auth/login</w:t>
            </w:r>
            <w:r>
              <w:rPr>
                <w:sz w:val="18"/>
                <w:szCs w:val="18"/>
              </w:rPr>
              <w:t xml:space="preserve"> (public)</w:t>
            </w:r>
          </w:p>
          <w:p>
            <w:pPr>
              <w:spacing w:after="30" w:before="30"/>
            </w:pPr>
            <w:r>
              <w:rPr>
                <w:rFonts w:ascii="Consolas" w:cs="Consolas" w:eastAsia="Consolas" w:hAnsi="Consolas"/>
                <w:color w:val="7A2E0E"/>
                <w:sz w:val="15"/>
                <w:szCs w:val="15"/>
              </w:rPr>
              <w:t xml:space="preserve">POST /auth/refresh</w:t>
            </w:r>
          </w:p>
          <w:p>
            <w:pPr>
              <w:spacing w:after="30" w:before="30"/>
            </w:pPr>
            <w:r>
              <w:rPr>
                <w:rFonts w:ascii="Consolas" w:cs="Consolas" w:eastAsia="Consolas" w:hAnsi="Consolas"/>
                <w:color w:val="7A2E0E"/>
                <w:sz w:val="15"/>
                <w:szCs w:val="15"/>
              </w:rPr>
              <w:t xml:space="preserve">GET /auth/me</w:t>
            </w:r>
          </w:p>
          <w:p>
            <w:pPr>
              <w:spacing w:after="30" w:before="30"/>
            </w:pPr>
            <w:r>
              <w:rPr>
                <w:rFonts w:ascii="Consolas" w:cs="Consolas" w:eastAsia="Consolas" w:hAnsi="Consolas"/>
                <w:color w:val="7A2E0E"/>
                <w:sz w:val="15"/>
                <w:szCs w:val="15"/>
              </w:rPr>
              <w:t xml:space="preserve">POST /auth/logout</w:t>
            </w:r>
          </w:p>
        </w:tc>
      </w:tr>
    </w:tbl>
    <w:p>
      <w:pPr>
        <w:spacing w:after="80"/>
      </w:pPr>
    </w:p>
    <w:p>
      <w:pPr>
        <w:pStyle w:val="Heading3"/>
        <w:keepNext/>
      </w:pPr>
      <w:r>
        <w:t xml:space="preserve">Préconditions</w:t>
      </w:r>
    </w:p>
    <w:p>
      <w:pPr>
        <w:pStyle w:val="ListParagraph"/>
        <w:numPr>
          <w:ilvl w:val="0"/>
          <w:numId w:val="2"/>
        </w:numPr>
        <w:spacing w:after="60" w:line="264"/>
      </w:pPr>
      <w:r>
        <w:t xml:space="preserve">Le compte existe et est actif.</w:t>
      </w:r>
    </w:p>
    <w:p>
      <w:pPr>
        <w:pStyle w:val="ListParagraph"/>
        <w:numPr>
          <w:ilvl w:val="0"/>
          <w:numId w:val="2"/>
        </w:numPr>
        <w:spacing w:after="60" w:line="264"/>
      </w:pPr>
      <w:r>
        <w:t xml:space="preserve">La clé de signature JWT est configurée côté serveur.</w:t>
      </w:r>
    </w:p>
    <w:p>
      <w:pPr>
        <w:pStyle w:val="Heading3"/>
        <w:keepNext/>
      </w:pPr>
      <w:r>
        <w:t xml:space="preserve">Scénario nominal</w:t>
      </w:r>
    </w:p>
    <w:p>
      <w:pPr>
        <w:pStyle w:val="ListParagraph"/>
        <w:numPr>
          <w:ilvl w:val="0"/>
          <w:numId w:val="3"/>
        </w:numPr>
        <w:spacing w:after="60" w:line="264"/>
      </w:pPr>
      <w:r>
        <w:t xml:space="preserve">L’utilisateur transmet son identifiant et son mot de passe.</w:t>
      </w:r>
    </w:p>
    <w:p>
      <w:pPr>
        <w:pStyle w:val="ListParagraph"/>
        <w:numPr>
          <w:ilvl w:val="0"/>
          <w:numId w:val="3"/>
        </w:numPr>
        <w:spacing w:after="60" w:line="264"/>
      </w:pPr>
      <w:r>
        <w:t xml:space="preserve">Le système vérifie le mot de passe (hachage argon2).</w:t>
      </w:r>
    </w:p>
    <w:p>
      <w:pPr>
        <w:pStyle w:val="ListParagraph"/>
        <w:numPr>
          <w:ilvl w:val="0"/>
          <w:numId w:val="3"/>
        </w:numPr>
        <w:spacing w:after="60" w:line="264"/>
      </w:pPr>
      <w:r>
        <w:t xml:space="preserve">Il émet un jeton d’accès (30 min) et un jeton de rafraîchissement (8 h), portant l’identifiant, le rôle et la catégorie.</w:t>
      </w:r>
    </w:p>
    <w:p>
      <w:pPr>
        <w:pStyle w:val="ListParagraph"/>
        <w:numPr>
          <w:ilvl w:val="0"/>
          <w:numId w:val="3"/>
        </w:numPr>
        <w:spacing w:after="60" w:line="264"/>
      </w:pPr>
      <w:r>
        <w:t xml:space="preserve">Il journalise la connexion (sans mot de passe ni jeton).</w:t>
      </w:r>
    </w:p>
    <w:p>
      <w:pPr>
        <w:pStyle w:val="Heading3"/>
        <w:keepNext/>
      </w:pPr>
      <w:r>
        <w:t xml:space="preserve">Alternatives et exceptions</w:t>
      </w:r>
    </w:p>
    <w:p>
      <w:pPr>
        <w:pStyle w:val="ListParagraph"/>
        <w:numPr>
          <w:ilvl w:val="0"/>
          <w:numId w:val="2"/>
        </w:numPr>
        <w:spacing w:after="60" w:line="264"/>
      </w:pPr>
      <w:r>
        <w:t xml:space="preserve">Identifiants invalides → 401 </w:t>
      </w:r>
      <w:r>
        <w:rPr>
          <w:rFonts w:ascii="Consolas" w:cs="Consolas" w:eastAsia="Consolas" w:hAnsi="Consolas"/>
          <w:color w:val="7A2E0E"/>
          <w:sz w:val="17"/>
          <w:szCs w:val="17"/>
        </w:rPr>
        <w:t xml:space="preserve">NON_AUTHENTIFIE</w:t>
      </w:r>
      <w:r>
        <w:t xml:space="preserve">, sans préciser le champ erroné.</w:t>
      </w:r>
    </w:p>
    <w:p>
      <w:pPr>
        <w:pStyle w:val="ListParagraph"/>
        <w:numPr>
          <w:ilvl w:val="0"/>
          <w:numId w:val="2"/>
        </w:numPr>
        <w:spacing w:after="60" w:line="264"/>
      </w:pPr>
      <w:r>
        <w:t xml:space="preserve">Compte désactivé → 401 </w:t>
      </w:r>
      <w:r>
        <w:rPr>
          <w:rFonts w:ascii="Consolas" w:cs="Consolas" w:eastAsia="Consolas" w:hAnsi="Consolas"/>
          <w:color w:val="7A2E0E"/>
          <w:sz w:val="17"/>
          <w:szCs w:val="17"/>
        </w:rPr>
        <w:t xml:space="preserve">NON_AUTHENTIFIE</w:t>
      </w:r>
      <w:r>
        <w:t xml:space="preserve">.</w:t>
      </w:r>
    </w:p>
    <w:p>
      <w:pPr>
        <w:pStyle w:val="ListParagraph"/>
        <w:numPr>
          <w:ilvl w:val="0"/>
          <w:numId w:val="2"/>
        </w:numPr>
        <w:spacing w:after="60" w:line="264"/>
      </w:pPr>
      <w:r>
        <w:t xml:space="preserve">5 échecs consécutifs → blocage 15 min, 429 </w:t>
      </w:r>
      <w:r>
        <w:rPr>
          <w:rFonts w:ascii="Consolas" w:cs="Consolas" w:eastAsia="Consolas" w:hAnsi="Consolas"/>
          <w:color w:val="7A2E0E"/>
          <w:sz w:val="17"/>
          <w:szCs w:val="17"/>
        </w:rPr>
        <w:t xml:space="preserve">TROP_DE_TENTATIVES</w:t>
      </w:r>
      <w:r>
        <w:t xml:space="preserve">.</w:t>
      </w:r>
    </w:p>
    <w:p>
      <w:pPr>
        <w:pStyle w:val="ListParagraph"/>
        <w:numPr>
          <w:ilvl w:val="0"/>
          <w:numId w:val="2"/>
        </w:numPr>
        <w:spacing w:after="60" w:line="264"/>
      </w:pPr>
      <w:r>
        <w:t xml:space="preserve">Jeton d’accès expiré → 401 </w:t>
      </w:r>
      <w:r>
        <w:rPr>
          <w:rFonts w:ascii="Consolas" w:cs="Consolas" w:eastAsia="Consolas" w:hAnsi="Consolas"/>
          <w:color w:val="7A2E0E"/>
          <w:sz w:val="17"/>
          <w:szCs w:val="17"/>
        </w:rPr>
        <w:t xml:space="preserve">JETON_EXPIRE</w:t>
      </w:r>
      <w:r>
        <w:t xml:space="preserve"> ; le client utilise </w:t>
      </w:r>
      <w:r>
        <w:rPr>
          <w:rFonts w:ascii="Consolas" w:cs="Consolas" w:eastAsia="Consolas" w:hAnsi="Consolas"/>
          <w:color w:val="7A2E0E"/>
          <w:sz w:val="17"/>
          <w:szCs w:val="17"/>
        </w:rPr>
        <w:t xml:space="preserve">/auth/refresh</w:t>
      </w:r>
      <w:r>
        <w:t xml:space="preserve"> ou se reconnecte.</w:t>
      </w:r>
    </w:p>
    <w:p>
      <w:pPr>
        <w:pStyle w:val="Heading3"/>
        <w:keepNext/>
      </w:pPr>
      <w:r>
        <w:t xml:space="preserve">Postconditions</w:t>
      </w:r>
    </w:p>
    <w:p>
      <w:pPr>
        <w:pStyle w:val="ListParagraph"/>
        <w:numPr>
          <w:ilvl w:val="0"/>
          <w:numId w:val="2"/>
        </w:numPr>
        <w:spacing w:after="60" w:line="264"/>
      </w:pPr>
      <w:r>
        <w:t xml:space="preserve">Succès : session valide portant l’identité et le rôle.</w:t>
      </w:r>
    </w:p>
    <w:p>
      <w:pPr>
        <w:pStyle w:val="ListParagraph"/>
        <w:numPr>
          <w:ilvl w:val="0"/>
          <w:numId w:val="2"/>
        </w:numPr>
        <w:spacing w:after="60" w:line="264"/>
      </w:pPr>
      <w:r>
        <w:t xml:space="preserve">Échec : aucun jeton émis.</w:t>
      </w:r>
    </w:p>
    <w:p>
      <w:pPr>
        <w:pStyle w:val="Heading3"/>
        <w:keepNext/>
      </w:pPr>
      <w:r>
        <w:t xml:space="preserve">Exigences complémentaires</w:t>
      </w:r>
    </w:p>
    <w:p>
      <w:pPr>
        <w:pStyle w:val="ListParagraph"/>
        <w:numPr>
          <w:ilvl w:val="0"/>
          <w:numId w:val="2"/>
        </w:numPr>
        <w:spacing w:after="60" w:line="264"/>
      </w:pPr>
      <w:r>
        <w:t xml:space="preserve">Aucun appel à Pipedrive : l’authentification des agents est indépendante de Pipedrive.</w:t>
      </w:r>
    </w:p>
    <w:p>
      <w:pPr>
        <w:pStyle w:val="ListParagraph"/>
        <w:numPr>
          <w:ilvl w:val="0"/>
          <w:numId w:val="2"/>
        </w:numPr>
        <w:spacing w:after="60" w:line="264"/>
      </w:pPr>
      <w:r>
        <w:t xml:space="preserve">L’authentification et l’autorisation sont deux contrôles distincts : le rôle est vérifié à chaque requête.</w:t>
      </w:r>
    </w:p>
    <w:p>
      <w:pPr>
        <w:pStyle w:val="Heading2"/>
        <w:keepNext/>
      </w:pPr>
      <w:r>
        <w:t xml:space="preserve">UC02 — Gérer les comptes et rôles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2"/>
        <w:gridCol w:w="7036"/>
      </w:tblGrid>
      <w:tr>
        <w:trPr>
          <w:tblHeader/>
        </w:trPr>
        <w:tc>
          <w:tcPr>
            <w:tcW w:type="dxa" w:w="2602"/>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Élément</w:t>
            </w:r>
          </w:p>
        </w:tc>
        <w:tc>
          <w:tcPr>
            <w:tcW w:type="dxa" w:w="7036"/>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Description</w:t>
            </w:r>
          </w:p>
        </w:tc>
      </w:tr>
      <w:tr>
        <w:trPr>
          <w:cantSplit/>
        </w:trPr>
        <w:tc>
          <w:tcPr>
            <w:tcW w:type="dxa" w:w="260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Acteur principal</w:t>
            </w:r>
          </w:p>
        </w:tc>
        <w:tc>
          <w:tcPr>
            <w:tcW w:type="dxa" w:w="703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Administrateur</w:t>
            </w:r>
          </w:p>
        </w:tc>
      </w:tr>
      <w:tr>
        <w:trPr>
          <w:cantSplit/>
        </w:trPr>
        <w:tc>
          <w:tcPr>
            <w:tcW w:type="dxa" w:w="260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Objectif</w:t>
            </w:r>
          </w:p>
        </w:tc>
        <w:tc>
          <w:tcPr>
            <w:tcW w:type="dxa" w:w="703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Créer, modifier, désactiver les comptes des agents et leur attribuer un rôle.</w:t>
            </w:r>
          </w:p>
        </w:tc>
      </w:tr>
      <w:tr>
        <w:trPr>
          <w:cantSplit/>
        </w:trPr>
        <w:tc>
          <w:tcPr>
            <w:tcW w:type="dxa" w:w="260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Exigences couvertes</w:t>
            </w:r>
          </w:p>
        </w:tc>
        <w:tc>
          <w:tcPr>
            <w:tcW w:type="dxa" w:w="703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EF04 ; RG02</w:t>
            </w:r>
          </w:p>
        </w:tc>
      </w:tr>
      <w:tr>
        <w:trPr>
          <w:cantSplit/>
        </w:trPr>
        <w:tc>
          <w:tcPr>
            <w:tcW w:type="dxa" w:w="260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Endpoint exposé</w:t>
            </w:r>
          </w:p>
        </w:tc>
        <w:tc>
          <w:tcPr>
            <w:tcW w:type="dxa" w:w="703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GET /utilisateurs</w:t>
            </w:r>
          </w:p>
          <w:p>
            <w:pPr>
              <w:spacing w:after="30" w:before="30"/>
            </w:pPr>
            <w:r>
              <w:rPr>
                <w:rFonts w:ascii="Consolas" w:cs="Consolas" w:eastAsia="Consolas" w:hAnsi="Consolas"/>
                <w:color w:val="7A2E0E"/>
                <w:sz w:val="15"/>
                <w:szCs w:val="15"/>
              </w:rPr>
              <w:t xml:space="preserve">POST /utilisateurs</w:t>
            </w:r>
          </w:p>
          <w:p>
            <w:pPr>
              <w:spacing w:after="30" w:before="30"/>
            </w:pPr>
            <w:r>
              <w:rPr>
                <w:rFonts w:ascii="Consolas" w:cs="Consolas" w:eastAsia="Consolas" w:hAnsi="Consolas"/>
                <w:color w:val="7A2E0E"/>
                <w:sz w:val="15"/>
                <w:szCs w:val="15"/>
              </w:rPr>
              <w:t xml:space="preserve">PATCH /utilisateurs/{id}</w:t>
            </w:r>
          </w:p>
        </w:tc>
      </w:tr>
    </w:tbl>
    <w:p>
      <w:pPr>
        <w:spacing w:after="80"/>
      </w:pPr>
    </w:p>
    <w:p>
      <w:pPr>
        <w:pStyle w:val="Heading3"/>
        <w:keepNext/>
      </w:pPr>
      <w:r>
        <w:t xml:space="preserve">Préconditions</w:t>
      </w:r>
    </w:p>
    <w:p>
      <w:pPr>
        <w:pStyle w:val="ListParagraph"/>
        <w:numPr>
          <w:ilvl w:val="0"/>
          <w:numId w:val="2"/>
        </w:numPr>
        <w:spacing w:after="60" w:line="264"/>
      </w:pPr>
      <w:r>
        <w:t xml:space="preserve">L’administrateur est authentifié.</w:t>
      </w:r>
    </w:p>
    <w:p>
      <w:pPr>
        <w:pStyle w:val="Heading3"/>
        <w:keepNext/>
      </w:pPr>
      <w:r>
        <w:t xml:space="preserve">Scénario nominal</w:t>
      </w:r>
    </w:p>
    <w:p>
      <w:pPr>
        <w:pStyle w:val="ListParagraph"/>
        <w:numPr>
          <w:ilvl w:val="0"/>
          <w:numId w:val="4"/>
        </w:numPr>
        <w:spacing w:after="60" w:line="264"/>
      </w:pPr>
      <w:r>
        <w:t xml:space="preserve">L’administrateur saisit nom, identifiant, rôle, catégorie (pour les instructeurs) et mot de passe initial.</w:t>
      </w:r>
    </w:p>
    <w:p>
      <w:pPr>
        <w:pStyle w:val="ListParagraph"/>
        <w:numPr>
          <w:ilvl w:val="0"/>
          <w:numId w:val="4"/>
        </w:numPr>
        <w:spacing w:after="60" w:line="264"/>
      </w:pPr>
      <w:r>
        <w:t xml:space="preserve">Le système valide l’unicité de l’identifiant et la robustesse du mot de passe (12 caractères minimum).</w:t>
      </w:r>
    </w:p>
    <w:p>
      <w:pPr>
        <w:pStyle w:val="ListParagraph"/>
        <w:numPr>
          <w:ilvl w:val="0"/>
          <w:numId w:val="4"/>
        </w:numPr>
        <w:spacing w:after="60" w:line="264"/>
      </w:pPr>
      <w:r>
        <w:t xml:space="preserve">Il enregistre le compte et journalise l’action.</w:t>
      </w:r>
    </w:p>
    <w:p>
      <w:pPr>
        <w:pStyle w:val="Heading3"/>
        <w:keepNext/>
      </w:pPr>
      <w:r>
        <w:t xml:space="preserve">Alternatives et exceptions</w:t>
      </w:r>
    </w:p>
    <w:p>
      <w:pPr>
        <w:pStyle w:val="ListParagraph"/>
        <w:numPr>
          <w:ilvl w:val="0"/>
          <w:numId w:val="2"/>
        </w:numPr>
        <w:spacing w:after="60" w:line="264"/>
      </w:pPr>
      <w:r>
        <w:t xml:space="preserve">Identifiant déjà utilisé → 409 </w:t>
      </w:r>
      <w:r>
        <w:rPr>
          <w:rFonts w:ascii="Consolas" w:cs="Consolas" w:eastAsia="Consolas" w:hAnsi="Consolas"/>
          <w:color w:val="7A2E0E"/>
          <w:sz w:val="17"/>
          <w:szCs w:val="17"/>
        </w:rPr>
        <w:t xml:space="preserve">CONFLIT</w:t>
      </w:r>
      <w:r>
        <w:t xml:space="preserve">.</w:t>
      </w:r>
    </w:p>
    <w:p>
      <w:pPr>
        <w:pStyle w:val="ListParagraph"/>
        <w:numPr>
          <w:ilvl w:val="0"/>
          <w:numId w:val="2"/>
        </w:numPr>
        <w:spacing w:after="60" w:line="264"/>
      </w:pPr>
      <w:r>
        <w:t xml:space="preserve">Rôle inconnu → 400 </w:t>
      </w:r>
      <w:r>
        <w:rPr>
          <w:rFonts w:ascii="Consolas" w:cs="Consolas" w:eastAsia="Consolas" w:hAnsi="Consolas"/>
          <w:color w:val="7A2E0E"/>
          <w:sz w:val="17"/>
          <w:szCs w:val="17"/>
        </w:rPr>
        <w:t xml:space="preserve">VALIDATION_ECHOUEE</w:t>
      </w:r>
      <w:r>
        <w:t xml:space="preserve">.</w:t>
      </w:r>
    </w:p>
    <w:p>
      <w:pPr>
        <w:pStyle w:val="ListParagraph"/>
        <w:numPr>
          <w:ilvl w:val="0"/>
          <w:numId w:val="2"/>
        </w:numPr>
        <w:spacing w:after="60" w:line="264"/>
      </w:pPr>
      <w:r>
        <w:t xml:space="preserve">Un administrateur ne peut pas désactiver son propre compte → 422 </w:t>
      </w:r>
      <w:r>
        <w:rPr>
          <w:rFonts w:ascii="Consolas" w:cs="Consolas" w:eastAsia="Consolas" w:hAnsi="Consolas"/>
          <w:color w:val="7A2E0E"/>
          <w:sz w:val="17"/>
          <w:szCs w:val="17"/>
        </w:rPr>
        <w:t xml:space="preserve">REGLE_METIER_VIOLEE</w:t>
      </w:r>
      <w:r>
        <w:t xml:space="preserve">.</w:t>
      </w:r>
    </w:p>
    <w:p>
      <w:pPr>
        <w:pStyle w:val="Heading3"/>
        <w:keepNext/>
      </w:pPr>
      <w:r>
        <w:t xml:space="preserve">Postconditions</w:t>
      </w:r>
    </w:p>
    <w:p>
      <w:pPr>
        <w:pStyle w:val="ListParagraph"/>
        <w:numPr>
          <w:ilvl w:val="0"/>
          <w:numId w:val="2"/>
        </w:numPr>
        <w:spacing w:after="60" w:line="264"/>
      </w:pPr>
      <w:r>
        <w:t xml:space="preserve">Compte créé ou modifié ; un compte désactivé ne peut plus se connecter.</w:t>
      </w:r>
    </w:p>
    <w:p>
      <w:pPr>
        <w:pStyle w:val="Heading3"/>
        <w:keepNext/>
      </w:pPr>
      <w:r>
        <w:t xml:space="preserve">Exigences complémentaires</w:t>
      </w:r>
    </w:p>
    <w:p>
      <w:pPr>
        <w:pStyle w:val="ListParagraph"/>
        <w:numPr>
          <w:ilvl w:val="0"/>
          <w:numId w:val="2"/>
        </w:numPr>
        <w:spacing w:after="60" w:line="264"/>
      </w:pPr>
      <w:r>
        <w:t xml:space="preserve">Les comptes ne sont jamais supprimés (traçabilité des auteurs dans l’historique), seulement désactivés.</w:t>
      </w:r>
    </w:p>
    <w:p>
      <w:pPr>
        <w:pStyle w:val="ListParagraph"/>
        <w:numPr>
          <w:ilvl w:val="0"/>
          <w:numId w:val="2"/>
        </w:numPr>
        <w:spacing w:after="60" w:line="264"/>
      </w:pPr>
      <w:r>
        <w:t xml:space="preserve">Un compte administrateur initial est créé au premier démarrage à partir de variables d’environnement.</w:t>
      </w:r>
    </w:p>
    <w:p>
      <w:pPr>
        <w:pStyle w:val="Heading2"/>
        <w:keepNext/>
      </w:pPr>
      <w:r>
        <w:t xml:space="preserve">UC03 — Créer un dossier</w:t>
      </w:r>
    </w:p>
    <w:p>
      <w:pPr>
        <w:keepNext/>
        <w:spacing w:after="40" w:before="60"/>
        <w:jc w:val="center"/>
      </w:pPr>
      <w:r>
        <w:drawing>
          <wp:inline distT="0" distB="0" distL="0" distR="0">
            <wp:extent cx="6096000" cy="5419725"/>
            <wp:effectExtent t="0" r="0" b="0" l="0"/>
            <wp:docPr id="1" name="uc03" descr="Figure 2 — UC03 Créer un dossier (avec UC13)" title="Figure 2 — UC03 Créer un dossier (avec UC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5419725"/>
                    </a:xfrm>
                    <a:prstGeom prst="rect">
                      <a:avLst/>
                    </a:prstGeom>
                  </pic:spPr>
                </pic:pic>
              </a:graphicData>
            </a:graphic>
          </wp:inline>
        </w:drawing>
      </w:r>
    </w:p>
    <w:p>
      <w:pPr>
        <w:spacing w:after="160"/>
        <w:jc w:val="center"/>
      </w:pPr>
      <w:r>
        <w:rPr>
          <w:i/>
          <w:iCs/>
          <w:color w:val="555555"/>
          <w:sz w:val="17"/>
          <w:szCs w:val="17"/>
        </w:rPr>
        <w:t xml:space="preserve">Figure 2 — UC03 Créer un dossier (avec UC13)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2"/>
        <w:gridCol w:w="7036"/>
      </w:tblGrid>
      <w:tr>
        <w:trPr>
          <w:tblHeader/>
        </w:trPr>
        <w:tc>
          <w:tcPr>
            <w:tcW w:type="dxa" w:w="2602"/>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Élément</w:t>
            </w:r>
          </w:p>
        </w:tc>
        <w:tc>
          <w:tcPr>
            <w:tcW w:type="dxa" w:w="7036"/>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Description</w:t>
            </w:r>
          </w:p>
        </w:tc>
      </w:tr>
      <w:tr>
        <w:trPr>
          <w:cantSplit/>
        </w:trPr>
        <w:tc>
          <w:tcPr>
            <w:tcW w:type="dxa" w:w="260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Acteur principal</w:t>
            </w:r>
          </w:p>
        </w:tc>
        <w:tc>
          <w:tcPr>
            <w:tcW w:type="dxa" w:w="703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Agent d’accueil</w:t>
            </w:r>
          </w:p>
        </w:tc>
      </w:tr>
      <w:tr>
        <w:trPr>
          <w:cantSplit/>
        </w:trPr>
        <w:tc>
          <w:tcPr>
            <w:tcW w:type="dxa" w:w="260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Objectif</w:t>
            </w:r>
          </w:p>
        </w:tc>
        <w:tc>
          <w:tcPr>
            <w:tcW w:type="dxa" w:w="703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Enregistrer une nouvelle demande pour l’une des cinq démarches.</w:t>
            </w:r>
          </w:p>
        </w:tc>
      </w:tr>
      <w:tr>
        <w:trPr>
          <w:cantSplit/>
        </w:trPr>
        <w:tc>
          <w:tcPr>
            <w:tcW w:type="dxa" w:w="260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Exigences couvertes</w:t>
            </w:r>
          </w:p>
        </w:tc>
        <w:tc>
          <w:tcPr>
            <w:tcW w:type="dxa" w:w="703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EF03, EF07, EF10, EF11, EF14, EF15 ; RG01, RG04, RG06 ; RM02, RM08</w:t>
            </w:r>
          </w:p>
        </w:tc>
      </w:tr>
      <w:tr>
        <w:trPr>
          <w:cantSplit/>
        </w:trPr>
        <w:tc>
          <w:tcPr>
            <w:tcW w:type="dxa" w:w="260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Endpoint exposé</w:t>
            </w:r>
          </w:p>
        </w:tc>
        <w:tc>
          <w:tcPr>
            <w:tcW w:type="dxa" w:w="703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POST /dossiers</w:t>
            </w:r>
          </w:p>
        </w:tc>
      </w:tr>
    </w:tbl>
    <w:p>
      <w:pPr>
        <w:spacing w:after="80"/>
      </w:pPr>
    </w:p>
    <w:p>
      <w:pPr>
        <w:pStyle w:val="Heading3"/>
        <w:keepNext/>
      </w:pPr>
      <w:r>
        <w:t xml:space="preserve">Préconditions</w:t>
      </w:r>
    </w:p>
    <w:p>
      <w:pPr>
        <w:pStyle w:val="ListParagraph"/>
        <w:numPr>
          <w:ilvl w:val="0"/>
          <w:numId w:val="2"/>
        </w:numPr>
        <w:spacing w:after="60" w:line="264"/>
      </w:pPr>
      <w:r>
        <w:t xml:space="preserve">L’agent est authentifié avec le rôle ACCUEIL.</w:t>
      </w:r>
    </w:p>
    <w:p>
      <w:pPr>
        <w:pStyle w:val="ListParagraph"/>
        <w:numPr>
          <w:ilvl w:val="0"/>
          <w:numId w:val="2"/>
        </w:numPr>
        <w:spacing w:after="60" w:line="264"/>
      </w:pPr>
      <w:r>
        <w:t xml:space="preserve">Le type de démarche est actif.</w:t>
      </w:r>
    </w:p>
    <w:p>
      <w:pPr>
        <w:pStyle w:val="Heading3"/>
        <w:keepNext/>
      </w:pPr>
      <w:r>
        <w:t xml:space="preserve">Scénario nominal</w:t>
      </w:r>
    </w:p>
    <w:p>
      <w:pPr>
        <w:pStyle w:val="ListParagraph"/>
        <w:numPr>
          <w:ilvl w:val="0"/>
          <w:numId w:val="5"/>
        </w:numPr>
        <w:spacing w:after="60" w:line="264"/>
      </w:pPr>
      <w:r>
        <w:t xml:space="preserve">L’agent choisit la démarche et saisit le demandeur (nom, prénom, téléphone et/ou e-mail, date de naissance), l’objet et les données spécifiques (§6.2).</w:t>
      </w:r>
    </w:p>
    <w:p>
      <w:pPr>
        <w:pStyle w:val="ListParagraph"/>
        <w:numPr>
          <w:ilvl w:val="0"/>
          <w:numId w:val="5"/>
        </w:numPr>
        <w:spacing w:after="60" w:line="264"/>
      </w:pPr>
      <w:r>
        <w:t xml:space="preserve">Le système valide les champs (§6.3) avant tout appel externe (RG01).</w:t>
      </w:r>
    </w:p>
    <w:p>
      <w:pPr>
        <w:pStyle w:val="ListParagraph"/>
        <w:numPr>
          <w:ilvl w:val="0"/>
          <w:numId w:val="5"/>
        </w:numPr>
        <w:spacing w:after="60" w:line="264"/>
      </w:pPr>
      <w:r>
        <w:t xml:space="preserve">Il calcule la clé de doublon et vérifie qu’aucun dossier ouvert ne la porte (RM02).</w:t>
      </w:r>
    </w:p>
    <w:p>
      <w:pPr>
        <w:pStyle w:val="ListParagraph"/>
        <w:numPr>
          <w:ilvl w:val="0"/>
          <w:numId w:val="5"/>
        </w:numPr>
        <w:spacing w:after="60" w:line="264"/>
      </w:pPr>
      <w:r>
        <w:t xml:space="preserve">Il enregistre, dans une transaction : le dossier en BROUILLON avec une référence lisible (</w:t>
      </w:r>
      <w:r>
        <w:rPr>
          <w:rFonts w:ascii="Consolas" w:cs="Consolas" w:eastAsia="Consolas" w:hAnsi="Consolas"/>
          <w:color w:val="7A2E0E"/>
          <w:sz w:val="17"/>
          <w:szCs w:val="17"/>
        </w:rPr>
        <w:t xml:space="preserve">ACT-AAAA-NNNNNN</w:t>
      </w:r>
      <w:r>
        <w:t xml:space="preserve">), la liste des pièces requises, la première entrée d’historique et l’événement de synchronisation du demandeur.</w:t>
      </w:r>
    </w:p>
    <w:p>
      <w:pPr>
        <w:pStyle w:val="ListParagraph"/>
        <w:numPr>
          <w:ilvl w:val="0"/>
          <w:numId w:val="5"/>
        </w:numPr>
        <w:spacing w:after="60" w:line="264"/>
      </w:pPr>
      <w:r>
        <w:t xml:space="preserve">Il renvoie 201 avec l’identifiant (UUID), la référence, le statut et l’état de synchronisation.</w:t>
      </w:r>
    </w:p>
    <w:p>
      <w:pPr>
        <w:pStyle w:val="ListParagraph"/>
        <w:numPr>
          <w:ilvl w:val="0"/>
          <w:numId w:val="5"/>
        </w:numPr>
        <w:spacing w:after="60" w:line="264"/>
      </w:pPr>
      <w:r>
        <w:t xml:space="preserve">Le worker synchronise le demandeur avec Pipedrive (UC13).</w:t>
      </w:r>
    </w:p>
    <w:p>
      <w:pPr>
        <w:pStyle w:val="Heading3"/>
        <w:keepNext/>
      </w:pPr>
      <w:r>
        <w:t xml:space="preserve">Alternatives et exceptions</w:t>
      </w:r>
    </w:p>
    <w:p>
      <w:pPr>
        <w:pStyle w:val="ListParagraph"/>
        <w:numPr>
          <w:ilvl w:val="0"/>
          <w:numId w:val="2"/>
        </w:numPr>
        <w:spacing w:after="60" w:line="264"/>
      </w:pPr>
      <w:r>
        <w:t xml:space="preserve">A1 — Demandeur déjà connu (même e-mail ou téléphone) : réutilisation du demandeur interne et du contact Pipedrive existant.</w:t>
      </w:r>
    </w:p>
    <w:p>
      <w:pPr>
        <w:pStyle w:val="ListParagraph"/>
        <w:numPr>
          <w:ilvl w:val="0"/>
          <w:numId w:val="2"/>
        </w:numPr>
        <w:spacing w:after="60" w:line="264"/>
      </w:pPr>
      <w:r>
        <w:t xml:space="preserve">A2 — Pipedrive indisponible : le dossier est créé ; la synchronisation reste </w:t>
      </w:r>
      <w:r>
        <w:rPr>
          <w:rFonts w:ascii="Consolas" w:cs="Consolas" w:eastAsia="Consolas" w:hAnsi="Consolas"/>
          <w:color w:val="7A2E0E"/>
          <w:sz w:val="17"/>
          <w:szCs w:val="17"/>
        </w:rPr>
        <w:t xml:space="preserve">EN_ATTENTE</w:t>
      </w:r>
      <w:r>
        <w:t xml:space="preserve"> et sera relancée (UC15). La réponse le précise.</w:t>
      </w:r>
    </w:p>
    <w:p>
      <w:pPr>
        <w:pStyle w:val="ListParagraph"/>
        <w:numPr>
          <w:ilvl w:val="0"/>
          <w:numId w:val="2"/>
        </w:numPr>
        <w:spacing w:after="60" w:line="264"/>
      </w:pPr>
      <w:r>
        <w:t xml:space="preserve">Champs invalides → 400 </w:t>
      </w:r>
      <w:r>
        <w:rPr>
          <w:rFonts w:ascii="Consolas" w:cs="Consolas" w:eastAsia="Consolas" w:hAnsi="Consolas"/>
          <w:color w:val="7A2E0E"/>
          <w:sz w:val="17"/>
          <w:szCs w:val="17"/>
        </w:rPr>
        <w:t xml:space="preserve">VALIDATION_ECHOUEE</w:t>
      </w:r>
      <w:r>
        <w:t xml:space="preserve"> avec le détail par champ ; aucun appel Pipedrive.</w:t>
      </w:r>
    </w:p>
    <w:p>
      <w:pPr>
        <w:pStyle w:val="ListParagraph"/>
        <w:numPr>
          <w:ilvl w:val="0"/>
          <w:numId w:val="2"/>
        </w:numPr>
        <w:spacing w:after="60" w:line="264"/>
      </w:pPr>
      <w:r>
        <w:t xml:space="preserve">Acte de naissance demandé → 422 </w:t>
      </w:r>
      <w:r>
        <w:rPr>
          <w:rFonts w:ascii="Consolas" w:cs="Consolas" w:eastAsia="Consolas" w:hAnsi="Consolas"/>
          <w:color w:val="7A2E0E"/>
          <w:sz w:val="17"/>
          <w:szCs w:val="17"/>
        </w:rPr>
        <w:t xml:space="preserve">DEMARCHE_HORS_PERIMETRE</w:t>
      </w:r>
      <w:r>
        <w:t xml:space="preserve"> (RM08).</w:t>
      </w:r>
    </w:p>
    <w:p>
      <w:pPr>
        <w:pStyle w:val="ListParagraph"/>
        <w:numPr>
          <w:ilvl w:val="0"/>
          <w:numId w:val="2"/>
        </w:numPr>
        <w:spacing w:after="60" w:line="264"/>
      </w:pPr>
      <w:r>
        <w:t xml:space="preserve">Type de démarche inconnu ou inactif → 422 </w:t>
      </w:r>
      <w:r>
        <w:rPr>
          <w:rFonts w:ascii="Consolas" w:cs="Consolas" w:eastAsia="Consolas" w:hAnsi="Consolas"/>
          <w:color w:val="7A2E0E"/>
          <w:sz w:val="17"/>
          <w:szCs w:val="17"/>
        </w:rPr>
        <w:t xml:space="preserve">DEMARCHE_INACTIVE</w:t>
      </w:r>
      <w:r>
        <w:t xml:space="preserve">.</w:t>
      </w:r>
    </w:p>
    <w:p>
      <w:pPr>
        <w:pStyle w:val="ListParagraph"/>
        <w:numPr>
          <w:ilvl w:val="0"/>
          <w:numId w:val="2"/>
        </w:numPr>
        <w:spacing w:after="60" w:line="264"/>
      </w:pPr>
      <w:r>
        <w:t xml:space="preserve">Doublon probable → 409 </w:t>
      </w:r>
      <w:r>
        <w:rPr>
          <w:rFonts w:ascii="Consolas" w:cs="Consolas" w:eastAsia="Consolas" w:hAnsi="Consolas"/>
          <w:color w:val="7A2E0E"/>
          <w:sz w:val="17"/>
          <w:szCs w:val="17"/>
        </w:rPr>
        <w:t xml:space="preserve">DOUBLON_DETECTE</w:t>
      </w:r>
      <w:r>
        <w:t xml:space="preserve"> avec la référence du dossier existant.</w:t>
      </w:r>
    </w:p>
    <w:p>
      <w:pPr>
        <w:pStyle w:val="Heading3"/>
        <w:keepNext/>
      </w:pPr>
      <w:r>
        <w:t xml:space="preserve">Postconditions</w:t>
      </w:r>
    </w:p>
    <w:p>
      <w:pPr>
        <w:pStyle w:val="ListParagraph"/>
        <w:numPr>
          <w:ilvl w:val="0"/>
          <w:numId w:val="2"/>
        </w:numPr>
        <w:spacing w:after="60" w:line="264"/>
      </w:pPr>
      <w:r>
        <w:t xml:space="preserve">Dossier, pièces requises et première entrée d’historique créés.</w:t>
      </w:r>
    </w:p>
    <w:p>
      <w:pPr>
        <w:pStyle w:val="ListParagraph"/>
        <w:numPr>
          <w:ilvl w:val="0"/>
          <w:numId w:val="2"/>
        </w:numPr>
        <w:spacing w:after="60" w:line="264"/>
      </w:pPr>
      <w:r>
        <w:t xml:space="preserve">Référence de synchronisation du demandeur enregistrée, à l’état SYNCHRONISE ou EN_ATTENTE.</w:t>
      </w:r>
    </w:p>
    <w:p>
      <w:pPr>
        <w:pStyle w:val="Heading2"/>
        <w:keepNext/>
      </w:pPr>
      <w:r>
        <w:t xml:space="preserve">UC04 — Consulter un dossier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2"/>
        <w:gridCol w:w="7036"/>
      </w:tblGrid>
      <w:tr>
        <w:trPr>
          <w:tblHeader/>
        </w:trPr>
        <w:tc>
          <w:tcPr>
            <w:tcW w:type="dxa" w:w="2602"/>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Élément</w:t>
            </w:r>
          </w:p>
        </w:tc>
        <w:tc>
          <w:tcPr>
            <w:tcW w:type="dxa" w:w="7036"/>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Description</w:t>
            </w:r>
          </w:p>
        </w:tc>
      </w:tr>
      <w:tr>
        <w:trPr>
          <w:cantSplit/>
        </w:trPr>
        <w:tc>
          <w:tcPr>
            <w:tcW w:type="dxa" w:w="260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Acteur principal</w:t>
            </w:r>
          </w:p>
        </w:tc>
        <w:tc>
          <w:tcPr>
            <w:tcW w:type="dxa" w:w="703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Tout agent habilité</w:t>
            </w:r>
          </w:p>
        </w:tc>
      </w:tr>
      <w:tr>
        <w:trPr>
          <w:cantSplit/>
        </w:trPr>
        <w:tc>
          <w:tcPr>
            <w:tcW w:type="dxa" w:w="260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Objectif</w:t>
            </w:r>
          </w:p>
        </w:tc>
        <w:tc>
          <w:tcPr>
            <w:tcW w:type="dxa" w:w="703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Afficher les données métier du dossier, ses pièces, sa décision, son état de synchronisation et ses activités Pipedrive.</w:t>
            </w:r>
          </w:p>
        </w:tc>
      </w:tr>
      <w:tr>
        <w:trPr>
          <w:cantSplit/>
        </w:trPr>
        <w:tc>
          <w:tcPr>
            <w:tcW w:type="dxa" w:w="260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Exigences couvertes</w:t>
            </w:r>
          </w:p>
        </w:tc>
        <w:tc>
          <w:tcPr>
            <w:tcW w:type="dxa" w:w="703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EF06, EF08, EF15 ; RG03</w:t>
            </w:r>
          </w:p>
        </w:tc>
      </w:tr>
      <w:tr>
        <w:trPr>
          <w:cantSplit/>
        </w:trPr>
        <w:tc>
          <w:tcPr>
            <w:tcW w:type="dxa" w:w="260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Endpoint exposé</w:t>
            </w:r>
          </w:p>
        </w:tc>
        <w:tc>
          <w:tcPr>
            <w:tcW w:type="dxa" w:w="703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GET /dossiers/{id}</w:t>
            </w:r>
          </w:p>
          <w:p>
            <w:pPr>
              <w:spacing w:after="30" w:before="30"/>
            </w:pPr>
            <w:r>
              <w:rPr>
                <w:rFonts w:ascii="Consolas" w:cs="Consolas" w:eastAsia="Consolas" w:hAnsi="Consolas"/>
                <w:color w:val="7A2E0E"/>
                <w:sz w:val="15"/>
                <w:szCs w:val="15"/>
              </w:rPr>
              <w:t xml:space="preserve">GET /dossiers/{id}/activites</w:t>
            </w:r>
          </w:p>
          <w:p>
            <w:pPr>
              <w:spacing w:after="30" w:before="30"/>
            </w:pPr>
            <w:r>
              <w:rPr>
                <w:rFonts w:ascii="Consolas" w:cs="Consolas" w:eastAsia="Consolas" w:hAnsi="Consolas"/>
                <w:color w:val="7A2E0E"/>
                <w:sz w:val="15"/>
                <w:szCs w:val="15"/>
              </w:rPr>
              <w:t xml:space="preserve">GET /dossiers/{id}/synchronisation</w:t>
            </w:r>
          </w:p>
        </w:tc>
      </w:tr>
    </w:tbl>
    <w:p>
      <w:pPr>
        <w:spacing w:after="80"/>
      </w:pPr>
    </w:p>
    <w:p>
      <w:pPr>
        <w:pStyle w:val="Heading3"/>
        <w:keepNext/>
      </w:pPr>
      <w:r>
        <w:t xml:space="preserve">Préconditions</w:t>
      </w:r>
    </w:p>
    <w:p>
      <w:pPr>
        <w:pStyle w:val="ListParagraph"/>
        <w:numPr>
          <w:ilvl w:val="0"/>
          <w:numId w:val="2"/>
        </w:numPr>
        <w:spacing w:after="60" w:line="264"/>
      </w:pPr>
      <w:r>
        <w:t xml:space="preserve">L’agent est autorisé à consulter le dossier (rôle et catégorie).</w:t>
      </w:r>
    </w:p>
    <w:p>
      <w:pPr>
        <w:pStyle w:val="Heading3"/>
        <w:keepNext/>
      </w:pPr>
      <w:r>
        <w:t xml:space="preserve">Scénario nominal</w:t>
      </w:r>
    </w:p>
    <w:p>
      <w:pPr>
        <w:pStyle w:val="ListParagraph"/>
        <w:numPr>
          <w:ilvl w:val="0"/>
          <w:numId w:val="6"/>
        </w:numPr>
        <w:spacing w:after="60" w:line="264"/>
      </w:pPr>
      <w:r>
        <w:t xml:space="preserve">L’agent ouvre un dossier par son identifiant.</w:t>
      </w:r>
    </w:p>
    <w:p>
      <w:pPr>
        <w:pStyle w:val="ListParagraph"/>
        <w:numPr>
          <w:ilvl w:val="0"/>
          <w:numId w:val="6"/>
        </w:numPr>
        <w:spacing w:after="60" w:line="264"/>
      </w:pPr>
      <w:r>
        <w:t xml:space="preserve">Le système vérifie les droits (RM09) puis lit le dossier dans la base du projet.</w:t>
      </w:r>
    </w:p>
    <w:p>
      <w:pPr>
        <w:pStyle w:val="ListParagraph"/>
        <w:numPr>
          <w:ilvl w:val="0"/>
          <w:numId w:val="6"/>
        </w:numPr>
        <w:spacing w:after="60" w:line="264"/>
      </w:pPr>
      <w:r>
        <w:t xml:space="preserve">Il renvoie les données métier et l’état de synchronisation de chaque objet lié (Person, Deal, Activities).</w:t>
      </w:r>
    </w:p>
    <w:p>
      <w:pPr>
        <w:pStyle w:val="ListParagraph"/>
        <w:numPr>
          <w:ilvl w:val="0"/>
          <w:numId w:val="6"/>
        </w:numPr>
        <w:spacing w:after="60" w:line="264"/>
      </w:pPr>
      <w:r>
        <w:t xml:space="preserve">Sur demande (</w:t>
      </w:r>
      <w:r>
        <w:rPr>
          <w:rFonts w:ascii="Consolas" w:cs="Consolas" w:eastAsia="Consolas" w:hAnsi="Consolas"/>
          <w:color w:val="7A2E0E"/>
          <w:sz w:val="17"/>
          <w:szCs w:val="17"/>
        </w:rPr>
        <w:t xml:space="preserve">/activites</w:t>
      </w:r>
      <w:r>
        <w:t xml:space="preserve">), il lit dans Pipedrive les activités du deal (OP-13 de l’ISD) et les présente sous un format normalisé.</w:t>
      </w:r>
    </w:p>
    <w:p>
      <w:pPr>
        <w:pStyle w:val="Heading3"/>
        <w:keepNext/>
      </w:pPr>
      <w:r>
        <w:t xml:space="preserve">Alternatives et exceptions</w:t>
      </w:r>
    </w:p>
    <w:p>
      <w:pPr>
        <w:pStyle w:val="ListParagraph"/>
        <w:numPr>
          <w:ilvl w:val="0"/>
          <w:numId w:val="2"/>
        </w:numPr>
        <w:spacing w:after="60" w:line="264"/>
      </w:pPr>
      <w:r>
        <w:t xml:space="preserve">Dossier inexistant ou hors du périmètre de l’agent → 404 </w:t>
      </w:r>
      <w:r>
        <w:rPr>
          <w:rFonts w:ascii="Consolas" w:cs="Consolas" w:eastAsia="Consolas" w:hAnsi="Consolas"/>
          <w:color w:val="7A2E0E"/>
          <w:sz w:val="17"/>
          <w:szCs w:val="17"/>
        </w:rPr>
        <w:t xml:space="preserve">RESSOURCE_INTROUVABLE</w:t>
      </w:r>
      <w:r>
        <w:t xml:space="preserve"> (on ne révèle pas l’existence du dossier).</w:t>
      </w:r>
    </w:p>
    <w:p>
      <w:pPr>
        <w:pStyle w:val="ListParagraph"/>
        <w:numPr>
          <w:ilvl w:val="0"/>
          <w:numId w:val="2"/>
        </w:numPr>
        <w:spacing w:after="60" w:line="264"/>
      </w:pPr>
      <w:r>
        <w:t xml:space="preserve">Pipedrive indisponible lors de la lecture des activités → 200 avec les données métier et </w:t>
      </w:r>
      <w:r>
        <w:rPr>
          <w:rFonts w:ascii="Consolas" w:cs="Consolas" w:eastAsia="Consolas" w:hAnsi="Consolas"/>
          <w:color w:val="7A2E0E"/>
          <w:sz w:val="17"/>
          <w:szCs w:val="17"/>
        </w:rPr>
        <w:t xml:space="preserve">activites: { disponible: false, raison: "PIPEDRIVE_INDISPONIBLE" }</w:t>
      </w:r>
      <w:r>
        <w:t xml:space="preserve">.</w:t>
      </w:r>
    </w:p>
    <w:p>
      <w:pPr>
        <w:pStyle w:val="ListParagraph"/>
        <w:numPr>
          <w:ilvl w:val="0"/>
          <w:numId w:val="2"/>
        </w:numPr>
        <w:spacing w:after="60" w:line="264"/>
      </w:pPr>
      <w:r>
        <w:t xml:space="preserve">Dossier pas encore synchronisé (pas de deal) → liste d’activités vide avec l’état EN_ATTENTE.</w:t>
      </w:r>
    </w:p>
    <w:p>
      <w:pPr>
        <w:pStyle w:val="Heading3"/>
        <w:keepNext/>
      </w:pPr>
      <w:r>
        <w:t xml:space="preserve">Postconditions</w:t>
      </w:r>
    </w:p>
    <w:p>
      <w:pPr>
        <w:pStyle w:val="ListParagraph"/>
        <w:numPr>
          <w:ilvl w:val="0"/>
          <w:numId w:val="2"/>
        </w:numPr>
        <w:spacing w:after="60" w:line="264"/>
      </w:pPr>
      <w:r>
        <w:t xml:space="preserve">Aucune modification.</w:t>
      </w:r>
    </w:p>
    <w:p>
      <w:pPr>
        <w:pStyle w:val="Heading3"/>
        <w:keepNext/>
      </w:pPr>
      <w:r>
        <w:t xml:space="preserve">Exigences complémentaires</w:t>
      </w:r>
    </w:p>
    <w:p>
      <w:pPr>
        <w:pStyle w:val="ListParagraph"/>
        <w:numPr>
          <w:ilvl w:val="0"/>
          <w:numId w:val="2"/>
        </w:numPr>
        <w:spacing w:after="60" w:line="264"/>
      </w:pPr>
      <w:r>
        <w:t xml:space="preserve">Les données métier et les éléments Pipedrive sont clairement séparés dans la réponse.</w:t>
      </w:r>
    </w:p>
    <w:p>
      <w:pPr>
        <w:pStyle w:val="ListParagraph"/>
        <w:numPr>
          <w:ilvl w:val="0"/>
          <w:numId w:val="2"/>
        </w:numPr>
        <w:spacing w:after="60" w:line="264"/>
      </w:pPr>
      <w:r>
        <w:t xml:space="preserve">Une référence Pipedrive n’est jamais une preuve d’autorisation.</w:t>
      </w:r>
    </w:p>
    <w:p>
      <w:pPr>
        <w:pStyle w:val="Heading2"/>
        <w:keepNext/>
      </w:pPr>
      <w:r>
        <w:t xml:space="preserve">UC05 — Rechercher et lister les dossiers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2"/>
        <w:gridCol w:w="7036"/>
      </w:tblGrid>
      <w:tr>
        <w:trPr>
          <w:tblHeader/>
        </w:trPr>
        <w:tc>
          <w:tcPr>
            <w:tcW w:type="dxa" w:w="2602"/>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Élément</w:t>
            </w:r>
          </w:p>
        </w:tc>
        <w:tc>
          <w:tcPr>
            <w:tcW w:type="dxa" w:w="7036"/>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Description</w:t>
            </w:r>
          </w:p>
        </w:tc>
      </w:tr>
      <w:tr>
        <w:trPr>
          <w:cantSplit/>
        </w:trPr>
        <w:tc>
          <w:tcPr>
            <w:tcW w:type="dxa" w:w="260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Acteur principal</w:t>
            </w:r>
          </w:p>
        </w:tc>
        <w:tc>
          <w:tcPr>
            <w:tcW w:type="dxa" w:w="703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Tout agent habilité</w:t>
            </w:r>
          </w:p>
        </w:tc>
      </w:tr>
      <w:tr>
        <w:trPr>
          <w:cantSplit/>
        </w:trPr>
        <w:tc>
          <w:tcPr>
            <w:tcW w:type="dxa" w:w="260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Objectif</w:t>
            </w:r>
          </w:p>
        </w:tc>
        <w:tc>
          <w:tcPr>
            <w:tcW w:type="dxa" w:w="703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Retrouver des dossiers par critères.</w:t>
            </w:r>
          </w:p>
        </w:tc>
      </w:tr>
      <w:tr>
        <w:trPr>
          <w:cantSplit/>
        </w:trPr>
        <w:tc>
          <w:tcPr>
            <w:tcW w:type="dxa" w:w="260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Exigences couvertes</w:t>
            </w:r>
          </w:p>
        </w:tc>
        <w:tc>
          <w:tcPr>
            <w:tcW w:type="dxa" w:w="703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EF02, EF06</w:t>
            </w:r>
          </w:p>
        </w:tc>
      </w:tr>
      <w:tr>
        <w:trPr>
          <w:cantSplit/>
        </w:trPr>
        <w:tc>
          <w:tcPr>
            <w:tcW w:type="dxa" w:w="260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Endpoint exposé</w:t>
            </w:r>
          </w:p>
        </w:tc>
        <w:tc>
          <w:tcPr>
            <w:tcW w:type="dxa" w:w="703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GET /dossiers?statut=&amp;type=&amp;categorie=&amp;reference=&amp;demandeur=&amp;cree_du=&amp;cree_au=&amp;page=&amp;taille=</w:t>
            </w:r>
          </w:p>
        </w:tc>
      </w:tr>
    </w:tbl>
    <w:p>
      <w:pPr>
        <w:spacing w:after="80"/>
      </w:pPr>
    </w:p>
    <w:p>
      <w:pPr>
        <w:pStyle w:val="Heading3"/>
        <w:keepNext/>
      </w:pPr>
      <w:r>
        <w:t xml:space="preserve">Préconditions</w:t>
      </w:r>
    </w:p>
    <w:p>
      <w:pPr>
        <w:pStyle w:val="ListParagraph"/>
        <w:numPr>
          <w:ilvl w:val="0"/>
          <w:numId w:val="2"/>
        </w:numPr>
        <w:spacing w:after="60" w:line="264"/>
      </w:pPr>
      <w:r>
        <w:t xml:space="preserve">L’agent est authentifié.</w:t>
      </w:r>
    </w:p>
    <w:p>
      <w:pPr>
        <w:pStyle w:val="Heading3"/>
        <w:keepNext/>
      </w:pPr>
      <w:r>
        <w:t xml:space="preserve">Scénario nominal</w:t>
      </w:r>
    </w:p>
    <w:p>
      <w:pPr>
        <w:pStyle w:val="ListParagraph"/>
        <w:numPr>
          <w:ilvl w:val="0"/>
          <w:numId w:val="7"/>
        </w:numPr>
        <w:spacing w:after="60" w:line="264"/>
      </w:pPr>
      <w:r>
        <w:t xml:space="preserve">L’agent saisit des critères.</w:t>
      </w:r>
    </w:p>
    <w:p>
      <w:pPr>
        <w:pStyle w:val="ListParagraph"/>
        <w:numPr>
          <w:ilvl w:val="0"/>
          <w:numId w:val="7"/>
        </w:numPr>
        <w:spacing w:after="60" w:line="264"/>
      </w:pPr>
      <w:r>
        <w:t xml:space="preserve">Le système filtre selon les critères et le périmètre de l’agent (catégorie).</w:t>
      </w:r>
    </w:p>
    <w:p>
      <w:pPr>
        <w:pStyle w:val="ListParagraph"/>
        <w:numPr>
          <w:ilvl w:val="0"/>
          <w:numId w:val="7"/>
        </w:numPr>
        <w:spacing w:after="60" w:line="264"/>
      </w:pPr>
      <w:r>
        <w:t xml:space="preserve">Il renvoie une page de résultats (taille 20 par défaut, 100 maximum) avec le total.</w:t>
      </w:r>
    </w:p>
    <w:p>
      <w:pPr>
        <w:pStyle w:val="Heading3"/>
        <w:keepNext/>
      </w:pPr>
      <w:r>
        <w:t xml:space="preserve">Alternatives et exceptions</w:t>
      </w:r>
    </w:p>
    <w:p>
      <w:pPr>
        <w:pStyle w:val="ListParagraph"/>
        <w:numPr>
          <w:ilvl w:val="0"/>
          <w:numId w:val="2"/>
        </w:numPr>
        <w:spacing w:after="60" w:line="264"/>
      </w:pPr>
      <w:r>
        <w:t xml:space="preserve">Aucun résultat → 200 avec une liste vide.</w:t>
      </w:r>
    </w:p>
    <w:p>
      <w:pPr>
        <w:pStyle w:val="ListParagraph"/>
        <w:numPr>
          <w:ilvl w:val="0"/>
          <w:numId w:val="2"/>
        </w:numPr>
        <w:spacing w:after="60" w:line="264"/>
      </w:pPr>
      <w:r>
        <w:t xml:space="preserve">Critère invalide (statut inconnu, date mal formée) → 400 </w:t>
      </w:r>
      <w:r>
        <w:rPr>
          <w:rFonts w:ascii="Consolas" w:cs="Consolas" w:eastAsia="Consolas" w:hAnsi="Consolas"/>
          <w:color w:val="7A2E0E"/>
          <w:sz w:val="17"/>
          <w:szCs w:val="17"/>
        </w:rPr>
        <w:t xml:space="preserve">VALIDATION_ECHOUEE</w:t>
      </w:r>
      <w:r>
        <w:t xml:space="preserve">.</w:t>
      </w:r>
    </w:p>
    <w:p>
      <w:pPr>
        <w:pStyle w:val="Heading3"/>
        <w:keepNext/>
      </w:pPr>
      <w:r>
        <w:t xml:space="preserve">Postconditions</w:t>
      </w:r>
    </w:p>
    <w:p>
      <w:pPr>
        <w:pStyle w:val="ListParagraph"/>
        <w:numPr>
          <w:ilvl w:val="0"/>
          <w:numId w:val="2"/>
        </w:numPr>
        <w:spacing w:after="60" w:line="264"/>
      </w:pPr>
      <w:r>
        <w:t xml:space="preserve">Aucune modification.</w:t>
      </w:r>
    </w:p>
    <w:p>
      <w:pPr>
        <w:pStyle w:val="Heading2"/>
        <w:keepNext/>
      </w:pPr>
      <w:r>
        <w:t xml:space="preserve">UC06 — Modifier un dossier en brouillon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2"/>
        <w:gridCol w:w="7036"/>
      </w:tblGrid>
      <w:tr>
        <w:trPr>
          <w:tblHeader/>
        </w:trPr>
        <w:tc>
          <w:tcPr>
            <w:tcW w:type="dxa" w:w="2602"/>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Élément</w:t>
            </w:r>
          </w:p>
        </w:tc>
        <w:tc>
          <w:tcPr>
            <w:tcW w:type="dxa" w:w="7036"/>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Description</w:t>
            </w:r>
          </w:p>
        </w:tc>
      </w:tr>
      <w:tr>
        <w:trPr>
          <w:cantSplit/>
        </w:trPr>
        <w:tc>
          <w:tcPr>
            <w:tcW w:type="dxa" w:w="260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Acteur principal</w:t>
            </w:r>
          </w:p>
        </w:tc>
        <w:tc>
          <w:tcPr>
            <w:tcW w:type="dxa" w:w="703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Agent d’accueil</w:t>
            </w:r>
          </w:p>
        </w:tc>
      </w:tr>
      <w:tr>
        <w:trPr>
          <w:cantSplit/>
        </w:trPr>
        <w:tc>
          <w:tcPr>
            <w:tcW w:type="dxa" w:w="260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Objectif</w:t>
            </w:r>
          </w:p>
        </w:tc>
        <w:tc>
          <w:tcPr>
            <w:tcW w:type="dxa" w:w="703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Corriger les données d’un dossier tant qu’il n’est pas soumis.</w:t>
            </w:r>
          </w:p>
        </w:tc>
      </w:tr>
      <w:tr>
        <w:trPr>
          <w:cantSplit/>
        </w:trPr>
        <w:tc>
          <w:tcPr>
            <w:tcW w:type="dxa" w:w="260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Exigences couvertes</w:t>
            </w:r>
          </w:p>
        </w:tc>
        <w:tc>
          <w:tcPr>
            <w:tcW w:type="dxa" w:w="703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EF03, EF15 ; RG01</w:t>
            </w:r>
          </w:p>
        </w:tc>
      </w:tr>
      <w:tr>
        <w:trPr>
          <w:cantSplit/>
        </w:trPr>
        <w:tc>
          <w:tcPr>
            <w:tcW w:type="dxa" w:w="260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Endpoint exposé</w:t>
            </w:r>
          </w:p>
        </w:tc>
        <w:tc>
          <w:tcPr>
            <w:tcW w:type="dxa" w:w="703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PATCH /dossiers/{id}</w:t>
            </w:r>
          </w:p>
        </w:tc>
      </w:tr>
    </w:tbl>
    <w:p>
      <w:pPr>
        <w:spacing w:after="80"/>
      </w:pPr>
    </w:p>
    <w:p>
      <w:pPr>
        <w:pStyle w:val="Heading3"/>
        <w:keepNext/>
      </w:pPr>
      <w:r>
        <w:t xml:space="preserve">Préconditions</w:t>
      </w:r>
    </w:p>
    <w:p>
      <w:pPr>
        <w:pStyle w:val="ListParagraph"/>
        <w:numPr>
          <w:ilvl w:val="0"/>
          <w:numId w:val="2"/>
        </w:numPr>
        <w:spacing w:after="60" w:line="264"/>
      </w:pPr>
      <w:r>
        <w:t xml:space="preserve">Le dossier est au statut BROUILLON.</w:t>
      </w:r>
    </w:p>
    <w:p>
      <w:pPr>
        <w:pStyle w:val="Heading3"/>
        <w:keepNext/>
      </w:pPr>
      <w:r>
        <w:t xml:space="preserve">Scénario nominal</w:t>
      </w:r>
    </w:p>
    <w:p>
      <w:pPr>
        <w:pStyle w:val="ListParagraph"/>
        <w:numPr>
          <w:ilvl w:val="0"/>
          <w:numId w:val="8"/>
        </w:numPr>
        <w:spacing w:after="60" w:line="264"/>
      </w:pPr>
      <w:r>
        <w:t xml:space="preserve">L’agent modifie le demandeur, l’objet ou les données spécifiques.</w:t>
      </w:r>
    </w:p>
    <w:p>
      <w:pPr>
        <w:pStyle w:val="ListParagraph"/>
        <w:numPr>
          <w:ilvl w:val="0"/>
          <w:numId w:val="8"/>
        </w:numPr>
        <w:spacing w:after="60" w:line="264"/>
      </w:pPr>
      <w:r>
        <w:t xml:space="preserve">Le système valide les champs et recalcule la clé de doublon (RM02).</w:t>
      </w:r>
    </w:p>
    <w:p>
      <w:pPr>
        <w:pStyle w:val="ListParagraph"/>
        <w:numPr>
          <w:ilvl w:val="0"/>
          <w:numId w:val="8"/>
        </w:numPr>
        <w:spacing w:after="60" w:line="264"/>
      </w:pPr>
      <w:r>
        <w:t xml:space="preserve">Il enregistre la modification et l’historique. Si le contact du demandeur change, un événement de mise à jour du contact est créé (UC13).</w:t>
      </w:r>
    </w:p>
    <w:p>
      <w:pPr>
        <w:pStyle w:val="Heading3"/>
        <w:keepNext/>
      </w:pPr>
      <w:r>
        <w:t xml:space="preserve">Alternatives et exceptions</w:t>
      </w:r>
    </w:p>
    <w:p>
      <w:pPr>
        <w:pStyle w:val="ListParagraph"/>
        <w:numPr>
          <w:ilvl w:val="0"/>
          <w:numId w:val="2"/>
        </w:numPr>
        <w:spacing w:after="60" w:line="264"/>
      </w:pPr>
      <w:r>
        <w:t xml:space="preserve">Dossier non brouillon → 409 </w:t>
      </w:r>
      <w:r>
        <w:rPr>
          <w:rFonts w:ascii="Consolas" w:cs="Consolas" w:eastAsia="Consolas" w:hAnsi="Consolas"/>
          <w:color w:val="7A2E0E"/>
          <w:sz w:val="17"/>
          <w:szCs w:val="17"/>
        </w:rPr>
        <w:t xml:space="preserve">ETAT_INCOMPATIBLE</w:t>
      </w:r>
      <w:r>
        <w:t xml:space="preserve">.</w:t>
      </w:r>
    </w:p>
    <w:p>
      <w:pPr>
        <w:pStyle w:val="ListParagraph"/>
        <w:numPr>
          <w:ilvl w:val="0"/>
          <w:numId w:val="2"/>
        </w:numPr>
        <w:spacing w:after="60" w:line="264"/>
      </w:pPr>
      <w:r>
        <w:t xml:space="preserve">Champs invalides → 400.</w:t>
      </w:r>
    </w:p>
    <w:p>
      <w:pPr>
        <w:pStyle w:val="ListParagraph"/>
        <w:numPr>
          <w:ilvl w:val="0"/>
          <w:numId w:val="2"/>
        </w:numPr>
        <w:spacing w:after="60" w:line="264"/>
      </w:pPr>
      <w:r>
        <w:t xml:space="preserve">La modification crée un doublon → 409 </w:t>
      </w:r>
      <w:r>
        <w:rPr>
          <w:rFonts w:ascii="Consolas" w:cs="Consolas" w:eastAsia="Consolas" w:hAnsi="Consolas"/>
          <w:color w:val="7A2E0E"/>
          <w:sz w:val="17"/>
          <w:szCs w:val="17"/>
        </w:rPr>
        <w:t xml:space="preserve">DOUBLON_DETECTE</w:t>
      </w:r>
      <w:r>
        <w:t xml:space="preserve">.</w:t>
      </w:r>
    </w:p>
    <w:p>
      <w:pPr>
        <w:pStyle w:val="ListParagraph"/>
        <w:numPr>
          <w:ilvl w:val="0"/>
          <w:numId w:val="2"/>
        </w:numPr>
        <w:spacing w:after="60" w:line="264"/>
      </w:pPr>
      <w:r>
        <w:t xml:space="preserve">Changement du type de démarche → refusé (400) : il faut annuler et créer un nouveau dossier.</w:t>
      </w:r>
    </w:p>
    <w:p>
      <w:pPr>
        <w:pStyle w:val="Heading3"/>
        <w:keepNext/>
      </w:pPr>
      <w:r>
        <w:t xml:space="preserve">Postconditions</w:t>
      </w:r>
    </w:p>
    <w:p>
      <w:pPr>
        <w:pStyle w:val="ListParagraph"/>
        <w:numPr>
          <w:ilvl w:val="0"/>
          <w:numId w:val="2"/>
        </w:numPr>
        <w:spacing w:after="60" w:line="264"/>
      </w:pPr>
      <w:r>
        <w:t xml:space="preserve">Dossier mis à jour, entrée d’historique ajoutée.</w:t>
      </w:r>
    </w:p>
    <w:p>
      <w:pPr>
        <w:pStyle w:val="Heading2"/>
        <w:keepNext/>
      </w:pPr>
      <w:r>
        <w:t xml:space="preserve">UC07 et UC08 — Déclarer les pièces et vérifier la complétude</w:t>
      </w:r>
    </w:p>
    <w:p>
      <w:pPr>
        <w:keepNext/>
        <w:spacing w:after="40" w:before="60"/>
        <w:jc w:val="center"/>
      </w:pPr>
      <w:r>
        <w:drawing>
          <wp:inline distT="0" distB="0" distL="0" distR="0">
            <wp:extent cx="5343525" cy="5934075"/>
            <wp:effectExtent t="0" r="0" b="0" l="0"/>
            <wp:docPr id="1" name="uc08" descr="Figure 3 — UC07 et UC08 Déclarer les pièces et vérifier la complétude" title="Figure 3 — UC07 et UC08 Déclarer les pièces et vérifier la complétu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43525" cy="5934075"/>
                    </a:xfrm>
                    <a:prstGeom prst="rect">
                      <a:avLst/>
                    </a:prstGeom>
                  </pic:spPr>
                </pic:pic>
              </a:graphicData>
            </a:graphic>
          </wp:inline>
        </w:drawing>
      </w:r>
    </w:p>
    <w:p>
      <w:pPr>
        <w:spacing w:after="160"/>
        <w:jc w:val="center"/>
      </w:pPr>
      <w:r>
        <w:rPr>
          <w:i/>
          <w:iCs/>
          <w:color w:val="555555"/>
          <w:sz w:val="17"/>
          <w:szCs w:val="17"/>
        </w:rPr>
        <w:t xml:space="preserve">Figure 3 — UC07 et UC08 Déclarer les pièces et vérifier la complétude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2"/>
        <w:gridCol w:w="7036"/>
      </w:tblGrid>
      <w:tr>
        <w:trPr>
          <w:tblHeader/>
        </w:trPr>
        <w:tc>
          <w:tcPr>
            <w:tcW w:type="dxa" w:w="2602"/>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Élément</w:t>
            </w:r>
          </w:p>
        </w:tc>
        <w:tc>
          <w:tcPr>
            <w:tcW w:type="dxa" w:w="7036"/>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Description</w:t>
            </w:r>
          </w:p>
        </w:tc>
      </w:tr>
      <w:tr>
        <w:trPr>
          <w:cantSplit/>
        </w:trPr>
        <w:tc>
          <w:tcPr>
            <w:tcW w:type="dxa" w:w="260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Acteur principal</w:t>
            </w:r>
          </w:p>
        </w:tc>
        <w:tc>
          <w:tcPr>
            <w:tcW w:type="dxa" w:w="703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Agent d’accueil (déclaration), instructeur (vérification)</w:t>
            </w:r>
          </w:p>
        </w:tc>
      </w:tr>
      <w:tr>
        <w:trPr>
          <w:cantSplit/>
        </w:trPr>
        <w:tc>
          <w:tcPr>
            <w:tcW w:type="dxa" w:w="260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Objectif</w:t>
            </w:r>
          </w:p>
        </w:tc>
        <w:tc>
          <w:tcPr>
            <w:tcW w:type="dxa" w:w="703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Enregistrer les pièces présentées au guichet et contrôler qu’elles couvrent les pièces requises.</w:t>
            </w:r>
          </w:p>
        </w:tc>
      </w:tr>
      <w:tr>
        <w:trPr>
          <w:cantSplit/>
        </w:trPr>
        <w:tc>
          <w:tcPr>
            <w:tcW w:type="dxa" w:w="260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Exigences couvertes</w:t>
            </w:r>
          </w:p>
        </w:tc>
        <w:tc>
          <w:tcPr>
            <w:tcW w:type="dxa" w:w="703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EF15 ; RG10, RG11 ; RM03, RM05</w:t>
            </w:r>
          </w:p>
        </w:tc>
      </w:tr>
      <w:tr>
        <w:trPr>
          <w:cantSplit/>
        </w:trPr>
        <w:tc>
          <w:tcPr>
            <w:tcW w:type="dxa" w:w="260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Endpoint exposé</w:t>
            </w:r>
          </w:p>
        </w:tc>
        <w:tc>
          <w:tcPr>
            <w:tcW w:type="dxa" w:w="703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GET /dossiers/{id}/pieces</w:t>
            </w:r>
          </w:p>
          <w:p>
            <w:pPr>
              <w:spacing w:after="30" w:before="30"/>
            </w:pPr>
            <w:r>
              <w:rPr>
                <w:rFonts w:ascii="Consolas" w:cs="Consolas" w:eastAsia="Consolas" w:hAnsi="Consolas"/>
                <w:color w:val="7A2E0E"/>
                <w:sz w:val="15"/>
                <w:szCs w:val="15"/>
              </w:rPr>
              <w:t xml:space="preserve">POST /dossiers/{id}/pieces</w:t>
            </w:r>
          </w:p>
          <w:p>
            <w:pPr>
              <w:spacing w:after="30" w:before="30"/>
            </w:pPr>
            <w:r>
              <w:rPr>
                <w:rFonts w:ascii="Consolas" w:cs="Consolas" w:eastAsia="Consolas" w:hAnsi="Consolas"/>
                <w:color w:val="7A2E0E"/>
                <w:sz w:val="15"/>
                <w:szCs w:val="15"/>
              </w:rPr>
              <w:t xml:space="preserve">PATCH /dossiers/{id}/pieces/{piece_id}</w:t>
            </w:r>
          </w:p>
          <w:p>
            <w:pPr>
              <w:spacing w:after="30" w:before="30"/>
            </w:pPr>
            <w:r>
              <w:rPr>
                <w:rFonts w:ascii="Consolas" w:cs="Consolas" w:eastAsia="Consolas" w:hAnsi="Consolas"/>
                <w:color w:val="7A2E0E"/>
                <w:sz w:val="15"/>
                <w:szCs w:val="15"/>
              </w:rPr>
              <w:t xml:space="preserve">POST /dossiers/{id}/verification-completude</w:t>
            </w:r>
          </w:p>
        </w:tc>
      </w:tr>
    </w:tbl>
    <w:p>
      <w:pPr>
        <w:spacing w:after="80"/>
      </w:pPr>
    </w:p>
    <w:p>
      <w:pPr>
        <w:pStyle w:val="Heading3"/>
        <w:keepNext/>
      </w:pPr>
      <w:r>
        <w:t xml:space="preserve">Préconditions</w:t>
      </w:r>
    </w:p>
    <w:p>
      <w:pPr>
        <w:pStyle w:val="ListParagraph"/>
        <w:numPr>
          <w:ilvl w:val="0"/>
          <w:numId w:val="2"/>
        </w:numPr>
        <w:spacing w:after="60" w:line="264"/>
      </w:pPr>
      <w:r>
        <w:t xml:space="preserve">Le dossier est au statut SOUMIS ou INCOMPLET (BROUILLON accepté pour la déclaration).</w:t>
      </w:r>
    </w:p>
    <w:p>
      <w:pPr>
        <w:pStyle w:val="Heading3"/>
        <w:keepNext/>
      </w:pPr>
      <w:r>
        <w:t xml:space="preserve">Scénario nominal</w:t>
      </w:r>
    </w:p>
    <w:p>
      <w:pPr>
        <w:pStyle w:val="ListParagraph"/>
        <w:numPr>
          <w:ilvl w:val="0"/>
          <w:numId w:val="9"/>
        </w:numPr>
        <w:spacing w:after="60" w:line="264"/>
      </w:pPr>
      <w:r>
        <w:t xml:space="preserve">L’agent déclare chaque pièce présentée : type (parmi les pièces de la démarche), date de réception, état (</w:t>
      </w:r>
      <w:r>
        <w:rPr>
          <w:rFonts w:ascii="Consolas" w:cs="Consolas" w:eastAsia="Consolas" w:hAnsi="Consolas"/>
          <w:color w:val="7A2E0E"/>
          <w:sz w:val="17"/>
          <w:szCs w:val="17"/>
        </w:rPr>
        <w:t xml:space="preserve">CONFORME</w:t>
      </w:r>
      <w:r>
        <w:t xml:space="preserve"> ou </w:t>
      </w:r>
      <w:r>
        <w:rPr>
          <w:rFonts w:ascii="Consolas" w:cs="Consolas" w:eastAsia="Consolas" w:hAnsi="Consolas"/>
          <w:color w:val="7A2E0E"/>
          <w:sz w:val="17"/>
          <w:szCs w:val="17"/>
        </w:rPr>
        <w:t xml:space="preserve">A_CORRIGER</w:t>
      </w:r>
      <w:r>
        <w:t xml:space="preserve">), observation.</w:t>
      </w:r>
    </w:p>
    <w:p>
      <w:pPr>
        <w:pStyle w:val="ListParagraph"/>
        <w:numPr>
          <w:ilvl w:val="0"/>
          <w:numId w:val="9"/>
        </w:numPr>
        <w:spacing w:after="60" w:line="264"/>
      </w:pPr>
      <w:r>
        <w:t xml:space="preserve">L’instructeur lance la vérification de complétude.</w:t>
      </w:r>
    </w:p>
    <w:p>
      <w:pPr>
        <w:pStyle w:val="ListParagraph"/>
        <w:numPr>
          <w:ilvl w:val="0"/>
          <w:numId w:val="9"/>
        </w:numPr>
        <w:spacing w:after="60" w:line="264"/>
      </w:pPr>
      <w:r>
        <w:t xml:space="preserve">Le système compare les pièces requises obligatoires et les pièces conformes.</w:t>
      </w:r>
    </w:p>
    <w:p>
      <w:pPr>
        <w:pStyle w:val="ListParagraph"/>
        <w:numPr>
          <w:ilvl w:val="0"/>
          <w:numId w:val="9"/>
        </w:numPr>
        <w:spacing w:after="60" w:line="264"/>
      </w:pPr>
      <w:r>
        <w:t xml:space="preserve">Si tout est présent, il renvoie </w:t>
      </w:r>
      <w:r>
        <w:rPr>
          <w:rFonts w:ascii="Consolas" w:cs="Consolas" w:eastAsia="Consolas" w:hAnsi="Consolas"/>
          <w:color w:val="7A2E0E"/>
          <w:sz w:val="17"/>
          <w:szCs w:val="17"/>
        </w:rPr>
        <w:t xml:space="preserve">complet: true</w:t>
      </w:r>
      <w:r>
        <w:t xml:space="preserve"> et propose la transition EN_INSTRUCTION (UC09).</w:t>
      </w:r>
    </w:p>
    <w:p>
      <w:pPr>
        <w:pStyle w:val="Heading3"/>
        <w:keepNext/>
      </w:pPr>
      <w:r>
        <w:t xml:space="preserve">Alternatives et exceptions</w:t>
      </w:r>
    </w:p>
    <w:p>
      <w:pPr>
        <w:pStyle w:val="ListParagraph"/>
        <w:numPr>
          <w:ilvl w:val="0"/>
          <w:numId w:val="2"/>
        </w:numPr>
        <w:spacing w:after="60" w:line="264"/>
      </w:pPr>
      <w:r>
        <w:t xml:space="preserve">Pièce manquante ou à corriger et dossier SOUMIS → le système passe le dossier en INCOMPLET avec un motif listant les pièces manquantes, et crée l’événement d’activité de relance (UC14).</w:t>
      </w:r>
    </w:p>
    <w:p>
      <w:pPr>
        <w:pStyle w:val="ListParagraph"/>
        <w:numPr>
          <w:ilvl w:val="0"/>
          <w:numId w:val="2"/>
        </w:numPr>
        <w:spacing w:after="60" w:line="264"/>
      </w:pPr>
      <w:r>
        <w:t xml:space="preserve">Type de pièce non prévu pour la démarche → 422 </w:t>
      </w:r>
      <w:r>
        <w:rPr>
          <w:rFonts w:ascii="Consolas" w:cs="Consolas" w:eastAsia="Consolas" w:hAnsi="Consolas"/>
          <w:color w:val="7A2E0E"/>
          <w:sz w:val="17"/>
          <w:szCs w:val="17"/>
        </w:rPr>
        <w:t xml:space="preserve">PIECE_TYPE_INCONNU</w:t>
      </w:r>
      <w:r>
        <w:t xml:space="preserve">.</w:t>
      </w:r>
    </w:p>
    <w:p>
      <w:pPr>
        <w:pStyle w:val="ListParagraph"/>
        <w:numPr>
          <w:ilvl w:val="0"/>
          <w:numId w:val="2"/>
        </w:numPr>
        <w:spacing w:after="60" w:line="264"/>
      </w:pPr>
      <w:r>
        <w:t xml:space="preserve">Statut ne permettant pas la modification → 409 </w:t>
      </w:r>
      <w:r>
        <w:rPr>
          <w:rFonts w:ascii="Consolas" w:cs="Consolas" w:eastAsia="Consolas" w:hAnsi="Consolas"/>
          <w:color w:val="7A2E0E"/>
          <w:sz w:val="17"/>
          <w:szCs w:val="17"/>
        </w:rPr>
        <w:t xml:space="preserve">ETAT_INCOMPATIBLE</w:t>
      </w:r>
      <w:r>
        <w:t xml:space="preserve">.</w:t>
      </w:r>
    </w:p>
    <w:p>
      <w:pPr>
        <w:pStyle w:val="Heading3"/>
        <w:keepNext/>
      </w:pPr>
      <w:r>
        <w:t xml:space="preserve">Postconditions</w:t>
      </w:r>
    </w:p>
    <w:p>
      <w:pPr>
        <w:pStyle w:val="ListParagraph"/>
        <w:numPr>
          <w:ilvl w:val="0"/>
          <w:numId w:val="2"/>
        </w:numPr>
        <w:spacing w:after="60" w:line="264"/>
      </w:pPr>
      <w:r>
        <w:t xml:space="preserve">État des pièces à jour, historique complété.</w:t>
      </w:r>
    </w:p>
    <w:p>
      <w:pPr>
        <w:pStyle w:val="ListParagraph"/>
        <w:numPr>
          <w:ilvl w:val="0"/>
          <w:numId w:val="2"/>
        </w:numPr>
        <w:spacing w:after="60" w:line="264"/>
      </w:pPr>
      <w:r>
        <w:t xml:space="preserve">Aucun fichier n’est transmis ni stocké (RG10).</w:t>
      </w:r>
    </w:p>
    <w:p>
      <w:pPr>
        <w:pStyle w:val="Heading3"/>
        <w:keepNext/>
      </w:pPr>
      <w:r>
        <w:t xml:space="preserve">Exigences complémentaires</w:t>
      </w:r>
    </w:p>
    <w:p>
      <w:pPr>
        <w:pStyle w:val="ListParagraph"/>
        <w:numPr>
          <w:ilvl w:val="0"/>
          <w:numId w:val="2"/>
        </w:numPr>
        <w:spacing w:after="60" w:line="264"/>
      </w:pPr>
      <w:r>
        <w:t xml:space="preserve">Une pièce n’est jamais supprimée : une pièce erronée passe à l’état </w:t>
      </w:r>
      <w:r>
        <w:rPr>
          <w:rFonts w:ascii="Consolas" w:cs="Consolas" w:eastAsia="Consolas" w:hAnsi="Consolas"/>
          <w:color w:val="7A2E0E"/>
          <w:sz w:val="17"/>
          <w:szCs w:val="17"/>
        </w:rPr>
        <w:t xml:space="preserve">A_CORRIGER</w:t>
      </w:r>
      <w:r>
        <w:t xml:space="preserve"> ou </w:t>
      </w:r>
      <w:r>
        <w:rPr>
          <w:rFonts w:ascii="Consolas" w:cs="Consolas" w:eastAsia="Consolas" w:hAnsi="Consolas"/>
          <w:color w:val="7A2E0E"/>
          <w:sz w:val="17"/>
          <w:szCs w:val="17"/>
        </w:rPr>
        <w:t xml:space="preserve">RETIREE</w:t>
      </w:r>
      <w:r>
        <w:t xml:space="preserve"> (traçabilité).</w:t>
      </w:r>
    </w:p>
    <w:p>
      <w:pPr>
        <w:pStyle w:val="Heading2"/>
        <w:keepNext/>
      </w:pPr>
      <w:r>
        <w:t xml:space="preserve">UC09 — Changer le statut (soumettre, instruire, délivrer)</w:t>
      </w:r>
    </w:p>
    <w:p>
      <w:pPr>
        <w:keepNext/>
        <w:spacing w:after="40" w:before="60"/>
        <w:jc w:val="center"/>
      </w:pPr>
      <w:r>
        <w:drawing>
          <wp:inline distT="0" distB="0" distL="0" distR="0">
            <wp:extent cx="6096000" cy="4448175"/>
            <wp:effectExtent t="0" r="0" b="0" l="0"/>
            <wp:docPr id="1" name="uc09" descr="Figure 4 — UC09 Changer le statut (avec UC14)" title="Figure 4 — UC09 Changer le statut (avec UC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4448175"/>
                    </a:xfrm>
                    <a:prstGeom prst="rect">
                      <a:avLst/>
                    </a:prstGeom>
                  </pic:spPr>
                </pic:pic>
              </a:graphicData>
            </a:graphic>
          </wp:inline>
        </w:drawing>
      </w:r>
    </w:p>
    <w:p>
      <w:pPr>
        <w:spacing w:after="160"/>
        <w:jc w:val="center"/>
      </w:pPr>
      <w:r>
        <w:rPr>
          <w:i/>
          <w:iCs/>
          <w:color w:val="555555"/>
          <w:sz w:val="17"/>
          <w:szCs w:val="17"/>
        </w:rPr>
        <w:t xml:space="preserve">Figure 4 — UC09 Changer le statut (avec UC14)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2"/>
        <w:gridCol w:w="7036"/>
      </w:tblGrid>
      <w:tr>
        <w:trPr>
          <w:tblHeader/>
        </w:trPr>
        <w:tc>
          <w:tcPr>
            <w:tcW w:type="dxa" w:w="2602"/>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Élément</w:t>
            </w:r>
          </w:p>
        </w:tc>
        <w:tc>
          <w:tcPr>
            <w:tcW w:type="dxa" w:w="7036"/>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Description</w:t>
            </w:r>
          </w:p>
        </w:tc>
      </w:tr>
      <w:tr>
        <w:trPr>
          <w:cantSplit/>
        </w:trPr>
        <w:tc>
          <w:tcPr>
            <w:tcW w:type="dxa" w:w="260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Acteur principal</w:t>
            </w:r>
          </w:p>
        </w:tc>
        <w:tc>
          <w:tcPr>
            <w:tcW w:type="dxa" w:w="703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Agent d’accueil, instructeur</w:t>
            </w:r>
          </w:p>
        </w:tc>
      </w:tr>
      <w:tr>
        <w:trPr>
          <w:cantSplit/>
        </w:trPr>
        <w:tc>
          <w:tcPr>
            <w:tcW w:type="dxa" w:w="260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Objectif</w:t>
            </w:r>
          </w:p>
        </w:tc>
        <w:tc>
          <w:tcPr>
            <w:tcW w:type="dxa" w:w="703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Faire avancer le dossier dans son cycle de vie.</w:t>
            </w:r>
          </w:p>
        </w:tc>
      </w:tr>
      <w:tr>
        <w:trPr>
          <w:cantSplit/>
        </w:trPr>
        <w:tc>
          <w:tcPr>
            <w:tcW w:type="dxa" w:w="260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Exigences couvertes</w:t>
            </w:r>
          </w:p>
        </w:tc>
        <w:tc>
          <w:tcPr>
            <w:tcW w:type="dxa" w:w="703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EF08, EF15 ; RG11 ; RM03, RM04, RM05</w:t>
            </w:r>
          </w:p>
        </w:tc>
      </w:tr>
      <w:tr>
        <w:trPr>
          <w:cantSplit/>
        </w:trPr>
        <w:tc>
          <w:tcPr>
            <w:tcW w:type="dxa" w:w="260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Endpoint exposé</w:t>
            </w:r>
          </w:p>
        </w:tc>
        <w:tc>
          <w:tcPr>
            <w:tcW w:type="dxa" w:w="703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POST /dossiers/{id}/transitions</w:t>
            </w:r>
            <w:r>
              <w:rPr>
                <w:sz w:val="18"/>
                <w:szCs w:val="18"/>
              </w:rPr>
              <w:t xml:space="preserve"> — corps : </w:t>
            </w:r>
            <w:r>
              <w:rPr>
                <w:rFonts w:ascii="Consolas" w:cs="Consolas" w:eastAsia="Consolas" w:hAnsi="Consolas"/>
                <w:color w:val="7A2E0E"/>
                <w:sz w:val="15"/>
                <w:szCs w:val="15"/>
              </w:rPr>
              <w:t xml:space="preserve">{statut_cible, motif?, commentaire?}</w:t>
            </w:r>
          </w:p>
        </w:tc>
      </w:tr>
    </w:tbl>
    <w:p>
      <w:pPr>
        <w:spacing w:after="80"/>
      </w:pPr>
    </w:p>
    <w:p>
      <w:pPr>
        <w:pStyle w:val="Heading3"/>
        <w:keepNext/>
      </w:pPr>
      <w:r>
        <w:t xml:space="preserve">Préconditions</w:t>
      </w:r>
    </w:p>
    <w:p>
      <w:pPr>
        <w:pStyle w:val="ListParagraph"/>
        <w:numPr>
          <w:ilvl w:val="0"/>
          <w:numId w:val="2"/>
        </w:numPr>
        <w:spacing w:after="60" w:line="264"/>
      </w:pPr>
      <w:r>
        <w:t xml:space="preserve">Le dossier existe et l’agent y a accès.</w:t>
      </w:r>
    </w:p>
    <w:p>
      <w:pPr>
        <w:pStyle w:val="Heading3"/>
        <w:keepNext/>
      </w:pPr>
      <w:r>
        <w:t xml:space="preserve">Scénario nominal</w:t>
      </w:r>
    </w:p>
    <w:p>
      <w:pPr>
        <w:pStyle w:val="ListParagraph"/>
        <w:numPr>
          <w:ilvl w:val="0"/>
          <w:numId w:val="10"/>
        </w:numPr>
        <w:spacing w:after="60" w:line="264"/>
      </w:pPr>
      <w:r>
        <w:t xml:space="preserve">L’agent demande une transition vers un statut cible.</w:t>
      </w:r>
    </w:p>
    <w:p>
      <w:pPr>
        <w:pStyle w:val="ListParagraph"/>
        <w:numPr>
          <w:ilvl w:val="0"/>
          <w:numId w:val="10"/>
        </w:numPr>
        <w:spacing w:after="60" w:line="264"/>
      </w:pPr>
      <w:r>
        <w:t xml:space="preserve">Le système vérifie le rôle, le statut courant et la condition de la transition (§4.2).</w:t>
      </w:r>
    </w:p>
    <w:p>
      <w:pPr>
        <w:pStyle w:val="ListParagraph"/>
        <w:numPr>
          <w:ilvl w:val="0"/>
          <w:numId w:val="10"/>
        </w:numPr>
        <w:spacing w:after="60" w:line="264"/>
      </w:pPr>
      <w:r>
        <w:t xml:space="preserve">Il enregistre le nouveau statut et l’entrée d’historique, et crée les événements de synchronisation (§4.3), dans une même transaction.</w:t>
      </w:r>
    </w:p>
    <w:p>
      <w:pPr>
        <w:pStyle w:val="ListParagraph"/>
        <w:numPr>
          <w:ilvl w:val="0"/>
          <w:numId w:val="10"/>
        </w:numPr>
        <w:spacing w:after="60" w:line="264"/>
      </w:pPr>
      <w:r>
        <w:t xml:space="preserve">Il renvoie le dossier à jour avec l’état de synchronisation.</w:t>
      </w:r>
    </w:p>
    <w:p>
      <w:pPr>
        <w:pStyle w:val="ListParagraph"/>
        <w:numPr>
          <w:ilvl w:val="0"/>
          <w:numId w:val="10"/>
        </w:numPr>
        <w:spacing w:after="60" w:line="264"/>
      </w:pPr>
      <w:r>
        <w:t xml:space="preserve">Le worker crée ou met à jour le deal et crée l’activité de suivi (UC14).</w:t>
      </w:r>
    </w:p>
    <w:p>
      <w:pPr>
        <w:pStyle w:val="Heading3"/>
        <w:keepNext/>
      </w:pPr>
      <w:r>
        <w:t xml:space="preserve">Alternatives et exceptions</w:t>
      </w:r>
    </w:p>
    <w:p>
      <w:pPr>
        <w:pStyle w:val="ListParagraph"/>
        <w:numPr>
          <w:ilvl w:val="0"/>
          <w:numId w:val="2"/>
        </w:numPr>
        <w:spacing w:after="60" w:line="264"/>
      </w:pPr>
      <w:r>
        <w:t xml:space="preserve">Transition non prévue → 409 </w:t>
      </w:r>
      <w:r>
        <w:rPr>
          <w:rFonts w:ascii="Consolas" w:cs="Consolas" w:eastAsia="Consolas" w:hAnsi="Consolas"/>
          <w:color w:val="7A2E0E"/>
          <w:sz w:val="17"/>
          <w:szCs w:val="17"/>
        </w:rPr>
        <w:t xml:space="preserve">TRANSITION_INTERDITE</w:t>
      </w:r>
      <w:r>
        <w:t xml:space="preserve"> avec le statut courant.</w:t>
      </w:r>
    </w:p>
    <w:p>
      <w:pPr>
        <w:pStyle w:val="ListParagraph"/>
        <w:numPr>
          <w:ilvl w:val="0"/>
          <w:numId w:val="2"/>
        </w:numPr>
        <w:spacing w:after="60" w:line="264"/>
      </w:pPr>
      <w:r>
        <w:t xml:space="preserve">Condition non remplie : pièces incomplètes → 422 </w:t>
      </w:r>
      <w:r>
        <w:rPr>
          <w:rFonts w:ascii="Consolas" w:cs="Consolas" w:eastAsia="Consolas" w:hAnsi="Consolas"/>
          <w:color w:val="7A2E0E"/>
          <w:sz w:val="17"/>
          <w:szCs w:val="17"/>
        </w:rPr>
        <w:t xml:space="preserve">PIECES_INCOMPLETES</w:t>
      </w:r>
      <w:r>
        <w:t xml:space="preserve"> ; motif absent → 422 </w:t>
      </w:r>
      <w:r>
        <w:rPr>
          <w:rFonts w:ascii="Consolas" w:cs="Consolas" w:eastAsia="Consolas" w:hAnsi="Consolas"/>
          <w:color w:val="7A2E0E"/>
          <w:sz w:val="17"/>
          <w:szCs w:val="17"/>
        </w:rPr>
        <w:t xml:space="preserve">MOTIF_OBLIGATOIRE</w:t>
      </w:r>
      <w:r>
        <w:t xml:space="preserve">.</w:t>
      </w:r>
    </w:p>
    <w:p>
      <w:pPr>
        <w:pStyle w:val="ListParagraph"/>
        <w:numPr>
          <w:ilvl w:val="0"/>
          <w:numId w:val="2"/>
        </w:numPr>
        <w:spacing w:after="60" w:line="264"/>
      </w:pPr>
      <w:r>
        <w:t xml:space="preserve">Statut cible APPROUVE ou REJETE → 422 </w:t>
      </w:r>
      <w:r>
        <w:rPr>
          <w:rFonts w:ascii="Consolas" w:cs="Consolas" w:eastAsia="Consolas" w:hAnsi="Consolas"/>
          <w:color w:val="7A2E0E"/>
          <w:sz w:val="17"/>
          <w:szCs w:val="17"/>
        </w:rPr>
        <w:t xml:space="preserve">REGLE_METIER_VIOLEE</w:t>
      </w:r>
      <w:r>
        <w:t xml:space="preserve"> : utiliser UC10. Statut cible ANNULE → utiliser UC12.</w:t>
      </w:r>
    </w:p>
    <w:p>
      <w:pPr>
        <w:pStyle w:val="ListParagraph"/>
        <w:numPr>
          <w:ilvl w:val="0"/>
          <w:numId w:val="2"/>
        </w:numPr>
        <w:spacing w:after="60" w:line="264"/>
      </w:pPr>
      <w:r>
        <w:t xml:space="preserve">Pipedrive en échec → le statut interne reste valide ; l’activité est mise en attente de relance.</w:t>
      </w:r>
    </w:p>
    <w:p>
      <w:pPr>
        <w:pStyle w:val="Heading3"/>
        <w:keepNext/>
      </w:pPr>
      <w:r>
        <w:t xml:space="preserve">Postconditions</w:t>
      </w:r>
    </w:p>
    <w:p>
      <w:pPr>
        <w:pStyle w:val="ListParagraph"/>
        <w:numPr>
          <w:ilvl w:val="0"/>
          <w:numId w:val="2"/>
        </w:numPr>
        <w:spacing w:after="60" w:line="264"/>
      </w:pPr>
      <w:r>
        <w:t xml:space="preserve">Statut et historique cohérents.</w:t>
      </w:r>
    </w:p>
    <w:p>
      <w:pPr>
        <w:pStyle w:val="ListParagraph"/>
        <w:numPr>
          <w:ilvl w:val="0"/>
          <w:numId w:val="2"/>
        </w:numPr>
        <w:spacing w:after="60" w:line="264"/>
      </w:pPr>
      <w:r>
        <w:t xml:space="preserve">Écart éventuel avec Pipedrive visible dans l’état de synchronisation.</w:t>
      </w:r>
    </w:p>
    <w:p>
      <w:pPr>
        <w:pStyle w:val="Heading2"/>
        <w:keepNext/>
      </w:pPr>
      <w:r>
        <w:t xml:space="preserve">UC10 — Décider (approuver ou rejeter)</w:t>
      </w:r>
    </w:p>
    <w:p>
      <w:pPr>
        <w:keepNext/>
        <w:spacing w:after="40" w:before="60"/>
        <w:jc w:val="center"/>
      </w:pPr>
      <w:r>
        <w:drawing>
          <wp:inline distT="0" distB="0" distL="0" distR="0">
            <wp:extent cx="6096000" cy="3752850"/>
            <wp:effectExtent t="0" r="0" b="0" l="0"/>
            <wp:docPr id="1" name="uc10" descr="Figure 5 — UC10 Décider" title="Figure 5 — UC10 Déc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3752850"/>
                    </a:xfrm>
                    <a:prstGeom prst="rect">
                      <a:avLst/>
                    </a:prstGeom>
                  </pic:spPr>
                </pic:pic>
              </a:graphicData>
            </a:graphic>
          </wp:inline>
        </w:drawing>
      </w:r>
    </w:p>
    <w:p>
      <w:pPr>
        <w:spacing w:after="160"/>
        <w:jc w:val="center"/>
      </w:pPr>
      <w:r>
        <w:rPr>
          <w:i/>
          <w:iCs/>
          <w:color w:val="555555"/>
          <w:sz w:val="17"/>
          <w:szCs w:val="17"/>
        </w:rPr>
        <w:t xml:space="preserve">Figure 5 — UC10 Décider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2"/>
        <w:gridCol w:w="7036"/>
      </w:tblGrid>
      <w:tr>
        <w:trPr>
          <w:tblHeader/>
        </w:trPr>
        <w:tc>
          <w:tcPr>
            <w:tcW w:type="dxa" w:w="2602"/>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Élément</w:t>
            </w:r>
          </w:p>
        </w:tc>
        <w:tc>
          <w:tcPr>
            <w:tcW w:type="dxa" w:w="7036"/>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Description</w:t>
            </w:r>
          </w:p>
        </w:tc>
      </w:tr>
      <w:tr>
        <w:trPr>
          <w:cantSplit/>
        </w:trPr>
        <w:tc>
          <w:tcPr>
            <w:tcW w:type="dxa" w:w="260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Acteur principal</w:t>
            </w:r>
          </w:p>
        </w:tc>
        <w:tc>
          <w:tcPr>
            <w:tcW w:type="dxa" w:w="703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Officier d’état civil / responsable</w:t>
            </w:r>
          </w:p>
        </w:tc>
      </w:tr>
      <w:tr>
        <w:trPr>
          <w:cantSplit/>
        </w:trPr>
        <w:tc>
          <w:tcPr>
            <w:tcW w:type="dxa" w:w="260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Objectif</w:t>
            </w:r>
          </w:p>
        </w:tc>
        <w:tc>
          <w:tcPr>
            <w:tcW w:type="dxa" w:w="703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Enregistrer l’issue de l’instruction.</w:t>
            </w:r>
          </w:p>
        </w:tc>
      </w:tr>
      <w:tr>
        <w:trPr>
          <w:cantSplit/>
        </w:trPr>
        <w:tc>
          <w:tcPr>
            <w:tcW w:type="dxa" w:w="260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Exigences couvertes</w:t>
            </w:r>
          </w:p>
        </w:tc>
        <w:tc>
          <w:tcPr>
            <w:tcW w:type="dxa" w:w="703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EF15 ; RG11 ; RM05, RM09</w:t>
            </w:r>
          </w:p>
        </w:tc>
      </w:tr>
      <w:tr>
        <w:trPr>
          <w:cantSplit/>
        </w:trPr>
        <w:tc>
          <w:tcPr>
            <w:tcW w:type="dxa" w:w="260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Endpoint exposé</w:t>
            </w:r>
          </w:p>
        </w:tc>
        <w:tc>
          <w:tcPr>
            <w:tcW w:type="dxa" w:w="703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POST /dossiers/{id}/decision</w:t>
            </w:r>
            <w:r>
              <w:rPr>
                <w:sz w:val="18"/>
                <w:szCs w:val="18"/>
              </w:rPr>
              <w:t xml:space="preserve"> — corps : </w:t>
            </w:r>
            <w:r>
              <w:rPr>
                <w:rFonts w:ascii="Consolas" w:cs="Consolas" w:eastAsia="Consolas" w:hAnsi="Consolas"/>
                <w:color w:val="7A2E0E"/>
                <w:sz w:val="15"/>
                <w:szCs w:val="15"/>
              </w:rPr>
              <w:t xml:space="preserve">{issue: "APPROUVE" | "REJETE", motif}</w:t>
            </w:r>
          </w:p>
        </w:tc>
      </w:tr>
    </w:tbl>
    <w:p>
      <w:pPr>
        <w:spacing w:after="80"/>
      </w:pPr>
    </w:p>
    <w:p>
      <w:pPr>
        <w:pStyle w:val="Heading3"/>
        <w:keepNext/>
      </w:pPr>
      <w:r>
        <w:t xml:space="preserve">Préconditions</w:t>
      </w:r>
    </w:p>
    <w:p>
      <w:pPr>
        <w:pStyle w:val="ListParagraph"/>
        <w:numPr>
          <w:ilvl w:val="0"/>
          <w:numId w:val="2"/>
        </w:numPr>
        <w:spacing w:after="60" w:line="264"/>
      </w:pPr>
      <w:r>
        <w:t xml:space="preserve">Le dossier est EN_ATTENTE_DECISION et ses pièces sont complètes.</w:t>
      </w:r>
    </w:p>
    <w:p>
      <w:pPr>
        <w:pStyle w:val="Heading3"/>
        <w:keepNext/>
      </w:pPr>
      <w:r>
        <w:t xml:space="preserve">Scénario nominal</w:t>
      </w:r>
    </w:p>
    <w:p>
      <w:pPr>
        <w:pStyle w:val="ListParagraph"/>
        <w:numPr>
          <w:ilvl w:val="0"/>
          <w:numId w:val="11"/>
        </w:numPr>
        <w:spacing w:after="60" w:line="264"/>
      </w:pPr>
      <w:r>
        <w:t xml:space="preserve">Le responsable consulte le dossier (UC04).</w:t>
      </w:r>
    </w:p>
    <w:p>
      <w:pPr>
        <w:pStyle w:val="ListParagraph"/>
        <w:numPr>
          <w:ilvl w:val="0"/>
          <w:numId w:val="11"/>
        </w:numPr>
        <w:spacing w:after="60" w:line="264"/>
      </w:pPr>
      <w:r>
        <w:t xml:space="preserve">Il approuve ou rejette.</w:t>
      </w:r>
    </w:p>
    <w:p>
      <w:pPr>
        <w:pStyle w:val="ListParagraph"/>
        <w:numPr>
          <w:ilvl w:val="0"/>
          <w:numId w:val="11"/>
        </w:numPr>
        <w:spacing w:after="60" w:line="264"/>
      </w:pPr>
      <w:r>
        <w:t xml:space="preserve">Le système enregistre la décision (issue, motif, auteur, date), le nouveau statut, l’historique et les événements de synchronisation.</w:t>
      </w:r>
    </w:p>
    <w:p>
      <w:pPr>
        <w:pStyle w:val="ListParagraph"/>
        <w:numPr>
          <w:ilvl w:val="0"/>
          <w:numId w:val="11"/>
        </w:numPr>
        <w:spacing w:after="60" w:line="264"/>
      </w:pPr>
      <w:r>
        <w:t xml:space="preserve">Le worker met à jour le deal et crée l’activité correspondante (UC14).</w:t>
      </w:r>
    </w:p>
    <w:p>
      <w:pPr>
        <w:pStyle w:val="Heading3"/>
        <w:keepNext/>
      </w:pPr>
      <w:r>
        <w:t xml:space="preserve">Alternatives et exceptions</w:t>
      </w:r>
    </w:p>
    <w:p>
      <w:pPr>
        <w:pStyle w:val="ListParagraph"/>
        <w:numPr>
          <w:ilvl w:val="0"/>
          <w:numId w:val="2"/>
        </w:numPr>
        <w:spacing w:after="60" w:line="264"/>
      </w:pPr>
      <w:r>
        <w:t xml:space="preserve">Rejet sans motif → 422 </w:t>
      </w:r>
      <w:r>
        <w:rPr>
          <w:rFonts w:ascii="Consolas" w:cs="Consolas" w:eastAsia="Consolas" w:hAnsi="Consolas"/>
          <w:color w:val="7A2E0E"/>
          <w:sz w:val="17"/>
          <w:szCs w:val="17"/>
        </w:rPr>
        <w:t xml:space="preserve">MOTIF_OBLIGATOIRE</w:t>
      </w:r>
      <w:r>
        <w:t xml:space="preserve">.</w:t>
      </w:r>
    </w:p>
    <w:p>
      <w:pPr>
        <w:pStyle w:val="ListParagraph"/>
        <w:numPr>
          <w:ilvl w:val="0"/>
          <w:numId w:val="2"/>
        </w:numPr>
        <w:spacing w:after="60" w:line="264"/>
      </w:pPr>
      <w:r>
        <w:t xml:space="preserve">Rôle insuffisant, ou responsable ayant instruit le dossier (RM09) → 403 </w:t>
      </w:r>
      <w:r>
        <w:rPr>
          <w:rFonts w:ascii="Consolas" w:cs="Consolas" w:eastAsia="Consolas" w:hAnsi="Consolas"/>
          <w:color w:val="7A2E0E"/>
          <w:sz w:val="17"/>
          <w:szCs w:val="17"/>
        </w:rPr>
        <w:t xml:space="preserve">ACCES_REFUSE</w:t>
      </w:r>
      <w:r>
        <w:t xml:space="preserve">.</w:t>
      </w:r>
    </w:p>
    <w:p>
      <w:pPr>
        <w:pStyle w:val="ListParagraph"/>
        <w:numPr>
          <w:ilvl w:val="0"/>
          <w:numId w:val="2"/>
        </w:numPr>
        <w:spacing w:after="60" w:line="264"/>
      </w:pPr>
      <w:r>
        <w:t xml:space="preserve">Statut différent de EN_ATTENTE_DECISION → 409 </w:t>
      </w:r>
      <w:r>
        <w:rPr>
          <w:rFonts w:ascii="Consolas" w:cs="Consolas" w:eastAsia="Consolas" w:hAnsi="Consolas"/>
          <w:color w:val="7A2E0E"/>
          <w:sz w:val="17"/>
          <w:szCs w:val="17"/>
        </w:rPr>
        <w:t xml:space="preserve">ETAT_INCOMPATIBLE</w:t>
      </w:r>
      <w:r>
        <w:t xml:space="preserve">.</w:t>
      </w:r>
    </w:p>
    <w:p>
      <w:pPr>
        <w:pStyle w:val="ListParagraph"/>
        <w:numPr>
          <w:ilvl w:val="0"/>
          <w:numId w:val="2"/>
        </w:numPr>
        <w:spacing w:after="60" w:line="264"/>
      </w:pPr>
      <w:r>
        <w:t xml:space="preserve">Décision déjà enregistrée → 409 </w:t>
      </w:r>
      <w:r>
        <w:rPr>
          <w:rFonts w:ascii="Consolas" w:cs="Consolas" w:eastAsia="Consolas" w:hAnsi="Consolas"/>
          <w:color w:val="7A2E0E"/>
          <w:sz w:val="17"/>
          <w:szCs w:val="17"/>
        </w:rPr>
        <w:t xml:space="preserve">DECISION_EXISTANTE</w:t>
      </w:r>
      <w:r>
        <w:t xml:space="preserve">.</w:t>
      </w:r>
    </w:p>
    <w:p>
      <w:pPr>
        <w:pStyle w:val="Heading3"/>
        <w:keepNext/>
      </w:pPr>
      <w:r>
        <w:t xml:space="preserve">Postconditions</w:t>
      </w:r>
    </w:p>
    <w:p>
      <w:pPr>
        <w:pStyle w:val="ListParagraph"/>
        <w:numPr>
          <w:ilvl w:val="0"/>
          <w:numId w:val="2"/>
        </w:numPr>
        <w:spacing w:after="60" w:line="264"/>
      </w:pPr>
      <w:r>
        <w:t xml:space="preserve">La décision est figée : une seule décision par dossier. Toute correction passe par un nouveau dossier.</w:t>
      </w:r>
    </w:p>
    <w:p>
      <w:pPr>
        <w:pStyle w:val="Heading3"/>
        <w:keepNext/>
      </w:pPr>
      <w:r>
        <w:t xml:space="preserve">Exigences complémentaires</w:t>
      </w:r>
    </w:p>
    <w:p>
      <w:pPr>
        <w:pStyle w:val="ListParagraph"/>
        <w:numPr>
          <w:ilvl w:val="0"/>
          <w:numId w:val="2"/>
        </w:numPr>
        <w:spacing w:after="60" w:line="264"/>
      </w:pPr>
      <w:r>
        <w:t xml:space="preserve">La notion de « décision complémentaire » évoquée par l’AF n’est pas retenue en V1 (cardinalité 0..1), voir point ouvert P11.</w:t>
      </w:r>
    </w:p>
    <w:p>
      <w:pPr>
        <w:pStyle w:val="Heading2"/>
        <w:keepNext/>
      </w:pPr>
      <w:r>
        <w:t xml:space="preserve">UC11 — Consulter l’historique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2"/>
        <w:gridCol w:w="7036"/>
      </w:tblGrid>
      <w:tr>
        <w:trPr>
          <w:tblHeader/>
        </w:trPr>
        <w:tc>
          <w:tcPr>
            <w:tcW w:type="dxa" w:w="2602"/>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Élément</w:t>
            </w:r>
          </w:p>
        </w:tc>
        <w:tc>
          <w:tcPr>
            <w:tcW w:type="dxa" w:w="7036"/>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Description</w:t>
            </w:r>
          </w:p>
        </w:tc>
      </w:tr>
      <w:tr>
        <w:trPr>
          <w:cantSplit/>
        </w:trPr>
        <w:tc>
          <w:tcPr>
            <w:tcW w:type="dxa" w:w="260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Acteur principal</w:t>
            </w:r>
          </w:p>
        </w:tc>
        <w:tc>
          <w:tcPr>
            <w:tcW w:type="dxa" w:w="703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Tout agent habilité</w:t>
            </w:r>
          </w:p>
        </w:tc>
      </w:tr>
      <w:tr>
        <w:trPr>
          <w:cantSplit/>
        </w:trPr>
        <w:tc>
          <w:tcPr>
            <w:tcW w:type="dxa" w:w="260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Objectif</w:t>
            </w:r>
          </w:p>
        </w:tc>
        <w:tc>
          <w:tcPr>
            <w:tcW w:type="dxa" w:w="703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Afficher la chronologie complète du dossier.</w:t>
            </w:r>
          </w:p>
        </w:tc>
      </w:tr>
      <w:tr>
        <w:trPr>
          <w:cantSplit/>
        </w:trPr>
        <w:tc>
          <w:tcPr>
            <w:tcW w:type="dxa" w:w="260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Exigences couvertes</w:t>
            </w:r>
          </w:p>
        </w:tc>
        <w:tc>
          <w:tcPr>
            <w:tcW w:type="dxa" w:w="703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EF15, EF16 ; RM07</w:t>
            </w:r>
          </w:p>
        </w:tc>
      </w:tr>
      <w:tr>
        <w:trPr>
          <w:cantSplit/>
        </w:trPr>
        <w:tc>
          <w:tcPr>
            <w:tcW w:type="dxa" w:w="260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Endpoint exposé</w:t>
            </w:r>
          </w:p>
        </w:tc>
        <w:tc>
          <w:tcPr>
            <w:tcW w:type="dxa" w:w="703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GET /dossiers/{id}/historique</w:t>
            </w:r>
          </w:p>
        </w:tc>
      </w:tr>
    </w:tbl>
    <w:p>
      <w:pPr>
        <w:spacing w:after="80"/>
      </w:pPr>
    </w:p>
    <w:p>
      <w:pPr>
        <w:pStyle w:val="Heading3"/>
        <w:keepNext/>
      </w:pPr>
      <w:r>
        <w:t xml:space="preserve">Préconditions</w:t>
      </w:r>
    </w:p>
    <w:p>
      <w:pPr>
        <w:pStyle w:val="ListParagraph"/>
        <w:numPr>
          <w:ilvl w:val="0"/>
          <w:numId w:val="2"/>
        </w:numPr>
        <w:spacing w:after="60" w:line="264"/>
      </w:pPr>
      <w:r>
        <w:t xml:space="preserve">L’agent a accès au dossier.</w:t>
      </w:r>
    </w:p>
    <w:p>
      <w:pPr>
        <w:pStyle w:val="Heading3"/>
        <w:keepNext/>
      </w:pPr>
      <w:r>
        <w:t xml:space="preserve">Scénario nominal</w:t>
      </w:r>
    </w:p>
    <w:p>
      <w:pPr>
        <w:pStyle w:val="ListParagraph"/>
        <w:numPr>
          <w:ilvl w:val="0"/>
          <w:numId w:val="12"/>
        </w:numPr>
        <w:spacing w:after="60" w:line="264"/>
      </w:pPr>
      <w:r>
        <w:t xml:space="preserve">Le système renvoie les événements par ordre chronologique : date, auteur, ancien statut, nouveau statut, type d’événement, commentaire ou motif.</w:t>
      </w:r>
    </w:p>
    <w:p>
      <w:pPr>
        <w:pStyle w:val="Heading3"/>
        <w:keepNext/>
      </w:pPr>
      <w:r>
        <w:t xml:space="preserve">Alternatives et exceptions</w:t>
      </w:r>
    </w:p>
    <w:p>
      <w:pPr>
        <w:pStyle w:val="ListParagraph"/>
        <w:numPr>
          <w:ilvl w:val="0"/>
          <w:numId w:val="2"/>
        </w:numPr>
        <w:spacing w:after="60" w:line="264"/>
      </w:pPr>
      <w:r>
        <w:t xml:space="preserve">Dossier inaccessible → 404.</w:t>
      </w:r>
    </w:p>
    <w:p>
      <w:pPr>
        <w:pStyle w:val="Heading3"/>
        <w:keepNext/>
      </w:pPr>
      <w:r>
        <w:t xml:space="preserve">Postconditions</w:t>
      </w:r>
    </w:p>
    <w:p>
      <w:pPr>
        <w:pStyle w:val="ListParagraph"/>
        <w:numPr>
          <w:ilvl w:val="0"/>
          <w:numId w:val="2"/>
        </w:numPr>
        <w:spacing w:after="60" w:line="264"/>
      </w:pPr>
      <w:r>
        <w:t xml:space="preserve">Aucune modification ; l’historique n’expose aucune opération de modification ou de suppression (RM07).</w:t>
      </w:r>
    </w:p>
    <w:p>
      <w:pPr>
        <w:pStyle w:val="Heading2"/>
        <w:keepNext/>
      </w:pPr>
      <w:r>
        <w:t xml:space="preserve">UC12 — Annuler un dossier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2"/>
        <w:gridCol w:w="7036"/>
      </w:tblGrid>
      <w:tr>
        <w:trPr>
          <w:tblHeader/>
        </w:trPr>
        <w:tc>
          <w:tcPr>
            <w:tcW w:type="dxa" w:w="2602"/>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Élément</w:t>
            </w:r>
          </w:p>
        </w:tc>
        <w:tc>
          <w:tcPr>
            <w:tcW w:type="dxa" w:w="7036"/>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Description</w:t>
            </w:r>
          </w:p>
        </w:tc>
      </w:tr>
      <w:tr>
        <w:trPr>
          <w:cantSplit/>
        </w:trPr>
        <w:tc>
          <w:tcPr>
            <w:tcW w:type="dxa" w:w="260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Acteur principal</w:t>
            </w:r>
          </w:p>
        </w:tc>
        <w:tc>
          <w:tcPr>
            <w:tcW w:type="dxa" w:w="703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Agent d’accueil, responsable</w:t>
            </w:r>
          </w:p>
        </w:tc>
      </w:tr>
      <w:tr>
        <w:trPr>
          <w:cantSplit/>
        </w:trPr>
        <w:tc>
          <w:tcPr>
            <w:tcW w:type="dxa" w:w="260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Objectif</w:t>
            </w:r>
          </w:p>
        </w:tc>
        <w:tc>
          <w:tcPr>
            <w:tcW w:type="dxa" w:w="703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Abandonner un dossier non terminé.</w:t>
            </w:r>
          </w:p>
        </w:tc>
      </w:tr>
      <w:tr>
        <w:trPr>
          <w:cantSplit/>
        </w:trPr>
        <w:tc>
          <w:tcPr>
            <w:tcW w:type="dxa" w:w="260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Exigences couvertes</w:t>
            </w:r>
          </w:p>
        </w:tc>
        <w:tc>
          <w:tcPr>
            <w:tcW w:type="dxa" w:w="703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EF15 ; RM04, RM05</w:t>
            </w:r>
          </w:p>
        </w:tc>
      </w:tr>
      <w:tr>
        <w:trPr>
          <w:cantSplit/>
        </w:trPr>
        <w:tc>
          <w:tcPr>
            <w:tcW w:type="dxa" w:w="260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Endpoint exposé</w:t>
            </w:r>
          </w:p>
        </w:tc>
        <w:tc>
          <w:tcPr>
            <w:tcW w:type="dxa" w:w="703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POST /dossiers/{id}/annulation</w:t>
            </w:r>
            <w:r>
              <w:rPr>
                <w:sz w:val="18"/>
                <w:szCs w:val="18"/>
              </w:rPr>
              <w:t xml:space="preserve"> — corps : </w:t>
            </w:r>
            <w:r>
              <w:rPr>
                <w:rFonts w:ascii="Consolas" w:cs="Consolas" w:eastAsia="Consolas" w:hAnsi="Consolas"/>
                <w:color w:val="7A2E0E"/>
                <w:sz w:val="15"/>
                <w:szCs w:val="15"/>
              </w:rPr>
              <w:t xml:space="preserve">{motif}</w:t>
            </w:r>
          </w:p>
        </w:tc>
      </w:tr>
    </w:tbl>
    <w:p>
      <w:pPr>
        <w:spacing w:after="80"/>
      </w:pPr>
    </w:p>
    <w:p>
      <w:pPr>
        <w:pStyle w:val="Heading3"/>
        <w:keepNext/>
      </w:pPr>
      <w:r>
        <w:t xml:space="preserve">Préconditions</w:t>
      </w:r>
    </w:p>
    <w:p>
      <w:pPr>
        <w:pStyle w:val="ListParagraph"/>
        <w:numPr>
          <w:ilvl w:val="0"/>
          <w:numId w:val="2"/>
        </w:numPr>
        <w:spacing w:after="60" w:line="264"/>
      </w:pPr>
      <w:r>
        <w:t xml:space="preserve">Le dossier est entre BROUILLON et EN_ATTENTE_DECISION.</w:t>
      </w:r>
    </w:p>
    <w:p>
      <w:pPr>
        <w:pStyle w:val="Heading3"/>
        <w:keepNext/>
      </w:pPr>
      <w:r>
        <w:t xml:space="preserve">Scénario nominal</w:t>
      </w:r>
    </w:p>
    <w:p>
      <w:pPr>
        <w:pStyle w:val="ListParagraph"/>
        <w:numPr>
          <w:ilvl w:val="0"/>
          <w:numId w:val="13"/>
        </w:numPr>
        <w:spacing w:after="60" w:line="264"/>
      </w:pPr>
      <w:r>
        <w:t xml:space="preserve">L’agent saisit le motif.</w:t>
      </w:r>
    </w:p>
    <w:p>
      <w:pPr>
        <w:pStyle w:val="ListParagraph"/>
        <w:numPr>
          <w:ilvl w:val="0"/>
          <w:numId w:val="13"/>
        </w:numPr>
        <w:spacing w:after="60" w:line="264"/>
      </w:pPr>
      <w:r>
        <w:t xml:space="preserve">Le système passe le dossier en ANNULE, ajoute l’historique et l’événement de synchronisation (deal perdu, activités ouvertes terminées).</w:t>
      </w:r>
    </w:p>
    <w:p>
      <w:pPr>
        <w:pStyle w:val="Heading3"/>
        <w:keepNext/>
      </w:pPr>
      <w:r>
        <w:t xml:space="preserve">Alternatives et exceptions</w:t>
      </w:r>
    </w:p>
    <w:p>
      <w:pPr>
        <w:pStyle w:val="ListParagraph"/>
        <w:numPr>
          <w:ilvl w:val="0"/>
          <w:numId w:val="2"/>
        </w:numPr>
        <w:spacing w:after="60" w:line="264"/>
      </w:pPr>
      <w:r>
        <w:t xml:space="preserve">Motif absent → 422 </w:t>
      </w:r>
      <w:r>
        <w:rPr>
          <w:rFonts w:ascii="Consolas" w:cs="Consolas" w:eastAsia="Consolas" w:hAnsi="Consolas"/>
          <w:color w:val="7A2E0E"/>
          <w:sz w:val="17"/>
          <w:szCs w:val="17"/>
        </w:rPr>
        <w:t xml:space="preserve">MOTIF_OBLIGATOIRE</w:t>
      </w:r>
      <w:r>
        <w:t xml:space="preserve">.</w:t>
      </w:r>
    </w:p>
    <w:p>
      <w:pPr>
        <w:pStyle w:val="ListParagraph"/>
        <w:numPr>
          <w:ilvl w:val="0"/>
          <w:numId w:val="2"/>
        </w:numPr>
        <w:spacing w:after="60" w:line="264"/>
      </w:pPr>
      <w:r>
        <w:t xml:space="preserve">Dossier dans un état terminal ou APPROUVE → 409 </w:t>
      </w:r>
      <w:r>
        <w:rPr>
          <w:rFonts w:ascii="Consolas" w:cs="Consolas" w:eastAsia="Consolas" w:hAnsi="Consolas"/>
          <w:color w:val="7A2E0E"/>
          <w:sz w:val="17"/>
          <w:szCs w:val="17"/>
        </w:rPr>
        <w:t xml:space="preserve">TRANSITION_INTERDITE</w:t>
      </w:r>
      <w:r>
        <w:t xml:space="preserve">.</w:t>
      </w:r>
    </w:p>
    <w:p>
      <w:pPr>
        <w:pStyle w:val="Heading3"/>
        <w:keepNext/>
      </w:pPr>
      <w:r>
        <w:t xml:space="preserve">Postconditions</w:t>
      </w:r>
    </w:p>
    <w:p>
      <w:pPr>
        <w:pStyle w:val="ListParagraph"/>
        <w:numPr>
          <w:ilvl w:val="0"/>
          <w:numId w:val="2"/>
        </w:numPr>
        <w:spacing w:after="60" w:line="264"/>
      </w:pPr>
      <w:r>
        <w:t xml:space="preserve">Dossier ANNULE (terminal) ; la clé de doublon est libérée.</w:t>
      </w:r>
    </w:p>
    <w:p>
      <w:pPr>
        <w:pStyle w:val="Heading2"/>
        <w:keepNext/>
      </w:pPr>
      <w:r>
        <w:t xml:space="preserve">UC13 — Synchroniser le demandeur (contact Pipedrive)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2"/>
        <w:gridCol w:w="7036"/>
      </w:tblGrid>
      <w:tr>
        <w:trPr>
          <w:tblHeader/>
        </w:trPr>
        <w:tc>
          <w:tcPr>
            <w:tcW w:type="dxa" w:w="2602"/>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Élément</w:t>
            </w:r>
          </w:p>
        </w:tc>
        <w:tc>
          <w:tcPr>
            <w:tcW w:type="dxa" w:w="7036"/>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Description</w:t>
            </w:r>
          </w:p>
        </w:tc>
      </w:tr>
      <w:tr>
        <w:trPr>
          <w:cantSplit/>
        </w:trPr>
        <w:tc>
          <w:tcPr>
            <w:tcW w:type="dxa" w:w="260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Acteur principal</w:t>
            </w:r>
          </w:p>
        </w:tc>
        <w:tc>
          <w:tcPr>
            <w:tcW w:type="dxa" w:w="703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Système (worker), déclenché par UC03 et UC06</w:t>
            </w:r>
          </w:p>
        </w:tc>
      </w:tr>
      <w:tr>
        <w:trPr>
          <w:cantSplit/>
        </w:trPr>
        <w:tc>
          <w:tcPr>
            <w:tcW w:type="dxa" w:w="260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Objectif</w:t>
            </w:r>
          </w:p>
        </w:tc>
        <w:tc>
          <w:tcPr>
            <w:tcW w:type="dxa" w:w="703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Disposer d’un contact Pipedrive unique par demandeur, avec les seules données autorisées.</w:t>
            </w:r>
          </w:p>
        </w:tc>
      </w:tr>
      <w:tr>
        <w:trPr>
          <w:cantSplit/>
        </w:trPr>
        <w:tc>
          <w:tcPr>
            <w:tcW w:type="dxa" w:w="260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Exigences couvertes</w:t>
            </w:r>
          </w:p>
        </w:tc>
        <w:tc>
          <w:tcPr>
            <w:tcW w:type="dxa" w:w="703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EF05, EF07, EF10, EF11 ; RG04, RG05, RG06 ; RI04, RI05</w:t>
            </w:r>
          </w:p>
        </w:tc>
      </w:tr>
      <w:tr>
        <w:trPr>
          <w:cantSplit/>
        </w:trPr>
        <w:tc>
          <w:tcPr>
            <w:tcW w:type="dxa" w:w="260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Endpoint exposé</w:t>
            </w:r>
          </w:p>
        </w:tc>
        <w:tc>
          <w:tcPr>
            <w:tcW w:type="dxa" w:w="703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Aucun (traitement interne) ; état visible par </w:t>
            </w:r>
            <w:r>
              <w:rPr>
                <w:rFonts w:ascii="Consolas" w:cs="Consolas" w:eastAsia="Consolas" w:hAnsi="Consolas"/>
                <w:color w:val="7A2E0E"/>
                <w:sz w:val="15"/>
                <w:szCs w:val="15"/>
              </w:rPr>
              <w:t xml:space="preserve">GET /dossiers/{id}/synchronisation</w:t>
            </w:r>
          </w:p>
        </w:tc>
      </w:tr>
    </w:tbl>
    <w:p>
      <w:pPr>
        <w:spacing w:after="80"/>
      </w:pPr>
    </w:p>
    <w:p>
      <w:pPr>
        <w:pStyle w:val="Heading3"/>
        <w:keepNext/>
      </w:pPr>
      <w:r>
        <w:t xml:space="preserve">Préconditions</w:t>
      </w:r>
    </w:p>
    <w:p>
      <w:pPr>
        <w:pStyle w:val="ListParagraph"/>
        <w:numPr>
          <w:ilvl w:val="0"/>
          <w:numId w:val="2"/>
        </w:numPr>
        <w:spacing w:after="60" w:line="264"/>
      </w:pPr>
      <w:r>
        <w:t xml:space="preserve">Un événement </w:t>
      </w:r>
      <w:r>
        <w:rPr>
          <w:rFonts w:ascii="Consolas" w:cs="Consolas" w:eastAsia="Consolas" w:hAnsi="Consolas"/>
          <w:color w:val="7A2E0E"/>
          <w:sz w:val="17"/>
          <w:szCs w:val="17"/>
        </w:rPr>
        <w:t xml:space="preserve">SYNC_DEMANDEUR</w:t>
      </w:r>
      <w:r>
        <w:t xml:space="preserve"> est en attente.</w:t>
      </w:r>
    </w:p>
    <w:p>
      <w:pPr>
        <w:pStyle w:val="Heading3"/>
        <w:keepNext/>
      </w:pPr>
      <w:r>
        <w:t xml:space="preserve">Scénario nominal</w:t>
      </w:r>
    </w:p>
    <w:p>
      <w:pPr>
        <w:pStyle w:val="ListParagraph"/>
        <w:numPr>
          <w:ilvl w:val="0"/>
          <w:numId w:val="14"/>
        </w:numPr>
        <w:spacing w:after="60" w:line="264"/>
      </w:pPr>
      <w:r>
        <w:t xml:space="preserve">Si le demandeur possède déjà une référence Person synchronisée, mise à jour du contact si ses coordonnées ont changé (OP-04).</w:t>
      </w:r>
    </w:p>
    <w:p>
      <w:pPr>
        <w:pStyle w:val="ListParagraph"/>
        <w:numPr>
          <w:ilvl w:val="0"/>
          <w:numId w:val="14"/>
        </w:numPr>
        <w:spacing w:after="60" w:line="264"/>
      </w:pPr>
      <w:r>
        <w:t xml:space="preserve">Sinon, recherche dans Pipedrive par e-mail puis par téléphone, en correspondance exacte (OP-02).</w:t>
      </w:r>
    </w:p>
    <w:p>
      <w:pPr>
        <w:pStyle w:val="ListParagraph"/>
        <w:numPr>
          <w:ilvl w:val="0"/>
          <w:numId w:val="14"/>
        </w:numPr>
        <w:spacing w:after="60" w:line="264"/>
      </w:pPr>
      <w:r>
        <w:t xml:space="preserve">Si un contact est trouvé, son identifiant est enregistré ; sinon, le contact est créé (OP-03) avec nom, e-mail et téléphone uniquement.</w:t>
      </w:r>
    </w:p>
    <w:p>
      <w:pPr>
        <w:pStyle w:val="ListParagraph"/>
        <w:numPr>
          <w:ilvl w:val="0"/>
          <w:numId w:val="14"/>
        </w:numPr>
        <w:spacing w:after="60" w:line="264"/>
      </w:pPr>
      <w:r>
        <w:t xml:space="preserve">La ReferenceSynchro (Demandeur ↔ Person) passe à SYNCHRONISE.</w:t>
      </w:r>
    </w:p>
    <w:p>
      <w:pPr>
        <w:pStyle w:val="Heading3"/>
        <w:keepNext/>
      </w:pPr>
      <w:r>
        <w:t xml:space="preserve">Alternatives et exceptions</w:t>
      </w:r>
    </w:p>
    <w:p>
      <w:pPr>
        <w:pStyle w:val="ListParagraph"/>
        <w:numPr>
          <w:ilvl w:val="0"/>
          <w:numId w:val="2"/>
        </w:numPr>
        <w:spacing w:after="60" w:line="264"/>
      </w:pPr>
      <w:r>
        <w:t xml:space="preserve">Timeout, 5xx, 429 → EN_ATTENTE et relance automatique bornée.</w:t>
      </w:r>
    </w:p>
    <w:p>
      <w:pPr>
        <w:pStyle w:val="ListParagraph"/>
        <w:numPr>
          <w:ilvl w:val="0"/>
          <w:numId w:val="2"/>
        </w:numPr>
        <w:spacing w:after="60" w:line="264"/>
      </w:pPr>
      <w:r>
        <w:t xml:space="preserve">401 ou 403 → ECHEC, erreur d’intégration, alerte administrateur, pas de relance automatique.</w:t>
      </w:r>
    </w:p>
    <w:p>
      <w:pPr>
        <w:pStyle w:val="ListParagraph"/>
        <w:numPr>
          <w:ilvl w:val="0"/>
          <w:numId w:val="2"/>
        </w:numPr>
        <w:spacing w:after="60" w:line="264"/>
      </w:pPr>
      <w:r>
        <w:t xml:space="preserve">Plusieurs contacts trouvés → le plus ancien est retenu et l’ambiguïté est journalisée.</w:t>
      </w:r>
    </w:p>
    <w:p>
      <w:pPr>
        <w:pStyle w:val="Heading3"/>
        <w:keepNext/>
      </w:pPr>
      <w:r>
        <w:t xml:space="preserve">Postconditions</w:t>
      </w:r>
    </w:p>
    <w:p>
      <w:pPr>
        <w:pStyle w:val="ListParagraph"/>
        <w:numPr>
          <w:ilvl w:val="0"/>
          <w:numId w:val="2"/>
        </w:numPr>
        <w:spacing w:after="60" w:line="264"/>
      </w:pPr>
      <w:r>
        <w:t xml:space="preserve">Correspondance Demandeur ↔ Person enregistrée, ou échec journalisé avec sa cause.</w:t>
      </w:r>
    </w:p>
    <w:p>
      <w:pPr>
        <w:pStyle w:val="Heading2"/>
        <w:keepNext/>
      </w:pPr>
      <w:r>
        <w:t xml:space="preserve">UC14 — Créer ou mettre à jour le deal et l’activité de suivi</w:t>
      </w:r>
    </w:p>
    <w:p>
      <w:pPr>
        <w:keepNext/>
        <w:spacing w:after="40" w:before="60"/>
        <w:jc w:val="center"/>
      </w:pPr>
      <w:r>
        <w:drawing>
          <wp:inline distT="0" distB="0" distL="0" distR="0">
            <wp:extent cx="6096000" cy="4381500"/>
            <wp:effectExtent t="0" r="0" b="0" l="0"/>
            <wp:docPr id="1" name="uc14" descr="Figure 6 — UC14 et UC15 Synchronisation idempotente et relance" title="Figure 6 — UC14 et UC15 Synchronisation idempotente et rel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4381500"/>
                    </a:xfrm>
                    <a:prstGeom prst="rect">
                      <a:avLst/>
                    </a:prstGeom>
                  </pic:spPr>
                </pic:pic>
              </a:graphicData>
            </a:graphic>
          </wp:inline>
        </w:drawing>
      </w:r>
    </w:p>
    <w:p>
      <w:pPr>
        <w:spacing w:after="160"/>
        <w:jc w:val="center"/>
      </w:pPr>
      <w:r>
        <w:rPr>
          <w:i/>
          <w:iCs/>
          <w:color w:val="555555"/>
          <w:sz w:val="17"/>
          <w:szCs w:val="17"/>
        </w:rPr>
        <w:t xml:space="preserve">Figure 6 — UC14 et UC15 Synchronisation idempotente et relance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2"/>
        <w:gridCol w:w="7036"/>
      </w:tblGrid>
      <w:tr>
        <w:trPr>
          <w:tblHeader/>
        </w:trPr>
        <w:tc>
          <w:tcPr>
            <w:tcW w:type="dxa" w:w="2602"/>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Élément</w:t>
            </w:r>
          </w:p>
        </w:tc>
        <w:tc>
          <w:tcPr>
            <w:tcW w:type="dxa" w:w="7036"/>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Description</w:t>
            </w:r>
          </w:p>
        </w:tc>
      </w:tr>
      <w:tr>
        <w:trPr>
          <w:cantSplit/>
        </w:trPr>
        <w:tc>
          <w:tcPr>
            <w:tcW w:type="dxa" w:w="260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Acteur principal</w:t>
            </w:r>
          </w:p>
        </w:tc>
        <w:tc>
          <w:tcPr>
            <w:tcW w:type="dxa" w:w="703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Système (worker), déclenché par UC07/08, UC09, UC10, UC12</w:t>
            </w:r>
          </w:p>
        </w:tc>
      </w:tr>
      <w:tr>
        <w:trPr>
          <w:cantSplit/>
        </w:trPr>
        <w:tc>
          <w:tcPr>
            <w:tcW w:type="dxa" w:w="260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Objectif</w:t>
            </w:r>
          </w:p>
        </w:tc>
        <w:tc>
          <w:tcPr>
            <w:tcW w:type="dxa" w:w="703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Refléter dans Pipedrive l’avancement du dossier, une seule fois par événement.</w:t>
            </w:r>
          </w:p>
        </w:tc>
      </w:tr>
      <w:tr>
        <w:trPr>
          <w:cantSplit/>
        </w:trPr>
        <w:tc>
          <w:tcPr>
            <w:tcW w:type="dxa" w:w="260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Exigences couvertes</w:t>
            </w:r>
          </w:p>
        </w:tc>
        <w:tc>
          <w:tcPr>
            <w:tcW w:type="dxa" w:w="703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EF05, EF06, EF08, EF09, EF10, EF11 ; RG05, RG06 ; RM06</w:t>
            </w:r>
          </w:p>
        </w:tc>
      </w:tr>
      <w:tr>
        <w:trPr>
          <w:cantSplit/>
        </w:trPr>
        <w:tc>
          <w:tcPr>
            <w:tcW w:type="dxa" w:w="260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Endpoint exposé</w:t>
            </w:r>
          </w:p>
        </w:tc>
        <w:tc>
          <w:tcPr>
            <w:tcW w:type="dxa" w:w="703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Aucun (traitement interne)</w:t>
            </w:r>
          </w:p>
        </w:tc>
      </w:tr>
    </w:tbl>
    <w:p>
      <w:pPr>
        <w:spacing w:after="80"/>
      </w:pPr>
    </w:p>
    <w:p>
      <w:pPr>
        <w:pStyle w:val="Heading3"/>
        <w:keepNext/>
      </w:pPr>
      <w:r>
        <w:t xml:space="preserve">Préconditions</w:t>
      </w:r>
    </w:p>
    <w:p>
      <w:pPr>
        <w:pStyle w:val="ListParagraph"/>
        <w:numPr>
          <w:ilvl w:val="0"/>
          <w:numId w:val="2"/>
        </w:numPr>
        <w:spacing w:after="60" w:line="264"/>
      </w:pPr>
      <w:r>
        <w:t xml:space="preserve">Le demandeur est synchronisé (sinon l’événement attend la synchronisation du contact).</w:t>
      </w:r>
    </w:p>
    <w:p>
      <w:pPr>
        <w:pStyle w:val="ListParagraph"/>
        <w:numPr>
          <w:ilvl w:val="0"/>
          <w:numId w:val="2"/>
        </w:numPr>
        <w:spacing w:after="60" w:line="264"/>
      </w:pPr>
      <w:r>
        <w:t xml:space="preserve">Le pipeline et ses étapes existent dans Pipedrive (script d’initialisation de l’ISD).</w:t>
      </w:r>
    </w:p>
    <w:p>
      <w:pPr>
        <w:pStyle w:val="Heading3"/>
        <w:keepNext/>
      </w:pPr>
      <w:r>
        <w:t xml:space="preserve">Scénario nominal</w:t>
      </w:r>
    </w:p>
    <w:p>
      <w:pPr>
        <w:pStyle w:val="ListParagraph"/>
        <w:numPr>
          <w:ilvl w:val="0"/>
          <w:numId w:val="15"/>
        </w:numPr>
        <w:spacing w:after="60" w:line="264"/>
      </w:pPr>
      <w:r>
        <w:t xml:space="preserve">Le worker prend l’événement le plus ancien échu.</w:t>
      </w:r>
    </w:p>
    <w:p>
      <w:pPr>
        <w:pStyle w:val="ListParagraph"/>
        <w:numPr>
          <w:ilvl w:val="0"/>
          <w:numId w:val="15"/>
        </w:numPr>
        <w:spacing w:after="60" w:line="264"/>
      </w:pPr>
      <w:r>
        <w:t xml:space="preserve">Il vérifie qu’aucune ReferenceSynchro SYNCHRONISE n’existe pour la clé (dossier + événement) (RM06).</w:t>
      </w:r>
    </w:p>
    <w:p>
      <w:pPr>
        <w:pStyle w:val="ListParagraph"/>
        <w:numPr>
          <w:ilvl w:val="0"/>
          <w:numId w:val="15"/>
        </w:numPr>
        <w:spacing w:after="60" w:line="264"/>
      </w:pPr>
      <w:r>
        <w:t xml:space="preserve">Il crée le deal à la soumission (OP-09) ou met à jour son étape ou son statut (OP-11).</w:t>
      </w:r>
    </w:p>
    <w:p>
      <w:pPr>
        <w:pStyle w:val="ListParagraph"/>
        <w:numPr>
          <w:ilvl w:val="0"/>
          <w:numId w:val="15"/>
        </w:numPr>
        <w:spacing w:after="60" w:line="264"/>
      </w:pPr>
      <w:r>
        <w:t xml:space="preserve">Il crée l’activité (OP-12) avec le marqueur </w:t>
      </w:r>
      <w:r>
        <w:rPr>
          <w:rFonts w:ascii="Consolas" w:cs="Consolas" w:eastAsia="Consolas" w:hAnsi="Consolas"/>
          <w:color w:val="7A2E0E"/>
          <w:sz w:val="17"/>
          <w:szCs w:val="17"/>
        </w:rPr>
        <w:t xml:space="preserve">[REF·En]</w:t>
      </w:r>
      <w:r>
        <w:t xml:space="preserve">, ou marque terminées les activités ouvertes (OP-14).</w:t>
      </w:r>
    </w:p>
    <w:p>
      <w:pPr>
        <w:pStyle w:val="ListParagraph"/>
        <w:numPr>
          <w:ilvl w:val="0"/>
          <w:numId w:val="15"/>
        </w:numPr>
        <w:spacing w:after="60" w:line="264"/>
      </w:pPr>
      <w:r>
        <w:t xml:space="preserve">Il enregistre l’identifiant externe et passe la ReferenceSynchro à SYNCHRONISE.</w:t>
      </w:r>
    </w:p>
    <w:p>
      <w:pPr>
        <w:pStyle w:val="Heading3"/>
        <w:keepNext/>
      </w:pPr>
      <w:r>
        <w:t xml:space="preserve">Alternatives et exceptions</w:t>
      </w:r>
    </w:p>
    <w:p>
      <w:pPr>
        <w:pStyle w:val="ListParagraph"/>
        <w:numPr>
          <w:ilvl w:val="0"/>
          <w:numId w:val="2"/>
        </w:numPr>
        <w:spacing w:after="60" w:line="264"/>
      </w:pPr>
      <w:r>
        <w:t xml:space="preserve">Résultat indéterminé (timeout) lors d’une précédente tentative → recherche préalable (OP-10 ou OP-13) ; si l’objet existe, il est rattaché sans nouvelle création.</w:t>
      </w:r>
    </w:p>
    <w:p>
      <w:pPr>
        <w:pStyle w:val="ListParagraph"/>
        <w:numPr>
          <w:ilvl w:val="0"/>
          <w:numId w:val="2"/>
        </w:numPr>
        <w:spacing w:after="60" w:line="264"/>
      </w:pPr>
      <w:r>
        <w:t xml:space="preserve">Timeout, 5xx, 429 → EN_ATTENTE, tentative suivante après une attente exponentielle (2 s, 4 s, 8 s, 16 s, 32 s, avec aléa) ou selon Retry-After.</w:t>
      </w:r>
    </w:p>
    <w:p>
      <w:pPr>
        <w:pStyle w:val="ListParagraph"/>
        <w:numPr>
          <w:ilvl w:val="0"/>
          <w:numId w:val="2"/>
        </w:numPr>
        <w:spacing w:after="60" w:line="264"/>
      </w:pPr>
      <w:r>
        <w:t xml:space="preserve">5 tentatives épuisées, 400, 401, 403, 410 → ECHEC, journal et alerte ; relance manuelle par UC15.</w:t>
      </w:r>
    </w:p>
    <w:p>
      <w:pPr>
        <w:pStyle w:val="ListParagraph"/>
        <w:numPr>
          <w:ilvl w:val="0"/>
          <w:numId w:val="2"/>
        </w:numPr>
        <w:spacing w:after="60" w:line="264"/>
      </w:pPr>
      <w:r>
        <w:t xml:space="preserve">Deal supprimé dans Pipedrive (404 à la mise à jour) → recréation du deal à l’étape courante, écart journalisé (RI08).</w:t>
      </w:r>
    </w:p>
    <w:p>
      <w:pPr>
        <w:pStyle w:val="Heading3"/>
        <w:keepNext/>
      </w:pPr>
      <w:r>
        <w:t xml:space="preserve">Postconditions</w:t>
      </w:r>
    </w:p>
    <w:p>
      <w:pPr>
        <w:pStyle w:val="ListParagraph"/>
        <w:numPr>
          <w:ilvl w:val="0"/>
          <w:numId w:val="2"/>
        </w:numPr>
        <w:spacing w:after="60" w:line="264"/>
      </w:pPr>
      <w:r>
        <w:t xml:space="preserve">Correspondance interne ↔ externe enregistrée, ou échec journalisé avec sa cause.</w:t>
      </w:r>
    </w:p>
    <w:p>
      <w:pPr>
        <w:pStyle w:val="Heading3"/>
        <w:keepNext/>
      </w:pPr>
      <w:r>
        <w:t xml:space="preserve">Exigences complémentaires</w:t>
      </w:r>
    </w:p>
    <w:p>
      <w:pPr>
        <w:pStyle w:val="ListParagraph"/>
        <w:numPr>
          <w:ilvl w:val="0"/>
          <w:numId w:val="2"/>
        </w:numPr>
        <w:spacing w:after="60" w:line="264"/>
      </w:pPr>
      <w:r>
        <w:t xml:space="preserve">Une erreur Pipedrive n’est jamais présentée comme une erreur de validation ni comme un succès (RG05).</w:t>
      </w:r>
    </w:p>
    <w:p>
      <w:pPr>
        <w:pStyle w:val="Heading2"/>
        <w:keepNext/>
      </w:pPr>
      <w:r>
        <w:t xml:space="preserve">UC15 — Relancer une synchronisation en échec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2"/>
        <w:gridCol w:w="7036"/>
      </w:tblGrid>
      <w:tr>
        <w:trPr>
          <w:tblHeader/>
        </w:trPr>
        <w:tc>
          <w:tcPr>
            <w:tcW w:type="dxa" w:w="2602"/>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Élément</w:t>
            </w:r>
          </w:p>
        </w:tc>
        <w:tc>
          <w:tcPr>
            <w:tcW w:type="dxa" w:w="7036"/>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Description</w:t>
            </w:r>
          </w:p>
        </w:tc>
      </w:tr>
      <w:tr>
        <w:trPr>
          <w:cantSplit/>
        </w:trPr>
        <w:tc>
          <w:tcPr>
            <w:tcW w:type="dxa" w:w="260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Acteur principal</w:t>
            </w:r>
          </w:p>
        </w:tc>
        <w:tc>
          <w:tcPr>
            <w:tcW w:type="dxa" w:w="703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Administrateur</w:t>
            </w:r>
          </w:p>
        </w:tc>
      </w:tr>
      <w:tr>
        <w:trPr>
          <w:cantSplit/>
        </w:trPr>
        <w:tc>
          <w:tcPr>
            <w:tcW w:type="dxa" w:w="260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Objectif</w:t>
            </w:r>
          </w:p>
        </w:tc>
        <w:tc>
          <w:tcPr>
            <w:tcW w:type="dxa" w:w="703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Reprendre une synchronisation après correction de la cause (jeton, quota, panne).</w:t>
            </w:r>
          </w:p>
        </w:tc>
      </w:tr>
      <w:tr>
        <w:trPr>
          <w:cantSplit/>
        </w:trPr>
        <w:tc>
          <w:tcPr>
            <w:tcW w:type="dxa" w:w="260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Exigences couvertes</w:t>
            </w:r>
          </w:p>
        </w:tc>
        <w:tc>
          <w:tcPr>
            <w:tcW w:type="dxa" w:w="703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EF10, EF11 ; RG05, RG06</w:t>
            </w:r>
          </w:p>
        </w:tc>
      </w:tr>
      <w:tr>
        <w:trPr>
          <w:cantSplit/>
        </w:trPr>
        <w:tc>
          <w:tcPr>
            <w:tcW w:type="dxa" w:w="260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Endpoint exposé</w:t>
            </w:r>
          </w:p>
        </w:tc>
        <w:tc>
          <w:tcPr>
            <w:tcW w:type="dxa" w:w="703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GET /synchronisations?etat=ECHEC|EN_ATTENTE&amp;dossier_id=</w:t>
            </w:r>
          </w:p>
          <w:p>
            <w:pPr>
              <w:spacing w:after="30" w:before="30"/>
            </w:pPr>
            <w:r>
              <w:rPr>
                <w:rFonts w:ascii="Consolas" w:cs="Consolas" w:eastAsia="Consolas" w:hAnsi="Consolas"/>
                <w:color w:val="7A2E0E"/>
                <w:sz w:val="15"/>
                <w:szCs w:val="15"/>
              </w:rPr>
              <w:t xml:space="preserve">POST /synchronisations/{id}/relance</w:t>
            </w:r>
          </w:p>
          <w:p>
            <w:pPr>
              <w:spacing w:after="30" w:before="30"/>
            </w:pPr>
            <w:r>
              <w:rPr>
                <w:rFonts w:ascii="Consolas" w:cs="Consolas" w:eastAsia="Consolas" w:hAnsi="Consolas"/>
                <w:color w:val="7A2E0E"/>
                <w:sz w:val="15"/>
                <w:szCs w:val="15"/>
              </w:rPr>
              <w:t xml:space="preserve">POST /synchronisations/relance-globale</w:t>
            </w:r>
          </w:p>
        </w:tc>
      </w:tr>
    </w:tbl>
    <w:p>
      <w:pPr>
        <w:spacing w:after="80"/>
      </w:pPr>
    </w:p>
    <w:p>
      <w:pPr>
        <w:pStyle w:val="Heading3"/>
        <w:keepNext/>
      </w:pPr>
      <w:r>
        <w:t xml:space="preserve">Préconditions</w:t>
      </w:r>
    </w:p>
    <w:p>
      <w:pPr>
        <w:pStyle w:val="ListParagraph"/>
        <w:numPr>
          <w:ilvl w:val="0"/>
          <w:numId w:val="2"/>
        </w:numPr>
        <w:spacing w:after="60" w:line="264"/>
      </w:pPr>
      <w:r>
        <w:t xml:space="preserve">La synchronisation est à l’état ECHEC (ou EN_ATTENTE pour forcer une tentative immédiate).</w:t>
      </w:r>
    </w:p>
    <w:p>
      <w:pPr>
        <w:pStyle w:val="Heading3"/>
        <w:keepNext/>
      </w:pPr>
      <w:r>
        <w:t xml:space="preserve">Scénario nominal</w:t>
      </w:r>
    </w:p>
    <w:p>
      <w:pPr>
        <w:pStyle w:val="ListParagraph"/>
        <w:numPr>
          <w:ilvl w:val="0"/>
          <w:numId w:val="16"/>
        </w:numPr>
        <w:spacing w:after="60" w:line="264"/>
      </w:pPr>
      <w:r>
        <w:t xml:space="preserve">L’administrateur consulte les synchronisations en échec et leur cause.</w:t>
      </w:r>
    </w:p>
    <w:p>
      <w:pPr>
        <w:pStyle w:val="ListParagraph"/>
        <w:numPr>
          <w:ilvl w:val="0"/>
          <w:numId w:val="16"/>
        </w:numPr>
        <w:spacing w:after="60" w:line="264"/>
      </w:pPr>
      <w:r>
        <w:t xml:space="preserve">Il demande la relance.</w:t>
      </w:r>
    </w:p>
    <w:p>
      <w:pPr>
        <w:pStyle w:val="ListParagraph"/>
        <w:numPr>
          <w:ilvl w:val="0"/>
          <w:numId w:val="16"/>
        </w:numPr>
        <w:spacing w:after="60" w:line="264"/>
      </w:pPr>
      <w:r>
        <w:t xml:space="preserve">Le système remet l’état à EN_ATTENTE avec un compteur de tentatives à zéro et renvoie 202.</w:t>
      </w:r>
    </w:p>
    <w:p>
      <w:pPr>
        <w:pStyle w:val="ListParagraph"/>
        <w:numPr>
          <w:ilvl w:val="0"/>
          <w:numId w:val="16"/>
        </w:numPr>
        <w:spacing w:after="60" w:line="264"/>
      </w:pPr>
      <w:r>
        <w:t xml:space="preserve">Le worker la traite selon UC14, en commençant par le contrôle d’existence.</w:t>
      </w:r>
    </w:p>
    <w:p>
      <w:pPr>
        <w:pStyle w:val="Heading3"/>
        <w:keepNext/>
      </w:pPr>
      <w:r>
        <w:t xml:space="preserve">Alternatives et exceptions</w:t>
      </w:r>
    </w:p>
    <w:p>
      <w:pPr>
        <w:pStyle w:val="ListParagraph"/>
        <w:numPr>
          <w:ilvl w:val="0"/>
          <w:numId w:val="2"/>
        </w:numPr>
        <w:spacing w:after="60" w:line="264"/>
      </w:pPr>
      <w:r>
        <w:t xml:space="preserve">Synchronisation déjà SYNCHRONISE → 409 </w:t>
      </w:r>
      <w:r>
        <w:rPr>
          <w:rFonts w:ascii="Consolas" w:cs="Consolas" w:eastAsia="Consolas" w:hAnsi="Consolas"/>
          <w:color w:val="7A2E0E"/>
          <w:sz w:val="17"/>
          <w:szCs w:val="17"/>
        </w:rPr>
        <w:t xml:space="preserve">ETAT_INCOMPATIBLE</w:t>
      </w:r>
      <w:r>
        <w:t xml:space="preserve">.</w:t>
      </w:r>
    </w:p>
    <w:p>
      <w:pPr>
        <w:pStyle w:val="ListParagraph"/>
        <w:numPr>
          <w:ilvl w:val="0"/>
          <w:numId w:val="2"/>
        </w:numPr>
        <w:spacing w:after="60" w:line="264"/>
      </w:pPr>
      <w:r>
        <w:t xml:space="preserve">Intégration non configurée (jeton absent) → 503 </w:t>
      </w:r>
      <w:r>
        <w:rPr>
          <w:rFonts w:ascii="Consolas" w:cs="Consolas" w:eastAsia="Consolas" w:hAnsi="Consolas"/>
          <w:color w:val="7A2E0E"/>
          <w:sz w:val="17"/>
          <w:szCs w:val="17"/>
        </w:rPr>
        <w:t xml:space="preserve">PIPEDRIVE_NON_CONFIGURE</w:t>
      </w:r>
      <w:r>
        <w:t xml:space="preserve">.</w:t>
      </w:r>
    </w:p>
    <w:p>
      <w:pPr>
        <w:pStyle w:val="Heading3"/>
        <w:keepNext/>
      </w:pPr>
      <w:r>
        <w:t xml:space="preserve">Postconditions</w:t>
      </w:r>
    </w:p>
    <w:p>
      <w:pPr>
        <w:pStyle w:val="ListParagraph"/>
        <w:numPr>
          <w:ilvl w:val="0"/>
          <w:numId w:val="2"/>
        </w:numPr>
        <w:spacing w:after="60" w:line="264"/>
      </w:pPr>
      <w:r>
        <w:t xml:space="preserve">Relance planifiée et tracée dans le journal technique.</w:t>
      </w:r>
    </w:p>
    <w:p>
      <w:pPr>
        <w:pStyle w:val="Heading2"/>
        <w:keepNext/>
      </w:pPr>
      <w:r>
        <w:t xml:space="preserve">UC16 — Configurer les types de démarches et les pièces requises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2"/>
        <w:gridCol w:w="7036"/>
      </w:tblGrid>
      <w:tr>
        <w:trPr>
          <w:tblHeader/>
        </w:trPr>
        <w:tc>
          <w:tcPr>
            <w:tcW w:type="dxa" w:w="2602"/>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Élément</w:t>
            </w:r>
          </w:p>
        </w:tc>
        <w:tc>
          <w:tcPr>
            <w:tcW w:type="dxa" w:w="7036"/>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Description</w:t>
            </w:r>
          </w:p>
        </w:tc>
      </w:tr>
      <w:tr>
        <w:trPr>
          <w:cantSplit/>
        </w:trPr>
        <w:tc>
          <w:tcPr>
            <w:tcW w:type="dxa" w:w="260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Acteur principal</w:t>
            </w:r>
          </w:p>
        </w:tc>
        <w:tc>
          <w:tcPr>
            <w:tcW w:type="dxa" w:w="703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Administrateur</w:t>
            </w:r>
          </w:p>
        </w:tc>
      </w:tr>
      <w:tr>
        <w:trPr>
          <w:cantSplit/>
        </w:trPr>
        <w:tc>
          <w:tcPr>
            <w:tcW w:type="dxa" w:w="260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Objectif</w:t>
            </w:r>
          </w:p>
        </w:tc>
        <w:tc>
          <w:tcPr>
            <w:tcW w:type="dxa" w:w="703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Ajuster les démarches sans modifier le code de l’adaptateur (EF17).</w:t>
            </w:r>
          </w:p>
        </w:tc>
      </w:tr>
      <w:tr>
        <w:trPr>
          <w:cantSplit/>
        </w:trPr>
        <w:tc>
          <w:tcPr>
            <w:tcW w:type="dxa" w:w="260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Exigences couvertes</w:t>
            </w:r>
          </w:p>
        </w:tc>
        <w:tc>
          <w:tcPr>
            <w:tcW w:type="dxa" w:w="703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EF17 ; RG09</w:t>
            </w:r>
          </w:p>
        </w:tc>
      </w:tr>
      <w:tr>
        <w:trPr>
          <w:cantSplit/>
        </w:trPr>
        <w:tc>
          <w:tcPr>
            <w:tcW w:type="dxa" w:w="260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Endpoint exposé</w:t>
            </w:r>
          </w:p>
        </w:tc>
        <w:tc>
          <w:tcPr>
            <w:tcW w:type="dxa" w:w="703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GET /demarches</w:t>
            </w:r>
            <w:r>
              <w:rPr>
                <w:sz w:val="18"/>
                <w:szCs w:val="18"/>
              </w:rPr>
              <w:t xml:space="preserve"> (tout agent)</w:t>
            </w:r>
          </w:p>
          <w:p>
            <w:pPr>
              <w:spacing w:after="30" w:before="30"/>
            </w:pPr>
            <w:r>
              <w:rPr>
                <w:rFonts w:ascii="Consolas" w:cs="Consolas" w:eastAsia="Consolas" w:hAnsi="Consolas"/>
                <w:color w:val="7A2E0E"/>
                <w:sz w:val="15"/>
                <w:szCs w:val="15"/>
              </w:rPr>
              <w:t xml:space="preserve">PATCH /admin/demarches/{code}</w:t>
            </w:r>
          </w:p>
          <w:p>
            <w:pPr>
              <w:spacing w:after="30" w:before="30"/>
            </w:pPr>
            <w:r>
              <w:rPr>
                <w:rFonts w:ascii="Consolas" w:cs="Consolas" w:eastAsia="Consolas" w:hAnsi="Consolas"/>
                <w:color w:val="7A2E0E"/>
                <w:sz w:val="15"/>
                <w:szCs w:val="15"/>
              </w:rPr>
              <w:t xml:space="preserve">POST /admin/demarches/{code}/pieces</w:t>
            </w:r>
          </w:p>
          <w:p>
            <w:pPr>
              <w:spacing w:after="30" w:before="30"/>
            </w:pPr>
            <w:r>
              <w:rPr>
                <w:rFonts w:ascii="Consolas" w:cs="Consolas" w:eastAsia="Consolas" w:hAnsi="Consolas"/>
                <w:color w:val="7A2E0E"/>
                <w:sz w:val="15"/>
                <w:szCs w:val="15"/>
              </w:rPr>
              <w:t xml:space="preserve">PATCH /admin/demarches/{code}/pieces/{piece_id}</w:t>
            </w:r>
          </w:p>
        </w:tc>
      </w:tr>
    </w:tbl>
    <w:p>
      <w:pPr>
        <w:spacing w:after="80"/>
      </w:pPr>
    </w:p>
    <w:p>
      <w:pPr>
        <w:pStyle w:val="Heading3"/>
        <w:keepNext/>
      </w:pPr>
      <w:r>
        <w:t xml:space="preserve">Préconditions</w:t>
      </w:r>
    </w:p>
    <w:p>
      <w:pPr>
        <w:pStyle w:val="ListParagraph"/>
        <w:numPr>
          <w:ilvl w:val="0"/>
          <w:numId w:val="2"/>
        </w:numPr>
        <w:spacing w:after="60" w:line="264"/>
      </w:pPr>
      <w:r>
        <w:t xml:space="preserve">L’administrateur est authentifié.</w:t>
      </w:r>
    </w:p>
    <w:p>
      <w:pPr>
        <w:pStyle w:val="Heading3"/>
        <w:keepNext/>
      </w:pPr>
      <w:r>
        <w:t xml:space="preserve">Scénario nominal</w:t>
      </w:r>
    </w:p>
    <w:p>
      <w:pPr>
        <w:pStyle w:val="ListParagraph"/>
        <w:numPr>
          <w:ilvl w:val="0"/>
          <w:numId w:val="17"/>
        </w:numPr>
        <w:spacing w:after="60" w:line="264"/>
      </w:pPr>
      <w:r>
        <w:t xml:space="preserve">L’administrateur active ou désactive une démarche, modifie son libellé, ajoute, modifie ou désactive une pièce requise (libellé, obligatoire).</w:t>
      </w:r>
    </w:p>
    <w:p>
      <w:pPr>
        <w:pStyle w:val="ListParagraph"/>
        <w:numPr>
          <w:ilvl w:val="0"/>
          <w:numId w:val="17"/>
        </w:numPr>
        <w:spacing w:after="60" w:line="264"/>
      </w:pPr>
      <w:r>
        <w:t xml:space="preserve">Le système enregistre la configuration et journalise la modification.</w:t>
      </w:r>
    </w:p>
    <w:p>
      <w:pPr>
        <w:pStyle w:val="Heading3"/>
        <w:keepNext/>
      </w:pPr>
      <w:r>
        <w:t xml:space="preserve">Alternatives et exceptions</w:t>
      </w:r>
    </w:p>
    <w:p>
      <w:pPr>
        <w:pStyle w:val="ListParagraph"/>
        <w:numPr>
          <w:ilvl w:val="0"/>
          <w:numId w:val="2"/>
        </w:numPr>
        <w:spacing w:after="60" w:line="264"/>
      </w:pPr>
      <w:r>
        <w:t xml:space="preserve">Démarche NAISSANCE → 422 </w:t>
      </w:r>
      <w:r>
        <w:rPr>
          <w:rFonts w:ascii="Consolas" w:cs="Consolas" w:eastAsia="Consolas" w:hAnsi="Consolas"/>
          <w:color w:val="7A2E0E"/>
          <w:sz w:val="17"/>
          <w:szCs w:val="17"/>
        </w:rPr>
        <w:t xml:space="preserve">DEMARCHE_HORS_PERIMETRE</w:t>
      </w:r>
      <w:r>
        <w:t xml:space="preserve">.</w:t>
      </w:r>
    </w:p>
    <w:p>
      <w:pPr>
        <w:pStyle w:val="ListParagraph"/>
        <w:numPr>
          <w:ilvl w:val="0"/>
          <w:numId w:val="2"/>
        </w:numPr>
        <w:spacing w:after="60" w:line="264"/>
      </w:pPr>
      <w:r>
        <w:t xml:space="preserve">Suppression d’une pièce déjà utilisée → refusée ; seule la désactivation est permise.</w:t>
      </w:r>
    </w:p>
    <w:p>
      <w:pPr>
        <w:pStyle w:val="Heading3"/>
        <w:keepNext/>
      </w:pPr>
      <w:r>
        <w:t xml:space="preserve">Postconditions</w:t>
      </w:r>
    </w:p>
    <w:p>
      <w:pPr>
        <w:pStyle w:val="ListParagraph"/>
        <w:numPr>
          <w:ilvl w:val="0"/>
          <w:numId w:val="2"/>
        </w:numPr>
        <w:spacing w:after="60" w:line="264"/>
      </w:pPr>
      <w:r>
        <w:t xml:space="preserve">La nouvelle configuration s’applique aux dossiers créés ensuite ; les dossiers existants conservent leur liste de pièces.</w:t>
      </w:r>
    </w:p>
    <w:p>
      <w:pPr>
        <w:pStyle w:val="Heading3"/>
        <w:keepNext/>
      </w:pPr>
      <w:r>
        <w:t xml:space="preserve">Exigences complémentaires</w:t>
      </w:r>
    </w:p>
    <w:p>
      <w:pPr>
        <w:pStyle w:val="ListParagraph"/>
        <w:numPr>
          <w:ilvl w:val="0"/>
          <w:numId w:val="2"/>
        </w:numPr>
        <w:spacing w:after="60" w:line="264"/>
      </w:pPr>
      <w:r>
        <w:t xml:space="preserve">Les cinq démarches et leurs schémas de données spécifiques sont définis dans un registre du code ; leurs pièces requises sont initialisées en base et modifiables. Ajouter une nouvelle démarche suppose d’ajouter un module au registre, sans toucher à l’adaptateur Pipedrive (RG09).</w:t>
      </w:r>
    </w:p>
    <w:p>
      <w:pPr>
        <w:pStyle w:val="Heading2"/>
        <w:keepNext/>
      </w:pPr>
      <w:r>
        <w:t xml:space="preserve">UC17 — Consulter les journaux techniques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2"/>
        <w:gridCol w:w="7036"/>
      </w:tblGrid>
      <w:tr>
        <w:trPr>
          <w:tblHeader/>
        </w:trPr>
        <w:tc>
          <w:tcPr>
            <w:tcW w:type="dxa" w:w="2602"/>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Élément</w:t>
            </w:r>
          </w:p>
        </w:tc>
        <w:tc>
          <w:tcPr>
            <w:tcW w:type="dxa" w:w="7036"/>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Description</w:t>
            </w:r>
          </w:p>
        </w:tc>
      </w:tr>
      <w:tr>
        <w:trPr>
          <w:cantSplit/>
        </w:trPr>
        <w:tc>
          <w:tcPr>
            <w:tcW w:type="dxa" w:w="260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Acteur principal</w:t>
            </w:r>
          </w:p>
        </w:tc>
        <w:tc>
          <w:tcPr>
            <w:tcW w:type="dxa" w:w="703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Administrateur</w:t>
            </w:r>
          </w:p>
        </w:tc>
      </w:tr>
      <w:tr>
        <w:trPr>
          <w:cantSplit/>
        </w:trPr>
        <w:tc>
          <w:tcPr>
            <w:tcW w:type="dxa" w:w="260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Objectif</w:t>
            </w:r>
          </w:p>
        </w:tc>
        <w:tc>
          <w:tcPr>
            <w:tcW w:type="dxa" w:w="703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Diagnostiquer les erreurs et les appels Pipedrive.</w:t>
            </w:r>
          </w:p>
        </w:tc>
      </w:tr>
      <w:tr>
        <w:trPr>
          <w:cantSplit/>
        </w:trPr>
        <w:tc>
          <w:tcPr>
            <w:tcW w:type="dxa" w:w="260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Exigences couvertes</w:t>
            </w:r>
          </w:p>
        </w:tc>
        <w:tc>
          <w:tcPr>
            <w:tcW w:type="dxa" w:w="7036"/>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EF16 ; RG08</w:t>
            </w:r>
          </w:p>
        </w:tc>
      </w:tr>
      <w:tr>
        <w:trPr>
          <w:cantSplit/>
        </w:trPr>
        <w:tc>
          <w:tcPr>
            <w:tcW w:type="dxa" w:w="260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Endpoint exposé</w:t>
            </w:r>
          </w:p>
        </w:tc>
        <w:tc>
          <w:tcPr>
            <w:tcW w:type="dxa" w:w="7036"/>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GET /admin/journaux?niveau=&amp;operation=&amp;correlation_id=&amp;du=&amp;au=&amp;page=</w:t>
            </w:r>
          </w:p>
          <w:p>
            <w:pPr>
              <w:spacing w:after="30" w:before="30"/>
            </w:pPr>
            <w:r>
              <w:rPr>
                <w:rFonts w:ascii="Consolas" w:cs="Consolas" w:eastAsia="Consolas" w:hAnsi="Consolas"/>
                <w:color w:val="7A2E0E"/>
                <w:sz w:val="15"/>
                <w:szCs w:val="15"/>
              </w:rPr>
              <w:t xml:space="preserve">GET /sante</w:t>
            </w:r>
            <w:r>
              <w:rPr>
                <w:sz w:val="18"/>
                <w:szCs w:val="18"/>
              </w:rPr>
              <w:t xml:space="preserve"> (public)</w:t>
            </w:r>
          </w:p>
          <w:p>
            <w:pPr>
              <w:spacing w:after="30" w:before="30"/>
            </w:pPr>
            <w:r>
              <w:rPr>
                <w:rFonts w:ascii="Consolas" w:cs="Consolas" w:eastAsia="Consolas" w:hAnsi="Consolas"/>
                <w:color w:val="7A2E0E"/>
                <w:sz w:val="15"/>
                <w:szCs w:val="15"/>
              </w:rPr>
              <w:t xml:space="preserve">GET /admin/sante/pipedrive</w:t>
            </w:r>
          </w:p>
        </w:tc>
      </w:tr>
    </w:tbl>
    <w:p>
      <w:pPr>
        <w:spacing w:after="80"/>
      </w:pPr>
    </w:p>
    <w:p>
      <w:pPr>
        <w:pStyle w:val="Heading3"/>
        <w:keepNext/>
      </w:pPr>
      <w:r>
        <w:t xml:space="preserve">Préconditions</w:t>
      </w:r>
    </w:p>
    <w:p>
      <w:pPr>
        <w:pStyle w:val="ListParagraph"/>
        <w:numPr>
          <w:ilvl w:val="0"/>
          <w:numId w:val="2"/>
        </w:numPr>
        <w:spacing w:after="60" w:line="264"/>
      </w:pPr>
      <w:r>
        <w:t xml:space="preserve">L’administrateur est authentifié.</w:t>
      </w:r>
    </w:p>
    <w:p>
      <w:pPr>
        <w:pStyle w:val="Heading3"/>
        <w:keepNext/>
      </w:pPr>
      <w:r>
        <w:t xml:space="preserve">Scénario nominal</w:t>
      </w:r>
    </w:p>
    <w:p>
      <w:pPr>
        <w:pStyle w:val="ListParagraph"/>
        <w:numPr>
          <w:ilvl w:val="0"/>
          <w:numId w:val="18"/>
        </w:numPr>
        <w:spacing w:after="60" w:line="264"/>
      </w:pPr>
      <w:r>
        <w:t xml:space="preserve">L’administrateur filtre les journaux.</w:t>
      </w:r>
    </w:p>
    <w:p>
      <w:pPr>
        <w:pStyle w:val="ListParagraph"/>
        <w:numPr>
          <w:ilvl w:val="0"/>
          <w:numId w:val="18"/>
        </w:numPr>
        <w:spacing w:after="60" w:line="264"/>
      </w:pPr>
      <w:r>
        <w:t xml:space="preserve">Le système renvoie les entrées : date, niveau, opération, résultat, code d’erreur, durée, identifiant de corrélation.</w:t>
      </w:r>
    </w:p>
    <w:p>
      <w:pPr>
        <w:pStyle w:val="ListParagraph"/>
        <w:numPr>
          <w:ilvl w:val="0"/>
          <w:numId w:val="18"/>
        </w:numPr>
        <w:spacing w:after="60" w:line="264"/>
      </w:pPr>
      <w:r>
        <w:rPr>
          <w:rFonts w:ascii="Consolas" w:cs="Consolas" w:eastAsia="Consolas" w:hAnsi="Consolas"/>
          <w:color w:val="7A2E0E"/>
          <w:sz w:val="17"/>
          <w:szCs w:val="17"/>
        </w:rPr>
        <w:t xml:space="preserve">/admin/sante/pipedrive</w:t>
      </w:r>
      <w:r>
        <w:t xml:space="preserve"> vérifie le jeton (OP-01) et renvoie l’état de l’intégration et le nombre de synchronisations en attente et en échec.</w:t>
      </w:r>
    </w:p>
    <w:p>
      <w:pPr>
        <w:pStyle w:val="Heading3"/>
        <w:keepNext/>
      </w:pPr>
      <w:r>
        <w:t xml:space="preserve">Alternatives et exceptions</w:t>
      </w:r>
    </w:p>
    <w:p>
      <w:pPr>
        <w:pStyle w:val="ListParagraph"/>
        <w:numPr>
          <w:ilvl w:val="0"/>
          <w:numId w:val="2"/>
        </w:numPr>
        <w:spacing w:after="60" w:line="264"/>
      </w:pPr>
      <w:r>
        <w:t xml:space="preserve">Filtre invalide → 400.</w:t>
      </w:r>
    </w:p>
    <w:p>
      <w:pPr>
        <w:pStyle w:val="Heading3"/>
        <w:keepNext/>
      </w:pPr>
      <w:r>
        <w:t xml:space="preserve">Postconditions</w:t>
      </w:r>
    </w:p>
    <w:p>
      <w:pPr>
        <w:pStyle w:val="ListParagraph"/>
        <w:numPr>
          <w:ilvl w:val="0"/>
          <w:numId w:val="2"/>
        </w:numPr>
        <w:spacing w:after="60" w:line="264"/>
      </w:pPr>
      <w:r>
        <w:t xml:space="preserve">Aucune modification.</w:t>
      </w:r>
    </w:p>
    <w:p>
      <w:pPr>
        <w:pStyle w:val="Heading3"/>
        <w:keepNext/>
      </w:pPr>
      <w:r>
        <w:t xml:space="preserve">Exigences complémentaires</w:t>
      </w:r>
    </w:p>
    <w:p>
      <w:pPr>
        <w:pStyle w:val="ListParagraph"/>
        <w:numPr>
          <w:ilvl w:val="0"/>
          <w:numId w:val="2"/>
        </w:numPr>
        <w:spacing w:after="60" w:line="264"/>
      </w:pPr>
      <w:r>
        <w:t xml:space="preserve">Les journaux ne contiennent ni jeton, ni mot de passe, ni contenu de requête Pipedrive, ni coordonnées des demandeurs.</w:t>
      </w:r>
    </w:p>
    <w:p>
      <w:pPr>
        <w:pStyle w:val="Heading1"/>
      </w:pPr>
      <w:r>
        <w:t xml:space="preserve">6. Données</w:t>
      </w:r>
    </w:p>
    <w:p>
      <w:pPr>
        <w:pStyle w:val="Heading2"/>
        <w:keepNext/>
      </w:pPr>
      <w:r>
        <w:t xml:space="preserve">6.1 Modèle du domaine</w:t>
      </w:r>
    </w:p>
    <w:p>
      <w:pPr>
        <w:spacing w:after="100" w:line="276"/>
      </w:pPr>
      <w:r>
        <w:t xml:space="preserve">Le modèle reprend l’AF §10 et le précise pour l’implémentation. Les identifiants exposés sont des UUID (non prévisibles).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5300"/>
        <w:gridCol w:w="2604"/>
      </w:tblGrid>
      <w:tr>
        <w:trPr>
          <w:tblHeader/>
        </w:trPr>
        <w:tc>
          <w:tcPr>
            <w:tcW w:type="dxa" w:w="1734"/>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Entité</w:t>
            </w:r>
          </w:p>
        </w:tc>
        <w:tc>
          <w:tcPr>
            <w:tcW w:type="dxa" w:w="5300"/>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Attributs principaux</w:t>
            </w:r>
          </w:p>
        </w:tc>
        <w:tc>
          <w:tcPr>
            <w:tcW w:type="dxa" w:w="2604"/>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Relations</w:t>
            </w:r>
          </w:p>
        </w:tc>
      </w:tr>
      <w:tr>
        <w:trPr>
          <w:cantSplit/>
        </w:trPr>
        <w:tc>
          <w:tcPr>
            <w:tcW w:type="dxa" w:w="1734"/>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Utilisateur</w:t>
            </w:r>
          </w:p>
        </w:tc>
        <w:tc>
          <w:tcPr>
            <w:tcW w:type="dxa" w:w="530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id, nom, identifiant, hash du mot de passe, rôle, catégorie, actif, échecs de connexion, bloqué jusqu’à</w:t>
            </w:r>
          </w:p>
        </w:tc>
        <w:tc>
          <w:tcPr>
            <w:tcW w:type="dxa" w:w="2604"/>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Auteur des dossiers, transitions et décisions</w:t>
            </w:r>
          </w:p>
        </w:tc>
      </w:tr>
      <w:tr>
        <w:trPr>
          <w:cantSplit/>
        </w:trPr>
        <w:tc>
          <w:tcPr>
            <w:tcW w:type="dxa" w:w="1734"/>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Demandeur</w:t>
            </w:r>
          </w:p>
        </w:tc>
        <w:tc>
          <w:tcPr>
            <w:tcW w:type="dxa" w:w="530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id, nom, prénom, téléphone, e-mail, date de naissance</w:t>
            </w:r>
          </w:p>
        </w:tc>
        <w:tc>
          <w:tcPr>
            <w:tcW w:type="dxa" w:w="2604"/>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1 demandeur — N dossiers</w:t>
            </w:r>
          </w:p>
        </w:tc>
      </w:tr>
      <w:tr>
        <w:trPr>
          <w:cantSplit/>
        </w:trPr>
        <w:tc>
          <w:tcPr>
            <w:tcW w:type="dxa" w:w="1734"/>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TypeDemarche</w:t>
            </w:r>
          </w:p>
        </w:tc>
        <w:tc>
          <w:tcPr>
            <w:tcW w:type="dxa" w:w="530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code, libellé, catégorie (ETAT_CIVIL, CERTIFICATION), actif</w:t>
            </w:r>
          </w:p>
        </w:tc>
        <w:tc>
          <w:tcPr>
            <w:tcW w:type="dxa" w:w="2604"/>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1 type — N pièces requises ; 1 type — N dossiers</w:t>
            </w:r>
          </w:p>
        </w:tc>
      </w:tr>
      <w:tr>
        <w:trPr>
          <w:cantSplit/>
        </w:trPr>
        <w:tc>
          <w:tcPr>
            <w:tcW w:type="dxa" w:w="1734"/>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PieceRequise</w:t>
            </w:r>
          </w:p>
        </w:tc>
        <w:tc>
          <w:tcPr>
            <w:tcW w:type="dxa" w:w="530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id, code, libellé, obligatoire, actif</w:t>
            </w:r>
          </w:p>
        </w:tc>
        <w:tc>
          <w:tcPr>
            <w:tcW w:type="dxa" w:w="2604"/>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Appartient à un type de démarche</w:t>
            </w:r>
          </w:p>
        </w:tc>
      </w:tr>
      <w:tr>
        <w:trPr>
          <w:cantSplit/>
        </w:trPr>
        <w:tc>
          <w:tcPr>
            <w:tcW w:type="dxa" w:w="1734"/>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Dossier</w:t>
            </w:r>
          </w:p>
        </w:tc>
        <w:tc>
          <w:tcPr>
            <w:tcW w:type="dxa" w:w="530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id, référence, type, objet, données spécifiques (JSON validé), clé de doublon, statut, créateur, instructeur, dates de création et de mise à jour, version</w:t>
            </w:r>
          </w:p>
        </w:tc>
        <w:tc>
          <w:tcPr>
            <w:tcW w:type="dxa" w:w="2604"/>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Lié à demandeur, type, utilisateurs</w:t>
            </w:r>
          </w:p>
        </w:tc>
      </w:tr>
      <w:tr>
        <w:trPr>
          <w:cantSplit/>
        </w:trPr>
        <w:tc>
          <w:tcPr>
            <w:tcW w:type="dxa" w:w="1734"/>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PieceFournie</w:t>
            </w:r>
          </w:p>
        </w:tc>
        <w:tc>
          <w:tcPr>
            <w:tcW w:type="dxa" w:w="530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id, pièce requise, date de réception, état (CONFORME, A_CORRIGER, RETIREE), observation</w:t>
            </w:r>
          </w:p>
        </w:tc>
        <w:tc>
          <w:tcPr>
            <w:tcW w:type="dxa" w:w="2604"/>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N pièces — 1 dossier</w:t>
            </w:r>
          </w:p>
        </w:tc>
      </w:tr>
      <w:tr>
        <w:trPr>
          <w:cantSplit/>
        </w:trPr>
        <w:tc>
          <w:tcPr>
            <w:tcW w:type="dxa" w:w="1734"/>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Decision</w:t>
            </w:r>
          </w:p>
        </w:tc>
        <w:tc>
          <w:tcPr>
            <w:tcW w:type="dxa" w:w="530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id, issue, motif, date, auteur</w:t>
            </w:r>
          </w:p>
        </w:tc>
        <w:tc>
          <w:tcPr>
            <w:tcW w:type="dxa" w:w="2604"/>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0..1 décision — 1 dossier</w:t>
            </w:r>
          </w:p>
        </w:tc>
      </w:tr>
      <w:tr>
        <w:trPr>
          <w:cantSplit/>
        </w:trPr>
        <w:tc>
          <w:tcPr>
            <w:tcW w:type="dxa" w:w="1734"/>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EvenementHistorique</w:t>
            </w:r>
          </w:p>
        </w:tc>
        <w:tc>
          <w:tcPr>
            <w:tcW w:type="dxa" w:w="530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id, numéro d’ordre, type, ancien statut, nouveau statut, auteur, date, commentaire ou motif</w:t>
            </w:r>
          </w:p>
        </w:tc>
        <w:tc>
          <w:tcPr>
            <w:tcW w:type="dxa" w:w="2604"/>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N événements — 1 dossier (ajout seul)</w:t>
            </w:r>
          </w:p>
        </w:tc>
      </w:tr>
      <w:tr>
        <w:trPr>
          <w:cantSplit/>
        </w:trPr>
        <w:tc>
          <w:tcPr>
            <w:tcW w:type="dxa" w:w="1734"/>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ReferenceSynchro</w:t>
            </w:r>
          </w:p>
        </w:tc>
        <w:tc>
          <w:tcPr>
            <w:tcW w:type="dxa" w:w="530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id, type d’objet interne, id interne, type Pipedrive (person, deal, activity), id Pipedrive, état (SYNCHRONISE, EN_ATTENTE, ECHEC), tentatives, prochaine tentative, dernière erreur, clé d’idempotence (unique)</w:t>
            </w:r>
          </w:p>
        </w:tc>
        <w:tc>
          <w:tcPr>
            <w:tcW w:type="dxa" w:w="2604"/>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Associe un objet interne à une ressource externe</w:t>
            </w:r>
          </w:p>
        </w:tc>
      </w:tr>
      <w:tr>
        <w:trPr>
          <w:cantSplit/>
        </w:trPr>
        <w:tc>
          <w:tcPr>
            <w:tcW w:type="dxa" w:w="1734"/>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EvenementOutbox</w:t>
            </w:r>
          </w:p>
        </w:tc>
        <w:tc>
          <w:tcPr>
            <w:tcW w:type="dxa" w:w="530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id, type, charge utile minimale, date de création, traité</w:t>
            </w:r>
          </w:p>
        </w:tc>
        <w:tc>
          <w:tcPr>
            <w:tcW w:type="dxa" w:w="2604"/>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Créé dans la transaction métier ; consommé par le worker</w:t>
            </w:r>
          </w:p>
        </w:tc>
      </w:tr>
      <w:tr>
        <w:trPr>
          <w:cantSplit/>
        </w:trPr>
        <w:tc>
          <w:tcPr>
            <w:tcW w:type="dxa" w:w="1734"/>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JournalTechnique</w:t>
            </w:r>
          </w:p>
        </w:tc>
        <w:tc>
          <w:tcPr>
            <w:tcW w:type="dxa" w:w="530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id, date, niveau, opération, résultat, code d’erreur, durée, corrélation</w:t>
            </w:r>
          </w:p>
        </w:tc>
        <w:tc>
          <w:tcPr>
            <w:tcW w:type="dxa" w:w="2604"/>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Sans secret ni donnée sensible</w:t>
            </w:r>
          </w:p>
        </w:tc>
      </w:tr>
    </w:tbl>
    <w:p>
      <w:pPr>
        <w:spacing w:after="80"/>
      </w:pPr>
    </w:p>
    <w:p>
      <w:pPr>
        <w:pStyle w:val="Heading2"/>
        <w:keepNext/>
      </w:pPr>
      <w:r>
        <w:t xml:space="preserve">6.2 Données spécifiques par démarche</w:t>
      </w:r>
    </w:p>
    <w:p>
      <w:pPr>
        <w:spacing w:after="100" w:line="276"/>
      </w:pPr>
      <w:r>
        <w:t xml:space="preserve">Chaque démarche définit un schéma de données spécifiques, une clé de doublon (RM02) et une liste de pièces requises. Les pièces sont des hypothèses de travail (AF H4, point ouvert P2) et restent paramétrables (UC16).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31"/>
        <w:gridCol w:w="2987"/>
        <w:gridCol w:w="1927"/>
        <w:gridCol w:w="2893"/>
      </w:tblGrid>
      <w:tr>
        <w:trPr>
          <w:tblHeader/>
        </w:trPr>
        <w:tc>
          <w:tcPr>
            <w:tcW w:type="dxa" w:w="1831"/>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Démarche (code)</w:t>
            </w:r>
          </w:p>
        </w:tc>
        <w:tc>
          <w:tcPr>
            <w:tcW w:type="dxa" w:w="2987"/>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Données spécifiques</w:t>
            </w:r>
          </w:p>
        </w:tc>
        <w:tc>
          <w:tcPr>
            <w:tcW w:type="dxa" w:w="1927"/>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Clé de doublon</w:t>
            </w:r>
          </w:p>
        </w:tc>
        <w:tc>
          <w:tcPr>
            <w:tcW w:type="dxa" w:w="2893"/>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Pièces requises (hypothèse)</w:t>
            </w:r>
          </w:p>
        </w:tc>
      </w:tr>
      <w:tr>
        <w:trPr>
          <w:cantSplit/>
        </w:trPr>
        <w:tc>
          <w:tcPr>
            <w:tcW w:type="dxa" w:w="1831"/>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Acte de mariage (MARIAGE)</w:t>
            </w:r>
          </w:p>
        </w:tc>
        <w:tc>
          <w:tcPr>
            <w:tcW w:type="dxa" w:w="2987"/>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Époux 1 et 2 (nom, prénom, date de naissance), date de célébration prévue, témoins (2 à 4 : nom, prénom)</w:t>
            </w:r>
          </w:p>
        </w:tc>
        <w:tc>
          <w:tcPr>
            <w:tcW w:type="dxa" w:w="1927"/>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Noms normalisés et dates de naissance des deux époux</w:t>
            </w:r>
          </w:p>
        </w:tc>
        <w:tc>
          <w:tcPr>
            <w:tcW w:type="dxa" w:w="289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Pièces d’identité des époux ; extraits d’acte de naissance ; justificatifs de résidence ; pièces d’identité des témoins</w:t>
            </w:r>
          </w:p>
        </w:tc>
      </w:tr>
      <w:tr>
        <w:trPr>
          <w:cantSplit/>
        </w:trPr>
        <w:tc>
          <w:tcPr>
            <w:tcW w:type="dxa" w:w="1831"/>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Acte de décès (DECES)</w:t>
            </w:r>
          </w:p>
        </w:tc>
        <w:tc>
          <w:tcPr>
            <w:tcW w:type="dxa" w:w="2987"/>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Défunt (nom, prénom, date de naissance), date et lieu du décès, lien du déclarant avec le défunt</w:t>
            </w:r>
          </w:p>
        </w:tc>
        <w:tc>
          <w:tcPr>
            <w:tcW w:type="dxa" w:w="1927"/>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Nom normalisé du défunt et date du décès</w:t>
            </w:r>
          </w:p>
        </w:tc>
        <w:tc>
          <w:tcPr>
            <w:tcW w:type="dxa" w:w="289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Certificat de décès ; pièce d’identité du défunt ; pièce d’identité du déclarant</w:t>
            </w:r>
          </w:p>
        </w:tc>
      </w:tr>
      <w:tr>
        <w:trPr>
          <w:cantSplit/>
        </w:trPr>
        <w:tc>
          <w:tcPr>
            <w:tcW w:type="dxa" w:w="1831"/>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Copie d’acte (COPIE_ACTE)</w:t>
            </w:r>
          </w:p>
        </w:tc>
        <w:tc>
          <w:tcPr>
            <w:tcW w:type="dxa" w:w="2987"/>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Type d’acte (MARIAGE ou DECES), numéro, année, centre d’état civil, nombre de copies (1 à 10), qualité du demandeur</w:t>
            </w:r>
          </w:p>
        </w:tc>
        <w:tc>
          <w:tcPr>
            <w:tcW w:type="dxa" w:w="1927"/>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Type, numéro, année, centre et demandeur</w:t>
            </w:r>
          </w:p>
        </w:tc>
        <w:tc>
          <w:tcPr>
            <w:tcW w:type="dxa" w:w="289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Pièce d’identité du demandeur ; justificatif de qualité si requis</w:t>
            </w:r>
          </w:p>
        </w:tc>
      </w:tr>
      <w:tr>
        <w:trPr>
          <w:cantSplit/>
        </w:trPr>
        <w:tc>
          <w:tcPr>
            <w:tcW w:type="dxa" w:w="1831"/>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Légalisation de signature (LEGALISATION)</w:t>
            </w:r>
          </w:p>
        </w:tc>
        <w:tc>
          <w:tcPr>
            <w:tcW w:type="dxa" w:w="2987"/>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Intitulé du document, signataire (nom, prénom, qualité), nombre d’exemplaires</w:t>
            </w:r>
          </w:p>
        </w:tc>
        <w:tc>
          <w:tcPr>
            <w:tcW w:type="dxa" w:w="1927"/>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Demandeur, signataire et intitulé du document</w:t>
            </w:r>
          </w:p>
        </w:tc>
        <w:tc>
          <w:tcPr>
            <w:tcW w:type="dxa" w:w="289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Document signé ; pièce d’identité du signataire</w:t>
            </w:r>
          </w:p>
        </w:tc>
      </w:tr>
      <w:tr>
        <w:trPr>
          <w:cantSplit/>
        </w:trPr>
        <w:tc>
          <w:tcPr>
            <w:tcW w:type="dxa" w:w="1831"/>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Certification conforme (CERTIFICATION_CONFORME)</w:t>
            </w:r>
          </w:p>
        </w:tc>
        <w:tc>
          <w:tcPr>
            <w:tcW w:type="dxa" w:w="2987"/>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Intitulé du document original, nombre de copies (1 à 20)</w:t>
            </w:r>
          </w:p>
        </w:tc>
        <w:tc>
          <w:tcPr>
            <w:tcW w:type="dxa" w:w="1927"/>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Demandeur et intitulé du document</w:t>
            </w:r>
          </w:p>
        </w:tc>
        <w:tc>
          <w:tcPr>
            <w:tcW w:type="dxa" w:w="289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Original présenté ; copies à certifier ; pièce d’identité du demandeur</w:t>
            </w:r>
          </w:p>
        </w:tc>
      </w:tr>
    </w:tbl>
    <w:p>
      <w:pPr>
        <w:spacing w:after="80"/>
      </w:pPr>
    </w:p>
    <w:p>
      <w:pPr>
        <w:pBdr>
          <w:left w:val="single" w:color="2E75B6" w:sz="18" w:space="6"/>
        </w:pBdr>
        <w:shd w:fill="EAF1F8" w:color="auto" w:val="clear"/>
        <w:spacing w:after="140" w:before="80" w:line="264"/>
        <w:ind w:left="120" w:right="120"/>
      </w:pPr>
      <w:r>
        <w:rPr>
          <w:b/>
          <w:bCs/>
          <w:color w:val="2E75B6"/>
          <w:sz w:val="19"/>
          <w:szCs w:val="19"/>
        </w:rPr>
        <w:t xml:space="preserve">Remarque — </w:t>
      </w:r>
      <w:r>
        <w:rPr>
          <w:sz w:val="19"/>
          <w:szCs w:val="19"/>
        </w:rPr>
        <w:t xml:space="preserve">Pour la copie d’acte, la valeur NAISSANCE du type d’acte est rejetée par RM08. Les données du défunt, des époux et des témoins restent dans la base du projet et ne sont jamais transmises à Pipedrive (RI05).</w:t>
      </w:r>
    </w:p>
    <w:p>
      <w:pPr>
        <w:pStyle w:val="Heading2"/>
        <w:keepNext/>
      </w:pPr>
      <w:r>
        <w:t xml:space="preserve">6.3 Contraintes de validation (AF §9.3)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6940"/>
      </w:tblGrid>
      <w:tr>
        <w:trPr>
          <w:tblHeader/>
        </w:trPr>
        <w:tc>
          <w:tcPr>
            <w:tcW w:type="dxa" w:w="2698"/>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Champ</w:t>
            </w:r>
          </w:p>
        </w:tc>
        <w:tc>
          <w:tcPr>
            <w:tcW w:type="dxa" w:w="6940"/>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Contrainte</w:t>
            </w:r>
          </w:p>
        </w:tc>
      </w:tr>
      <w:tr>
        <w:trPr>
          <w:cantSplit/>
        </w:trPr>
        <w:tc>
          <w:tcPr>
            <w:tcW w:type="dxa" w:w="2698"/>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Nom, prénom</w:t>
            </w:r>
          </w:p>
        </w:tc>
        <w:tc>
          <w:tcPr>
            <w:tcW w:type="dxa" w:w="694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Obligatoires, 2 à 80 caractères ; lettres (accents compris), espaces, tirets et apostrophes.</w:t>
            </w:r>
          </w:p>
        </w:tc>
      </w:tr>
      <w:tr>
        <w:trPr>
          <w:cantSplit/>
        </w:trPr>
        <w:tc>
          <w:tcPr>
            <w:tcW w:type="dxa" w:w="2698"/>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Téléphone</w:t>
            </w:r>
          </w:p>
        </w:tc>
        <w:tc>
          <w:tcPr>
            <w:tcW w:type="dxa" w:w="694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Format normalisé </w:t>
            </w:r>
            <w:r>
              <w:rPr>
                <w:rFonts w:ascii="Consolas" w:cs="Consolas" w:eastAsia="Consolas" w:hAnsi="Consolas"/>
                <w:color w:val="7A2E0E"/>
                <w:sz w:val="15"/>
                <w:szCs w:val="15"/>
              </w:rPr>
              <w:t xml:space="preserve">+237</w:t>
            </w:r>
            <w:r>
              <w:rPr>
                <w:sz w:val="18"/>
                <w:szCs w:val="18"/>
              </w:rPr>
              <w:t xml:space="preserve"> suivi de 9 chiffres ; facultatif si l’e-mail est présent (au moins l’un des deux).</w:t>
            </w:r>
          </w:p>
        </w:tc>
      </w:tr>
      <w:tr>
        <w:trPr>
          <w:cantSplit/>
        </w:trPr>
        <w:tc>
          <w:tcPr>
            <w:tcW w:type="dxa" w:w="2698"/>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E-mail</w:t>
            </w:r>
          </w:p>
        </w:tc>
        <w:tc>
          <w:tcPr>
            <w:tcW w:type="dxa" w:w="694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Format valide, 254 caractères au plus ; facultatif si le téléphone est présent.</w:t>
            </w:r>
          </w:p>
        </w:tc>
      </w:tr>
      <w:tr>
        <w:trPr>
          <w:cantSplit/>
        </w:trPr>
        <w:tc>
          <w:tcPr>
            <w:tcW w:type="dxa" w:w="2698"/>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Dates (naissance, décès)</w:t>
            </w:r>
          </w:p>
        </w:tc>
        <w:tc>
          <w:tcPr>
            <w:tcW w:type="dxa" w:w="694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Date ISO 8601 valide, non future.</w:t>
            </w:r>
          </w:p>
        </w:tc>
      </w:tr>
      <w:tr>
        <w:trPr>
          <w:cantSplit/>
        </w:trPr>
        <w:tc>
          <w:tcPr>
            <w:tcW w:type="dxa" w:w="2698"/>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Date de mariage prévue</w:t>
            </w:r>
          </w:p>
        </w:tc>
        <w:tc>
          <w:tcPr>
            <w:tcW w:type="dxa" w:w="694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Date ISO 8601, future ou du jour.</w:t>
            </w:r>
          </w:p>
        </w:tc>
      </w:tr>
      <w:tr>
        <w:trPr>
          <w:cantSplit/>
        </w:trPr>
        <w:tc>
          <w:tcPr>
            <w:tcW w:type="dxa" w:w="2698"/>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Type de démarche</w:t>
            </w:r>
          </w:p>
        </w:tc>
        <w:tc>
          <w:tcPr>
            <w:tcW w:type="dxa" w:w="694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Appartient au registre et est actif ; NAISSANCE refusée (RM08).</w:t>
            </w:r>
          </w:p>
        </w:tc>
      </w:tr>
      <w:tr>
        <w:trPr>
          <w:cantSplit/>
        </w:trPr>
        <w:tc>
          <w:tcPr>
            <w:tcW w:type="dxa" w:w="2698"/>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Motif</w:t>
            </w:r>
          </w:p>
        </w:tc>
        <w:tc>
          <w:tcPr>
            <w:tcW w:type="dxa" w:w="694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Obligatoire pour rejet, annulation et blocage ; 10 à 500 caractères.</w:t>
            </w:r>
          </w:p>
        </w:tc>
      </w:tr>
      <w:tr>
        <w:trPr>
          <w:cantSplit/>
        </w:trPr>
        <w:tc>
          <w:tcPr>
            <w:tcW w:type="dxa" w:w="2698"/>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Identifiants de ressources</w:t>
            </w:r>
          </w:p>
        </w:tc>
        <w:tc>
          <w:tcPr>
            <w:tcW w:type="dxa" w:w="694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UUID ; accès vérifié contre le rôle et la catégorie.</w:t>
            </w:r>
          </w:p>
        </w:tc>
      </w:tr>
      <w:tr>
        <w:trPr>
          <w:cantSplit/>
        </w:trPr>
        <w:tc>
          <w:tcPr>
            <w:tcW w:type="dxa" w:w="2698"/>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Pagination</w:t>
            </w:r>
          </w:p>
        </w:tc>
        <w:tc>
          <w:tcPr>
            <w:tcW w:type="dxa" w:w="694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page</w:t>
            </w:r>
            <w:r>
              <w:rPr>
                <w:sz w:val="18"/>
                <w:szCs w:val="18"/>
              </w:rPr>
              <w:t xml:space="preserve"> ≥ 1 ; </w:t>
            </w:r>
            <w:r>
              <w:rPr>
                <w:rFonts w:ascii="Consolas" w:cs="Consolas" w:eastAsia="Consolas" w:hAnsi="Consolas"/>
                <w:color w:val="7A2E0E"/>
                <w:sz w:val="15"/>
                <w:szCs w:val="15"/>
              </w:rPr>
              <w:t xml:space="preserve">taille</w:t>
            </w:r>
            <w:r>
              <w:rPr>
                <w:sz w:val="18"/>
                <w:szCs w:val="18"/>
              </w:rPr>
              <w:t xml:space="preserve"> entre 1 et 100.</w:t>
            </w:r>
          </w:p>
        </w:tc>
      </w:tr>
    </w:tbl>
    <w:p>
      <w:pPr>
        <w:spacing w:after="80"/>
      </w:pPr>
    </w:p>
    <w:p>
      <w:pPr>
        <w:pStyle w:val="Heading1"/>
      </w:pPr>
      <w:r>
        <w:t xml:space="preserve">7. Contrat de l’API exposée</w:t>
      </w:r>
    </w:p>
    <w:p>
      <w:pPr>
        <w:pStyle w:val="Heading2"/>
        <w:keepNext/>
      </w:pPr>
      <w:r>
        <w:t xml:space="preserve">7.1 Conventions</w:t>
      </w:r>
    </w:p>
    <w:p>
      <w:pPr>
        <w:pStyle w:val="ListParagraph"/>
        <w:numPr>
          <w:ilvl w:val="0"/>
          <w:numId w:val="2"/>
        </w:numPr>
        <w:spacing w:after="60" w:line="264"/>
      </w:pPr>
      <w:r>
        <w:t xml:space="preserve">Base : </w:t>
      </w:r>
      <w:r>
        <w:rPr>
          <w:rFonts w:ascii="Consolas" w:cs="Consolas" w:eastAsia="Consolas" w:hAnsi="Consolas"/>
          <w:color w:val="7A2E0E"/>
          <w:sz w:val="17"/>
          <w:szCs w:val="17"/>
        </w:rPr>
        <w:t xml:space="preserve">/api/v1</w:t>
      </w:r>
      <w:r>
        <w:t xml:space="preserve"> ; JSON UTF-8 ; dates en ISO 8601 (UTC) ; noms de champs en </w:t>
      </w:r>
      <w:r>
        <w:rPr>
          <w:rFonts w:ascii="Consolas" w:cs="Consolas" w:eastAsia="Consolas" w:hAnsi="Consolas"/>
          <w:color w:val="7A2E0E"/>
          <w:sz w:val="17"/>
          <w:szCs w:val="17"/>
        </w:rPr>
        <w:t xml:space="preserve">snake_case</w:t>
      </w:r>
      <w:r>
        <w:t xml:space="preserve">.</w:t>
      </w:r>
    </w:p>
    <w:p>
      <w:pPr>
        <w:pStyle w:val="ListParagraph"/>
        <w:numPr>
          <w:ilvl w:val="0"/>
          <w:numId w:val="2"/>
        </w:numPr>
        <w:spacing w:after="60" w:line="264"/>
      </w:pPr>
      <w:r>
        <w:t xml:space="preserve">Authentification : en-tête </w:t>
      </w:r>
      <w:r>
        <w:rPr>
          <w:rFonts w:ascii="Consolas" w:cs="Consolas" w:eastAsia="Consolas" w:hAnsi="Consolas"/>
          <w:color w:val="7A2E0E"/>
          <w:sz w:val="17"/>
          <w:szCs w:val="17"/>
        </w:rPr>
        <w:t xml:space="preserve">Authorization: Bearer &lt;jeton&gt;</w:t>
      </w:r>
      <w:r>
        <w:t xml:space="preserve">.</w:t>
      </w:r>
    </w:p>
    <w:p>
      <w:pPr>
        <w:pStyle w:val="ListParagraph"/>
        <w:numPr>
          <w:ilvl w:val="0"/>
          <w:numId w:val="2"/>
        </w:numPr>
        <w:spacing w:after="60" w:line="264"/>
      </w:pPr>
      <w:r>
        <w:t xml:space="preserve">Corrélation : en-tête </w:t>
      </w:r>
      <w:r>
        <w:rPr>
          <w:rFonts w:ascii="Consolas" w:cs="Consolas" w:eastAsia="Consolas" w:hAnsi="Consolas"/>
          <w:color w:val="7A2E0E"/>
          <w:sz w:val="17"/>
          <w:szCs w:val="17"/>
        </w:rPr>
        <w:t xml:space="preserve">X-Correlation-Id</w:t>
      </w:r>
      <w:r>
        <w:t xml:space="preserve"> accepté en entrée (sinon généré) et renvoyé dans chaque réponse.</w:t>
      </w:r>
    </w:p>
    <w:p>
      <w:pPr>
        <w:pStyle w:val="ListParagraph"/>
        <w:numPr>
          <w:ilvl w:val="0"/>
          <w:numId w:val="2"/>
        </w:numPr>
        <w:spacing w:after="60" w:line="264"/>
      </w:pPr>
      <w:r>
        <w:t xml:space="preserve">Documentation : OpenAPI 3.1 générée et publiée sur </w:t>
      </w:r>
      <w:r>
        <w:rPr>
          <w:rFonts w:ascii="Consolas" w:cs="Consolas" w:eastAsia="Consolas" w:hAnsi="Consolas"/>
          <w:color w:val="7A2E0E"/>
          <w:sz w:val="17"/>
          <w:szCs w:val="17"/>
        </w:rPr>
        <w:t xml:space="preserve">/docs</w:t>
      </w:r>
      <w:r>
        <w:t xml:space="preserve"> et </w:t>
      </w:r>
      <w:r>
        <w:rPr>
          <w:rFonts w:ascii="Consolas" w:cs="Consolas" w:eastAsia="Consolas" w:hAnsi="Consolas"/>
          <w:color w:val="7A2E0E"/>
          <w:sz w:val="17"/>
          <w:szCs w:val="17"/>
        </w:rPr>
        <w:t xml:space="preserve">/openapi.json</w:t>
      </w:r>
      <w:r>
        <w:t xml:space="preserve">, avec exemples et erreurs possibles par endpoint (EF13).</w:t>
      </w:r>
    </w:p>
    <w:p>
      <w:pPr>
        <w:pStyle w:val="ListParagraph"/>
        <w:numPr>
          <w:ilvl w:val="0"/>
          <w:numId w:val="2"/>
        </w:numPr>
        <w:spacing w:after="60" w:line="264"/>
      </w:pPr>
      <w:r>
        <w:t xml:space="preserve">Concurrence : chaque dossier porte une version. Une écriture concurrente sur une version obsolète renvoie 409 </w:t>
      </w:r>
      <w:r>
        <w:rPr>
          <w:rFonts w:ascii="Consolas" w:cs="Consolas" w:eastAsia="Consolas" w:hAnsi="Consolas"/>
          <w:color w:val="7A2E0E"/>
          <w:sz w:val="17"/>
          <w:szCs w:val="17"/>
        </w:rPr>
        <w:t xml:space="preserve">CONFLIT_DE_VERSION</w:t>
      </w:r>
      <w:r>
        <w:t xml:space="preserve">.</w:t>
      </w:r>
    </w:p>
    <w:p>
      <w:pPr>
        <w:spacing w:after="100" w:line="276"/>
      </w:pPr>
      <w:r>
        <w:t xml:space="preserve">Exemple de réponse de </w:t>
      </w:r>
      <w:r>
        <w:rPr>
          <w:rFonts w:ascii="Consolas" w:cs="Consolas" w:eastAsia="Consolas" w:hAnsi="Consolas"/>
          <w:color w:val="7A2E0E"/>
          <w:sz w:val="17"/>
          <w:szCs w:val="17"/>
        </w:rPr>
        <w:t xml:space="preserve">POST /dossiers</w:t>
      </w:r>
      <w:r>
        <w:t xml:space="preserve"> :</w:t>
      </w:r>
    </w:p>
    <w:p>
      <w:pPr>
        <w:keepNext/>
        <w:keepLines/>
        <w:shd w:fill="F4F4F4" w:color="auto" w:val="clear"/>
        <w:spacing w:after="0" w:before="60" w:line="240"/>
        <w:ind w:left="120" w:right="120"/>
      </w:pPr>
      <w:r>
        <w:rPr>
          <w:rFonts w:ascii="Consolas" w:cs="Consolas" w:eastAsia="Consolas" w:hAnsi="Consolas"/>
          <w:color w:val="1B1B1B"/>
          <w:sz w:val="16"/>
          <w:szCs w:val="16"/>
        </w:rPr>
        <w:t xml:space="preserve">HTTP/1.1 201 Created</w:t>
      </w:r>
    </w:p>
    <w:p>
      <w:pPr>
        <w:keepNext/>
        <w:keepLines/>
        <w:shd w:fill="F4F4F4" w:color="auto" w:val="clear"/>
        <w:spacing w:after="0" w:before="0" w:line="240"/>
        <w:ind w:left="120" w:right="120"/>
      </w:pPr>
      <w:r>
        <w:rPr>
          <w:rFonts w:ascii="Consolas" w:cs="Consolas" w:eastAsia="Consolas" w:hAnsi="Consolas"/>
          <w:color w:val="1B1B1B"/>
          <w:sz w:val="16"/>
          <w:szCs w:val="16"/>
        </w:rPr>
        <w:t xml:space="preserve">X-Correlation-Id: 6f1c2a9e-1b7d-4d57-9a3e-0f5d2c7b8e11</w:t>
      </w:r>
    </w:p>
    <w:p>
      <w:pPr>
        <w:keepNext/>
        <w:keepLines/>
        <w:shd w:fill="F4F4F4" w:color="auto" w:val="clear"/>
        <w:spacing w:after="0" w:before="0" w:line="240"/>
        <w:ind w:left="120" w:right="120"/>
      </w:pPr>
      <w:r>
        <w:rPr>
          <w:rFonts w:ascii="Consolas" w:cs="Consolas" w:eastAsia="Consolas" w:hAnsi="Consolas"/>
          <w:color w:val="1B1B1B"/>
          <w:sz w:val="16"/>
          <w:szCs w:val="16"/>
        </w:rPr>
        <w:t xml:space="preserve">{</w:t>
      </w:r>
    </w:p>
    <w:p>
      <w:pPr>
        <w:keepNext/>
        <w:keepLines/>
        <w:shd w:fill="F4F4F4" w:color="auto" w:val="clear"/>
        <w:spacing w:after="0" w:before="0" w:line="240"/>
        <w:ind w:left="120" w:right="120"/>
      </w:pPr>
      <w:r>
        <w:rPr>
          <w:rFonts w:ascii="Consolas" w:cs="Consolas" w:eastAsia="Consolas" w:hAnsi="Consolas"/>
          <w:color w:val="1B1B1B"/>
          <w:sz w:val="16"/>
          <w:szCs w:val="16"/>
        </w:rPr>
        <w:t xml:space="preserve">  "id": "0b9d6a3e-6f0a-4c1e-9f7e-2a51a7d3c4b2",</w:t>
      </w:r>
    </w:p>
    <w:p>
      <w:pPr>
        <w:keepNext/>
        <w:keepLines/>
        <w:shd w:fill="F4F4F4" w:color="auto" w:val="clear"/>
        <w:spacing w:after="0" w:before="0" w:line="240"/>
        <w:ind w:left="120" w:right="120"/>
      </w:pPr>
      <w:r>
        <w:rPr>
          <w:rFonts w:ascii="Consolas" w:cs="Consolas" w:eastAsia="Consolas" w:hAnsi="Consolas"/>
          <w:color w:val="1B1B1B"/>
          <w:sz w:val="16"/>
          <w:szCs w:val="16"/>
        </w:rPr>
        <w:t xml:space="preserve">  "reference": "ACT-2026-000123",</w:t>
      </w:r>
    </w:p>
    <w:p>
      <w:pPr>
        <w:keepNext/>
        <w:keepLines/>
        <w:shd w:fill="F4F4F4" w:color="auto" w:val="clear"/>
        <w:spacing w:after="0" w:before="0" w:line="240"/>
        <w:ind w:left="120" w:right="120"/>
      </w:pPr>
      <w:r>
        <w:rPr>
          <w:rFonts w:ascii="Consolas" w:cs="Consolas" w:eastAsia="Consolas" w:hAnsi="Consolas"/>
          <w:color w:val="1B1B1B"/>
          <w:sz w:val="16"/>
          <w:szCs w:val="16"/>
        </w:rPr>
        <w:t xml:space="preserve">  "type_demarche": "DECES",</w:t>
      </w:r>
    </w:p>
    <w:p>
      <w:pPr>
        <w:keepNext/>
        <w:keepLines/>
        <w:shd w:fill="F4F4F4" w:color="auto" w:val="clear"/>
        <w:spacing w:after="0" w:before="0" w:line="240"/>
        <w:ind w:left="120" w:right="120"/>
      </w:pPr>
      <w:r>
        <w:rPr>
          <w:rFonts w:ascii="Consolas" w:cs="Consolas" w:eastAsia="Consolas" w:hAnsi="Consolas"/>
          <w:color w:val="1B1B1B"/>
          <w:sz w:val="16"/>
          <w:szCs w:val="16"/>
        </w:rPr>
        <w:t xml:space="preserve">  "statut": "BROUILLON",</w:t>
      </w:r>
    </w:p>
    <w:p>
      <w:pPr>
        <w:keepNext/>
        <w:keepLines/>
        <w:shd w:fill="F4F4F4" w:color="auto" w:val="clear"/>
        <w:spacing w:after="0" w:before="0" w:line="240"/>
        <w:ind w:left="120" w:right="120"/>
      </w:pPr>
      <w:r>
        <w:rPr>
          <w:rFonts w:ascii="Consolas" w:cs="Consolas" w:eastAsia="Consolas" w:hAnsi="Consolas"/>
          <w:color w:val="1B1B1B"/>
          <w:sz w:val="16"/>
          <w:szCs w:val="16"/>
        </w:rPr>
        <w:t xml:space="preserve">  "demandeur": { "id": "…", "nom": "MBALLA", "prenom": "Jean", "telephone": "+237690000000" },</w:t>
      </w:r>
    </w:p>
    <w:p>
      <w:pPr>
        <w:keepNext/>
        <w:keepLines/>
        <w:shd w:fill="F4F4F4" w:color="auto" w:val="clear"/>
        <w:spacing w:after="0" w:before="0" w:line="240"/>
        <w:ind w:left="120" w:right="120"/>
      </w:pPr>
      <w:r>
        <w:rPr>
          <w:rFonts w:ascii="Consolas" w:cs="Consolas" w:eastAsia="Consolas" w:hAnsi="Consolas"/>
          <w:color w:val="1B1B1B"/>
          <w:sz w:val="16"/>
          <w:szCs w:val="16"/>
        </w:rPr>
        <w:t xml:space="preserve">  "pieces_requises": [ { "code": "CERTIFICAT_DECES", "libelle": "Certificat de décès", "obligatoire": true } ],</w:t>
      </w:r>
    </w:p>
    <w:p>
      <w:pPr>
        <w:keepNext/>
        <w:keepLines/>
        <w:shd w:fill="F4F4F4" w:color="auto" w:val="clear"/>
        <w:spacing w:after="0" w:before="0" w:line="240"/>
        <w:ind w:left="120" w:right="120"/>
      </w:pPr>
      <w:r>
        <w:rPr>
          <w:rFonts w:ascii="Consolas" w:cs="Consolas" w:eastAsia="Consolas" w:hAnsi="Consolas"/>
          <w:color w:val="1B1B1B"/>
          <w:sz w:val="16"/>
          <w:szCs w:val="16"/>
        </w:rPr>
        <w:t xml:space="preserve">  "synchronisation": { "etat": "EN_ATTENTE", "objets": [ { "type": "person", "etat": "EN_ATTENTE" } ] },</w:t>
      </w:r>
    </w:p>
    <w:p>
      <w:pPr>
        <w:keepNext/>
        <w:keepLines/>
        <w:shd w:fill="F4F4F4" w:color="auto" w:val="clear"/>
        <w:spacing w:after="0" w:before="0" w:line="240"/>
        <w:ind w:left="120" w:right="120"/>
      </w:pPr>
      <w:r>
        <w:rPr>
          <w:rFonts w:ascii="Consolas" w:cs="Consolas" w:eastAsia="Consolas" w:hAnsi="Consolas"/>
          <w:color w:val="1B1B1B"/>
          <w:sz w:val="16"/>
          <w:szCs w:val="16"/>
        </w:rPr>
        <w:t xml:space="preserve">  "cree_le": "2026-10-29T09:14:03Z"</w:t>
      </w:r>
    </w:p>
    <w:p>
      <w:pPr>
        <w:keepNext w:val="false"/>
        <w:keepLines/>
        <w:shd w:fill="F4F4F4" w:color="auto" w:val="clear"/>
        <w:spacing w:after="140" w:before="0" w:line="240"/>
        <w:ind w:left="120" w:right="120"/>
      </w:pPr>
      <w:r>
        <w:rPr>
          <w:rFonts w:ascii="Consolas" w:cs="Consolas" w:eastAsia="Consolas" w:hAnsi="Consolas"/>
          <w:color w:val="1B1B1B"/>
          <w:sz w:val="16"/>
          <w:szCs w:val="16"/>
        </w:rPr>
        <w:t xml:space="preserve">}</w:t>
      </w:r>
    </w:p>
    <w:p>
      <w:pPr>
        <w:pStyle w:val="Heading2"/>
        <w:keepNext/>
      </w:pPr>
      <w:r>
        <w:t xml:space="preserve">7.2 Format et catalogue des erreurs</w:t>
      </w:r>
    </w:p>
    <w:p>
      <w:pPr>
        <w:spacing w:after="100" w:line="276"/>
      </w:pPr>
      <w:r>
        <w:t xml:space="preserve">Toutes les erreurs suivent le même format (CDC §5.7). Aucun détail interne n’est exposé : ni trace, ni secret, ni URL Pipedrive.</w:t>
      </w:r>
    </w:p>
    <w:p>
      <w:pPr>
        <w:keepNext/>
        <w:keepLines/>
        <w:shd w:fill="F4F4F4" w:color="auto" w:val="clear"/>
        <w:spacing w:after="0" w:before="60" w:line="240"/>
        <w:ind w:left="120" w:right="120"/>
      </w:pPr>
      <w:r>
        <w:rPr>
          <w:rFonts w:ascii="Consolas" w:cs="Consolas" w:eastAsia="Consolas" w:hAnsi="Consolas"/>
          <w:color w:val="1B1B1B"/>
          <w:sz w:val="16"/>
          <w:szCs w:val="16"/>
        </w:rPr>
        <w:t xml:space="preserve">{</w:t>
      </w:r>
    </w:p>
    <w:p>
      <w:pPr>
        <w:keepNext/>
        <w:keepLines/>
        <w:shd w:fill="F4F4F4" w:color="auto" w:val="clear"/>
        <w:spacing w:after="0" w:before="0" w:line="240"/>
        <w:ind w:left="120" w:right="120"/>
      </w:pPr>
      <w:r>
        <w:rPr>
          <w:rFonts w:ascii="Consolas" w:cs="Consolas" w:eastAsia="Consolas" w:hAnsi="Consolas"/>
          <w:color w:val="1B1B1B"/>
          <w:sz w:val="16"/>
          <w:szCs w:val="16"/>
        </w:rPr>
        <w:t xml:space="preserve">  "code": "VALIDATION_ECHOUEE",</w:t>
      </w:r>
    </w:p>
    <w:p>
      <w:pPr>
        <w:keepNext/>
        <w:keepLines/>
        <w:shd w:fill="F4F4F4" w:color="auto" w:val="clear"/>
        <w:spacing w:after="0" w:before="0" w:line="240"/>
        <w:ind w:left="120" w:right="120"/>
      </w:pPr>
      <w:r>
        <w:rPr>
          <w:rFonts w:ascii="Consolas" w:cs="Consolas" w:eastAsia="Consolas" w:hAnsi="Consolas"/>
          <w:color w:val="1B1B1B"/>
          <w:sz w:val="16"/>
          <w:szCs w:val="16"/>
        </w:rPr>
        <w:t xml:space="preserve">  "message": "Certains champs sont invalides.",</w:t>
      </w:r>
    </w:p>
    <w:p>
      <w:pPr>
        <w:keepNext/>
        <w:keepLines/>
        <w:shd w:fill="F4F4F4" w:color="auto" w:val="clear"/>
        <w:spacing w:after="0" w:before="0" w:line="240"/>
        <w:ind w:left="120" w:right="120"/>
      </w:pPr>
      <w:r>
        <w:rPr>
          <w:rFonts w:ascii="Consolas" w:cs="Consolas" w:eastAsia="Consolas" w:hAnsi="Consolas"/>
          <w:color w:val="1B1B1B"/>
          <w:sz w:val="16"/>
          <w:szCs w:val="16"/>
        </w:rPr>
        <w:t xml:space="preserve">  "details": [ { "champ": "demandeur.telephone", "erreur": "Format attendu : +237 suivi de 9 chiffres." } ],</w:t>
      </w:r>
    </w:p>
    <w:p>
      <w:pPr>
        <w:keepNext/>
        <w:keepLines/>
        <w:shd w:fill="F4F4F4" w:color="auto" w:val="clear"/>
        <w:spacing w:after="0" w:before="0" w:line="240"/>
        <w:ind w:left="120" w:right="120"/>
      </w:pPr>
      <w:r>
        <w:rPr>
          <w:rFonts w:ascii="Consolas" w:cs="Consolas" w:eastAsia="Consolas" w:hAnsi="Consolas"/>
          <w:color w:val="1B1B1B"/>
          <w:sz w:val="16"/>
          <w:szCs w:val="16"/>
        </w:rPr>
        <w:t xml:space="preserve">  "correlation_id": "6f1c2a9e-1b7d-4d57-9a3e-0f5d2c7b8e11"</w:t>
      </w:r>
    </w:p>
    <w:p>
      <w:pPr>
        <w:keepNext w:val="false"/>
        <w:keepLines/>
        <w:shd w:fill="F4F4F4" w:color="auto" w:val="clear"/>
        <w:spacing w:after="140" w:before="0" w:line="240"/>
        <w:ind w:left="120" w:right="120"/>
      </w:pPr>
      <w:r>
        <w:rPr>
          <w:rFonts w:ascii="Consolas" w:cs="Consolas" w:eastAsia="Consolas" w:hAnsi="Consolas"/>
          <w:color w:val="1B1B1B"/>
          <w:sz w:val="16"/>
          <w:szCs w:val="16"/>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3084"/>
        <w:gridCol w:w="3855"/>
        <w:gridCol w:w="1928"/>
      </w:tblGrid>
      <w:tr>
        <w:trPr>
          <w:tblHeader/>
        </w:trPr>
        <w:tc>
          <w:tcPr>
            <w:tcW w:type="dxa" w:w="771"/>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HTTP</w:t>
            </w:r>
          </w:p>
        </w:tc>
        <w:tc>
          <w:tcPr>
            <w:tcW w:type="dxa" w:w="3084"/>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Code</w:t>
            </w:r>
          </w:p>
        </w:tc>
        <w:tc>
          <w:tcPr>
            <w:tcW w:type="dxa" w:w="3855"/>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Situation</w:t>
            </w:r>
          </w:p>
        </w:tc>
        <w:tc>
          <w:tcPr>
            <w:tcW w:type="dxa" w:w="1928"/>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Origine</w:t>
            </w:r>
          </w:p>
        </w:tc>
      </w:tr>
      <w:tr>
        <w:trPr>
          <w:cantSplit/>
        </w:trPr>
        <w:tc>
          <w:tcPr>
            <w:tcW w:type="dxa" w:w="771"/>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400</w:t>
            </w:r>
          </w:p>
        </w:tc>
        <w:tc>
          <w:tcPr>
            <w:tcW w:type="dxa" w:w="3084"/>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VALIDATION_ECHOUEE</w:t>
            </w:r>
          </w:p>
        </w:tc>
        <w:tc>
          <w:tcPr>
            <w:tcW w:type="dxa" w:w="385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Champ absent ou format invalide ; aucun appel Pipedrive.</w:t>
            </w:r>
          </w:p>
        </w:tc>
        <w:tc>
          <w:tcPr>
            <w:tcW w:type="dxa" w:w="1928"/>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Validation (RG01)</w:t>
            </w:r>
          </w:p>
        </w:tc>
      </w:tr>
      <w:tr>
        <w:trPr>
          <w:cantSplit/>
        </w:trPr>
        <w:tc>
          <w:tcPr>
            <w:tcW w:type="dxa" w:w="771"/>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401</w:t>
            </w:r>
          </w:p>
        </w:tc>
        <w:tc>
          <w:tcPr>
            <w:tcW w:type="dxa" w:w="3084"/>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NON_AUTHENTIFIE / JETON_EXPIRE</w:t>
            </w:r>
          </w:p>
        </w:tc>
        <w:tc>
          <w:tcPr>
            <w:tcW w:type="dxa" w:w="385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Jeton absent, invalide ou expiré ; identifiants invalides.</w:t>
            </w:r>
          </w:p>
        </w:tc>
        <w:tc>
          <w:tcPr>
            <w:tcW w:type="dxa" w:w="1928"/>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Sécurité</w:t>
            </w:r>
          </w:p>
        </w:tc>
      </w:tr>
      <w:tr>
        <w:trPr>
          <w:cantSplit/>
        </w:trPr>
        <w:tc>
          <w:tcPr>
            <w:tcW w:type="dxa" w:w="771"/>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403</w:t>
            </w:r>
          </w:p>
        </w:tc>
        <w:tc>
          <w:tcPr>
            <w:tcW w:type="dxa" w:w="3084"/>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ACCES_REFUSE</w:t>
            </w:r>
          </w:p>
        </w:tc>
        <w:tc>
          <w:tcPr>
            <w:tcW w:type="dxa" w:w="385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Rôle ou catégorie insuffisants ; RM09.</w:t>
            </w:r>
          </w:p>
        </w:tc>
        <w:tc>
          <w:tcPr>
            <w:tcW w:type="dxa" w:w="1928"/>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Sécurité</w:t>
            </w:r>
          </w:p>
        </w:tc>
      </w:tr>
      <w:tr>
        <w:trPr>
          <w:cantSplit/>
        </w:trPr>
        <w:tc>
          <w:tcPr>
            <w:tcW w:type="dxa" w:w="771"/>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404</w:t>
            </w:r>
          </w:p>
        </w:tc>
        <w:tc>
          <w:tcPr>
            <w:tcW w:type="dxa" w:w="3084"/>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RESSOURCE_INTROUVABLE</w:t>
            </w:r>
          </w:p>
        </w:tc>
        <w:tc>
          <w:tcPr>
            <w:tcW w:type="dxa" w:w="385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Ressource inexistante ou hors du périmètre de l’agent.</w:t>
            </w:r>
          </w:p>
        </w:tc>
        <w:tc>
          <w:tcPr>
            <w:tcW w:type="dxa" w:w="1928"/>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Métier</w:t>
            </w:r>
          </w:p>
        </w:tc>
      </w:tr>
      <w:tr>
        <w:trPr>
          <w:cantSplit/>
        </w:trPr>
        <w:tc>
          <w:tcPr>
            <w:tcW w:type="dxa" w:w="771"/>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409</w:t>
            </w:r>
          </w:p>
        </w:tc>
        <w:tc>
          <w:tcPr>
            <w:tcW w:type="dxa" w:w="3084"/>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TRANSITION_INTERDITE, ETAT_INCOMPATIBLE, DOUBLON_DETECTE, DECISION_EXISTANTE, CONFLIT_DE_VERSION, CONFLIT</w:t>
            </w:r>
          </w:p>
        </w:tc>
        <w:tc>
          <w:tcPr>
            <w:tcW w:type="dxa" w:w="385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Opération incompatible avec l’état courant ou doublon.</w:t>
            </w:r>
          </w:p>
        </w:tc>
        <w:tc>
          <w:tcPr>
            <w:tcW w:type="dxa" w:w="1928"/>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Métier</w:t>
            </w:r>
          </w:p>
        </w:tc>
      </w:tr>
      <w:tr>
        <w:trPr>
          <w:cantSplit/>
        </w:trPr>
        <w:tc>
          <w:tcPr>
            <w:tcW w:type="dxa" w:w="771"/>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422</w:t>
            </w:r>
          </w:p>
        </w:tc>
        <w:tc>
          <w:tcPr>
            <w:tcW w:type="dxa" w:w="3084"/>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DEMARCHE_HORS_PERIMETRE, DEMARCHE_INACTIVE, PIECE_TYPE_INCONNU, PIECES_INCOMPLETES, MOTIF_OBLIGATOIRE, REGLE_METIER_VIOLEE</w:t>
            </w:r>
          </w:p>
        </w:tc>
        <w:tc>
          <w:tcPr>
            <w:tcW w:type="dxa" w:w="385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Règle métier violée.</w:t>
            </w:r>
          </w:p>
        </w:tc>
        <w:tc>
          <w:tcPr>
            <w:tcW w:type="dxa" w:w="1928"/>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Métier</w:t>
            </w:r>
          </w:p>
        </w:tc>
      </w:tr>
      <w:tr>
        <w:trPr>
          <w:cantSplit/>
        </w:trPr>
        <w:tc>
          <w:tcPr>
            <w:tcW w:type="dxa" w:w="771"/>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429</w:t>
            </w:r>
          </w:p>
        </w:tc>
        <w:tc>
          <w:tcPr>
            <w:tcW w:type="dxa" w:w="3084"/>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TROP_DE_TENTATIVES</w:t>
            </w:r>
          </w:p>
        </w:tc>
        <w:tc>
          <w:tcPr>
            <w:tcW w:type="dxa" w:w="385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Trop d’échecs de connexion.</w:t>
            </w:r>
          </w:p>
        </w:tc>
        <w:tc>
          <w:tcPr>
            <w:tcW w:type="dxa" w:w="1928"/>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Sécurité</w:t>
            </w:r>
          </w:p>
        </w:tc>
      </w:tr>
      <w:tr>
        <w:trPr>
          <w:cantSplit/>
        </w:trPr>
        <w:tc>
          <w:tcPr>
            <w:tcW w:type="dxa" w:w="771"/>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500</w:t>
            </w:r>
          </w:p>
        </w:tc>
        <w:tc>
          <w:tcPr>
            <w:tcW w:type="dxa" w:w="3084"/>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ERREUR_INTERNE</w:t>
            </w:r>
          </w:p>
        </w:tc>
        <w:tc>
          <w:tcPr>
            <w:tcW w:type="dxa" w:w="385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Erreur inattendue (journalisée avec corrélation).</w:t>
            </w:r>
          </w:p>
        </w:tc>
        <w:tc>
          <w:tcPr>
            <w:tcW w:type="dxa" w:w="1928"/>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API</w:t>
            </w:r>
          </w:p>
        </w:tc>
      </w:tr>
      <w:tr>
        <w:trPr>
          <w:cantSplit/>
        </w:trPr>
        <w:tc>
          <w:tcPr>
            <w:tcW w:type="dxa" w:w="771"/>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502</w:t>
            </w:r>
          </w:p>
        </w:tc>
        <w:tc>
          <w:tcPr>
            <w:tcW w:type="dxa" w:w="3084"/>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PIPEDRIVE_ERREUR</w:t>
            </w:r>
          </w:p>
        </w:tc>
        <w:tc>
          <w:tcPr>
            <w:tcW w:type="dxa" w:w="385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Pipedrive a renvoyé une réponse d’erreur ou inattendue (contrôle de santé de l’intégration).</w:t>
            </w:r>
          </w:p>
        </w:tc>
        <w:tc>
          <w:tcPr>
            <w:tcW w:type="dxa" w:w="1928"/>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Intégration (RG05)</w:t>
            </w:r>
          </w:p>
        </w:tc>
      </w:tr>
      <w:tr>
        <w:trPr>
          <w:cantSplit/>
        </w:trPr>
        <w:tc>
          <w:tcPr>
            <w:tcW w:type="dxa" w:w="771"/>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503</w:t>
            </w:r>
          </w:p>
        </w:tc>
        <w:tc>
          <w:tcPr>
            <w:tcW w:type="dxa" w:w="3084"/>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PIPEDRIVE_INDISPONIBLE, PIPEDRIVE_NON_CONFIGURE</w:t>
            </w:r>
          </w:p>
        </w:tc>
        <w:tc>
          <w:tcPr>
            <w:tcW w:type="dxa" w:w="385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Pipedrive injoignable ou jeton absent.</w:t>
            </w:r>
          </w:p>
        </w:tc>
        <w:tc>
          <w:tcPr>
            <w:tcW w:type="dxa" w:w="1928"/>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Intégration</w:t>
            </w:r>
          </w:p>
        </w:tc>
      </w:tr>
      <w:tr>
        <w:trPr>
          <w:cantSplit/>
        </w:trPr>
        <w:tc>
          <w:tcPr>
            <w:tcW w:type="dxa" w:w="771"/>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504</w:t>
            </w:r>
          </w:p>
        </w:tc>
        <w:tc>
          <w:tcPr>
            <w:tcW w:type="dxa" w:w="3084"/>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PIPEDRIVE_DELAI_DEPASSE</w:t>
            </w:r>
          </w:p>
        </w:tc>
        <w:tc>
          <w:tcPr>
            <w:tcW w:type="dxa" w:w="385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Délai d’attente dépassé lors d’une lecture synchrone.</w:t>
            </w:r>
          </w:p>
        </w:tc>
        <w:tc>
          <w:tcPr>
            <w:tcW w:type="dxa" w:w="1928"/>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Intégration</w:t>
            </w:r>
          </w:p>
        </w:tc>
      </w:tr>
    </w:tbl>
    <w:p>
      <w:pPr>
        <w:spacing w:after="80"/>
      </w:pPr>
    </w:p>
    <w:p>
      <w:pPr>
        <w:pBdr>
          <w:left w:val="single" w:color="2E75B6" w:sz="18" w:space="6"/>
        </w:pBdr>
        <w:shd w:fill="EAF1F8" w:color="auto" w:val="clear"/>
        <w:spacing w:after="140" w:before="80" w:line="264"/>
        <w:ind w:left="120" w:right="120"/>
      </w:pPr>
      <w:r>
        <w:rPr>
          <w:b/>
          <w:bCs/>
          <w:color w:val="2E75B6"/>
          <w:sz w:val="19"/>
          <w:szCs w:val="19"/>
        </w:rPr>
        <w:t xml:space="preserve">Remarque — </w:t>
      </w:r>
      <w:r>
        <w:rPr>
          <w:sz w:val="19"/>
          <w:szCs w:val="19"/>
        </w:rPr>
        <w:t xml:space="preserve">Les endpoints métier (création, transitions, décision) ne renvoient jamais 502 ou 504 : ils n’appellent pas Pipedrive (RI02). L’échec de synchronisation est porté par l’état </w:t>
      </w:r>
      <w:r>
        <w:rPr>
          <w:rFonts w:ascii="Consolas" w:cs="Consolas" w:eastAsia="Consolas" w:hAnsi="Consolas"/>
          <w:color w:val="7A2E0E"/>
          <w:sz w:val="16"/>
          <w:szCs w:val="16"/>
        </w:rPr>
        <w:t xml:space="preserve">synchronisation</w:t>
      </w:r>
      <w:r>
        <w:rPr>
          <w:sz w:val="19"/>
          <w:szCs w:val="19"/>
        </w:rPr>
        <w:t xml:space="preserve"> de la réponse. Les codes 502, 503 et 504 concernent seulement </w:t>
      </w:r>
      <w:r>
        <w:rPr>
          <w:rFonts w:ascii="Consolas" w:cs="Consolas" w:eastAsia="Consolas" w:hAnsi="Consolas"/>
          <w:color w:val="7A2E0E"/>
          <w:sz w:val="16"/>
          <w:szCs w:val="16"/>
        </w:rPr>
        <w:t xml:space="preserve">/admin/sante/pipedrive</w:t>
      </w:r>
      <w:r>
        <w:rPr>
          <w:sz w:val="19"/>
          <w:szCs w:val="19"/>
        </w:rPr>
        <w:t xml:space="preserve"> et la relance (UC15). La lecture des activités (</w:t>
      </w:r>
      <w:r>
        <w:rPr>
          <w:rFonts w:ascii="Consolas" w:cs="Consolas" w:eastAsia="Consolas" w:hAnsi="Consolas"/>
          <w:color w:val="7A2E0E"/>
          <w:sz w:val="16"/>
          <w:szCs w:val="16"/>
        </w:rPr>
        <w:t xml:space="preserve">/dossiers/{id}/activites</w:t>
      </w:r>
      <w:r>
        <w:rPr>
          <w:sz w:val="19"/>
          <w:szCs w:val="19"/>
        </w:rPr>
        <w:t xml:space="preserve">) renvoie 200 avec </w:t>
      </w:r>
      <w:r>
        <w:rPr>
          <w:rFonts w:ascii="Consolas" w:cs="Consolas" w:eastAsia="Consolas" w:hAnsi="Consolas"/>
          <w:color w:val="7A2E0E"/>
          <w:sz w:val="16"/>
          <w:szCs w:val="16"/>
        </w:rPr>
        <w:t xml:space="preserve">activites.disponible = false</w:t>
      </w:r>
      <w:r>
        <w:rPr>
          <w:sz w:val="19"/>
          <w:szCs w:val="19"/>
        </w:rPr>
        <w:t xml:space="preserve"> si Pipedrive ne répond pas (UC04).</w:t>
      </w:r>
    </w:p>
    <w:p>
      <w:pPr>
        <w:pStyle w:val="Heading1"/>
      </w:pPr>
      <w:r>
        <w:t xml:space="preserve">8. Exigences non fonctionnelles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Catégorie</w:t>
            </w:r>
          </w:p>
        </w:tc>
        <w:tc>
          <w:tcPr>
            <w:tcW w:type="dxa" w:w="7711"/>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Exigence</w:t>
            </w:r>
          </w:p>
        </w:tc>
      </w:tr>
      <w:tr>
        <w:trPr>
          <w:cantSplit/>
        </w:trPr>
        <w:tc>
          <w:tcPr>
            <w:tcW w:type="dxa" w:w="1927"/>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Sécurité</w:t>
            </w:r>
          </w:p>
        </w:tc>
        <w:tc>
          <w:tcPr>
            <w:tcW w:type="dxa" w:w="7711"/>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HTTPS en environnement déployé ; mots de passe hachés (argon2) ; JWT signés (HS256, clé de 32 octets minimum en variable d’environnement) ; CORS limité aux origines déclarées ; aucun secret dans le dépôt (</w:t>
            </w:r>
            <w:r>
              <w:rPr>
                <w:rFonts w:ascii="Consolas" w:cs="Consolas" w:eastAsia="Consolas" w:hAnsi="Consolas"/>
                <w:color w:val="7A2E0E"/>
                <w:sz w:val="15"/>
                <w:szCs w:val="15"/>
              </w:rPr>
              <w:t xml:space="preserve">.env.example</w:t>
            </w:r>
            <w:r>
              <w:rPr>
                <w:sz w:val="18"/>
                <w:szCs w:val="18"/>
              </w:rPr>
              <w:t xml:space="preserve"> sans valeur).</w:t>
            </w:r>
          </w:p>
        </w:tc>
      </w:tr>
      <w:tr>
        <w:trPr>
          <w:cantSplit/>
        </w:trPr>
        <w:tc>
          <w:tcPr>
            <w:tcW w:type="dxa" w:w="1927"/>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Contrôle d’accès</w:t>
            </w:r>
          </w:p>
        </w:tc>
        <w:tc>
          <w:tcPr>
            <w:tcW w:type="dxa" w:w="7711"/>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Vérification du rôle et de la catégorie à chaque requête ; identifiants UUID ; 404 pour un dossier hors périmètre.</w:t>
            </w:r>
          </w:p>
        </w:tc>
      </w:tr>
      <w:tr>
        <w:trPr>
          <w:cantSplit/>
        </w:trPr>
        <w:tc>
          <w:tcPr>
            <w:tcW w:type="dxa" w:w="1927"/>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Fiabilité</w:t>
            </w:r>
          </w:p>
        </w:tc>
        <w:tc>
          <w:tcPr>
            <w:tcW w:type="dxa" w:w="7711"/>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Les états reflètent les réponses confirmées ; outbox transactionnelle ; relances bornées et idempotentes ; l’API reste utilisable si Pipedrive est indisponible.</w:t>
            </w:r>
          </w:p>
        </w:tc>
      </w:tr>
      <w:tr>
        <w:trPr>
          <w:cantSplit/>
        </w:trPr>
        <w:tc>
          <w:tcPr>
            <w:tcW w:type="dxa" w:w="1927"/>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Performance</w:t>
            </w:r>
          </w:p>
        </w:tc>
        <w:tc>
          <w:tcPr>
            <w:tcW w:type="dxa" w:w="7711"/>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Endpoints métier : 95 % des réponses en moins de 500 ms hors charge exceptionnelle (aucun appel externe). Appels Pipedrive : connexion 3 s, lecture 10 s, total 15 s.</w:t>
            </w:r>
          </w:p>
        </w:tc>
      </w:tr>
      <w:tr>
        <w:trPr>
          <w:cantSplit/>
        </w:trPr>
        <w:tc>
          <w:tcPr>
            <w:tcW w:type="dxa" w:w="1927"/>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Traçabilité</w:t>
            </w:r>
          </w:p>
        </w:tc>
        <w:tc>
          <w:tcPr>
            <w:tcW w:type="dxa" w:w="7711"/>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Journal structuré (JSON) : date, niveau, opération, résultat, durée, corrélation ; historique métier en ajout seul.</w:t>
            </w:r>
          </w:p>
        </w:tc>
      </w:tr>
      <w:tr>
        <w:trPr>
          <w:cantSplit/>
        </w:trPr>
        <w:tc>
          <w:tcPr>
            <w:tcW w:type="dxa" w:w="1927"/>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Confidentialité</w:t>
            </w:r>
          </w:p>
        </w:tc>
        <w:tc>
          <w:tcPr>
            <w:tcW w:type="dxa" w:w="7711"/>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Minimisation RI05 ; données fictives en V1 ; aucun fichier stocké ni transmis.</w:t>
            </w:r>
          </w:p>
        </w:tc>
      </w:tr>
      <w:tr>
        <w:trPr>
          <w:cantSplit/>
        </w:trPr>
        <w:tc>
          <w:tcPr>
            <w:tcW w:type="dxa" w:w="1927"/>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Interopérabilité</w:t>
            </w:r>
          </w:p>
        </w:tc>
        <w:tc>
          <w:tcPr>
            <w:tcW w:type="dxa" w:w="7711"/>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REST/JSON, OpenAPI 3.1, format d’erreur unique.</w:t>
            </w:r>
          </w:p>
        </w:tc>
      </w:tr>
      <w:tr>
        <w:trPr>
          <w:cantSplit/>
        </w:trPr>
        <w:tc>
          <w:tcPr>
            <w:tcW w:type="dxa" w:w="1927"/>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Maintenabilité</w:t>
            </w:r>
          </w:p>
        </w:tc>
        <w:tc>
          <w:tcPr>
            <w:tcW w:type="dxa" w:w="7711"/>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Séparation en couches : routes, services métier, domaine, adaptateur Pipedrive, persistance, configuration (CDC §5.4). Version de l’API Pipedrive isolée dans l’adaptateur.</w:t>
            </w:r>
          </w:p>
        </w:tc>
      </w:tr>
      <w:tr>
        <w:trPr>
          <w:cantSplit/>
        </w:trPr>
        <w:tc>
          <w:tcPr>
            <w:tcW w:type="dxa" w:w="1927"/>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Extensibilité</w:t>
            </w:r>
          </w:p>
        </w:tc>
        <w:tc>
          <w:tcPr>
            <w:tcW w:type="dxa" w:w="7711"/>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Registre des démarches ; port d’intégration CRM indépendant de Pipedrive (EF17).</w:t>
            </w:r>
          </w:p>
        </w:tc>
      </w:tr>
      <w:tr>
        <w:trPr>
          <w:cantSplit/>
        </w:trPr>
        <w:tc>
          <w:tcPr>
            <w:tcW w:type="dxa" w:w="1927"/>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Testabilité</w:t>
            </w:r>
          </w:p>
        </w:tc>
        <w:tc>
          <w:tcPr>
            <w:tcW w:type="dxa" w:w="7711"/>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Tests unitaires du domaine ; tests d’API avec Pipedrive simulé (succès, 401, 429, 5xx, timeout) ; tests de contrat sur un compte sandbox (EF18).</w:t>
            </w:r>
          </w:p>
        </w:tc>
      </w:tr>
    </w:tbl>
    <w:p>
      <w:pPr>
        <w:spacing w:after="80"/>
      </w:pPr>
    </w:p>
    <w:p>
      <w:pPr>
        <w:pStyle w:val="Heading1"/>
      </w:pPr>
      <w:r>
        <w:t xml:space="preserve">9. Traçabilité</w:t>
      </w:r>
    </w:p>
    <w:p>
      <w:pPr>
        <w:pStyle w:val="Heading2"/>
        <w:keepNext/>
      </w:pPr>
      <w:r>
        <w:t xml:space="preserve">9.1 Exigences ↔ cas d’utilisation ↔ endpoints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5"/>
        <w:gridCol w:w="3373"/>
        <w:gridCol w:w="4820"/>
      </w:tblGrid>
      <w:tr>
        <w:trPr>
          <w:tblHeader/>
        </w:trPr>
        <w:tc>
          <w:tcPr>
            <w:tcW w:type="dxa" w:w="1445"/>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Exigence</w:t>
            </w:r>
          </w:p>
        </w:tc>
        <w:tc>
          <w:tcPr>
            <w:tcW w:type="dxa" w:w="3373"/>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Cas d’utilisation</w:t>
            </w:r>
          </w:p>
        </w:tc>
        <w:tc>
          <w:tcPr>
            <w:tcW w:type="dxa" w:w="4820"/>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Endpoints / composants</w:t>
            </w:r>
          </w:p>
        </w:tc>
      </w:tr>
      <w:tr>
        <w:trPr>
          <w:cantSplit/>
        </w:trPr>
        <w:tc>
          <w:tcPr>
            <w:tcW w:type="dxa" w:w="144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EF01, EF13</w:t>
            </w:r>
          </w:p>
        </w:tc>
        <w:tc>
          <w:tcPr>
            <w:tcW w:type="dxa" w:w="337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Tous</w:t>
            </w:r>
          </w:p>
        </w:tc>
        <w:tc>
          <w:tcPr>
            <w:tcW w:type="dxa" w:w="482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/docs</w:t>
            </w:r>
            <w:r>
              <w:rPr>
                <w:sz w:val="18"/>
                <w:szCs w:val="18"/>
              </w:rPr>
              <w:t xml:space="preserve">, </w:t>
            </w:r>
            <w:r>
              <w:rPr>
                <w:rFonts w:ascii="Consolas" w:cs="Consolas" w:eastAsia="Consolas" w:hAnsi="Consolas"/>
                <w:color w:val="7A2E0E"/>
                <w:sz w:val="15"/>
                <w:szCs w:val="15"/>
              </w:rPr>
              <w:t xml:space="preserve">/openapi.json</w:t>
            </w:r>
          </w:p>
        </w:tc>
      </w:tr>
      <w:tr>
        <w:trPr>
          <w:cantSplit/>
        </w:trPr>
        <w:tc>
          <w:tcPr>
            <w:tcW w:type="dxa" w:w="144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EF02</w:t>
            </w:r>
          </w:p>
        </w:tc>
        <w:tc>
          <w:tcPr>
            <w:tcW w:type="dxa" w:w="337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UC01 à UC17</w:t>
            </w:r>
          </w:p>
        </w:tc>
        <w:tc>
          <w:tcPr>
            <w:tcW w:type="dxa" w:w="482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Routes </w:t>
            </w:r>
            <w:r>
              <w:rPr>
                <w:rFonts w:ascii="Consolas" w:cs="Consolas" w:eastAsia="Consolas" w:hAnsi="Consolas"/>
                <w:color w:val="7A2E0E"/>
                <w:sz w:val="15"/>
                <w:szCs w:val="15"/>
              </w:rPr>
              <w:t xml:space="preserve">/api/v1/*</w:t>
            </w:r>
          </w:p>
        </w:tc>
      </w:tr>
      <w:tr>
        <w:trPr>
          <w:cantSplit/>
        </w:trPr>
        <w:tc>
          <w:tcPr>
            <w:tcW w:type="dxa" w:w="144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EF03</w:t>
            </w:r>
          </w:p>
        </w:tc>
        <w:tc>
          <w:tcPr>
            <w:tcW w:type="dxa" w:w="337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UC03, UC06, UC07, UC09, UC10, UC12</w:t>
            </w:r>
          </w:p>
        </w:tc>
        <w:tc>
          <w:tcPr>
            <w:tcW w:type="dxa" w:w="482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Schémas de validation</w:t>
            </w:r>
          </w:p>
        </w:tc>
      </w:tr>
      <w:tr>
        <w:trPr>
          <w:cantSplit/>
        </w:trPr>
        <w:tc>
          <w:tcPr>
            <w:tcW w:type="dxa" w:w="144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EF04</w:t>
            </w:r>
          </w:p>
        </w:tc>
        <w:tc>
          <w:tcPr>
            <w:tcW w:type="dxa" w:w="337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UC01, UC02 et tous les UC protégés</w:t>
            </w:r>
          </w:p>
        </w:tc>
        <w:tc>
          <w:tcPr>
            <w:tcW w:type="dxa" w:w="482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/auth/*</w:t>
            </w:r>
            <w:r>
              <w:rPr>
                <w:sz w:val="18"/>
                <w:szCs w:val="18"/>
              </w:rPr>
              <w:t xml:space="preserve">, contrôle des rôles</w:t>
            </w:r>
          </w:p>
        </w:tc>
      </w:tr>
      <w:tr>
        <w:trPr>
          <w:cantSplit/>
        </w:trPr>
        <w:tc>
          <w:tcPr>
            <w:tcW w:type="dxa" w:w="144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EF05, EF06</w:t>
            </w:r>
          </w:p>
        </w:tc>
        <w:tc>
          <w:tcPr>
            <w:tcW w:type="dxa" w:w="337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UC13, UC14</w:t>
            </w:r>
          </w:p>
        </w:tc>
        <w:tc>
          <w:tcPr>
            <w:tcW w:type="dxa" w:w="482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Adaptateur Pipedrive, normalisation</w:t>
            </w:r>
          </w:p>
        </w:tc>
      </w:tr>
      <w:tr>
        <w:trPr>
          <w:cantSplit/>
        </w:trPr>
        <w:tc>
          <w:tcPr>
            <w:tcW w:type="dxa" w:w="144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EF07</w:t>
            </w:r>
          </w:p>
        </w:tc>
        <w:tc>
          <w:tcPr>
            <w:tcW w:type="dxa" w:w="337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UC03, UC13</w:t>
            </w:r>
          </w:p>
        </w:tc>
        <w:tc>
          <w:tcPr>
            <w:tcW w:type="dxa" w:w="482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OP-02 à OP-04</w:t>
            </w:r>
          </w:p>
        </w:tc>
      </w:tr>
      <w:tr>
        <w:trPr>
          <w:cantSplit/>
        </w:trPr>
        <w:tc>
          <w:tcPr>
            <w:tcW w:type="dxa" w:w="144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EF08</w:t>
            </w:r>
          </w:p>
        </w:tc>
        <w:tc>
          <w:tcPr>
            <w:tcW w:type="dxa" w:w="337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UC04, UC09, UC10, UC12, UC14</w:t>
            </w:r>
          </w:p>
        </w:tc>
        <w:tc>
          <w:tcPr>
            <w:tcW w:type="dxa" w:w="482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OP-12 à OP-15, </w:t>
            </w:r>
            <w:r>
              <w:rPr>
                <w:rFonts w:ascii="Consolas" w:cs="Consolas" w:eastAsia="Consolas" w:hAnsi="Consolas"/>
                <w:color w:val="7A2E0E"/>
                <w:sz w:val="15"/>
                <w:szCs w:val="15"/>
              </w:rPr>
              <w:t xml:space="preserve">/dossiers/{id}/activites</w:t>
            </w:r>
          </w:p>
        </w:tc>
      </w:tr>
      <w:tr>
        <w:trPr>
          <w:cantSplit/>
        </w:trPr>
        <w:tc>
          <w:tcPr>
            <w:tcW w:type="dxa" w:w="144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EF09</w:t>
            </w:r>
          </w:p>
        </w:tc>
        <w:tc>
          <w:tcPr>
            <w:tcW w:type="dxa" w:w="337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Tous</w:t>
            </w:r>
          </w:p>
        </w:tc>
        <w:tc>
          <w:tcPr>
            <w:tcW w:type="dxa" w:w="482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Catalogue §7.2</w:t>
            </w:r>
          </w:p>
        </w:tc>
      </w:tr>
      <w:tr>
        <w:trPr>
          <w:cantSplit/>
        </w:trPr>
        <w:tc>
          <w:tcPr>
            <w:tcW w:type="dxa" w:w="144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EF10</w:t>
            </w:r>
          </w:p>
        </w:tc>
        <w:tc>
          <w:tcPr>
            <w:tcW w:type="dxa" w:w="337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UC13, UC14, UC15</w:t>
            </w:r>
          </w:p>
        </w:tc>
        <w:tc>
          <w:tcPr>
            <w:tcW w:type="dxa" w:w="482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ReferenceSynchro, </w:t>
            </w:r>
            <w:r>
              <w:rPr>
                <w:rFonts w:ascii="Consolas" w:cs="Consolas" w:eastAsia="Consolas" w:hAnsi="Consolas"/>
                <w:color w:val="7A2E0E"/>
                <w:sz w:val="15"/>
                <w:szCs w:val="15"/>
              </w:rPr>
              <w:t xml:space="preserve">/synchronisations</w:t>
            </w:r>
          </w:p>
        </w:tc>
      </w:tr>
      <w:tr>
        <w:trPr>
          <w:cantSplit/>
        </w:trPr>
        <w:tc>
          <w:tcPr>
            <w:tcW w:type="dxa" w:w="144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EF11</w:t>
            </w:r>
          </w:p>
        </w:tc>
        <w:tc>
          <w:tcPr>
            <w:tcW w:type="dxa" w:w="337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UC03, UC14</w:t>
            </w:r>
          </w:p>
        </w:tc>
        <w:tc>
          <w:tcPr>
            <w:tcW w:type="dxa" w:w="482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RM02, RM06, RI04</w:t>
            </w:r>
          </w:p>
        </w:tc>
      </w:tr>
      <w:tr>
        <w:trPr>
          <w:cantSplit/>
        </w:trPr>
        <w:tc>
          <w:tcPr>
            <w:tcW w:type="dxa" w:w="144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EF12</w:t>
            </w:r>
          </w:p>
        </w:tc>
        <w:tc>
          <w:tcPr>
            <w:tcW w:type="dxa" w:w="337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Transverse</w:t>
            </w:r>
          </w:p>
        </w:tc>
        <w:tc>
          <w:tcPr>
            <w:tcW w:type="dxa" w:w="482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Variables d’environnement</w:t>
            </w:r>
          </w:p>
        </w:tc>
      </w:tr>
      <w:tr>
        <w:trPr>
          <w:cantSplit/>
        </w:trPr>
        <w:tc>
          <w:tcPr>
            <w:tcW w:type="dxa" w:w="144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EF14, EF15</w:t>
            </w:r>
          </w:p>
        </w:tc>
        <w:tc>
          <w:tcPr>
            <w:tcW w:type="dxa" w:w="337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UC03 à UC12</w:t>
            </w:r>
          </w:p>
        </w:tc>
        <w:tc>
          <w:tcPr>
            <w:tcW w:type="dxa" w:w="482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/dossiers/*</w:t>
            </w:r>
          </w:p>
        </w:tc>
      </w:tr>
      <w:tr>
        <w:trPr>
          <w:cantSplit/>
        </w:trPr>
        <w:tc>
          <w:tcPr>
            <w:tcW w:type="dxa" w:w="144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EF16</w:t>
            </w:r>
          </w:p>
        </w:tc>
        <w:tc>
          <w:tcPr>
            <w:tcW w:type="dxa" w:w="337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UC17</w:t>
            </w:r>
          </w:p>
        </w:tc>
        <w:tc>
          <w:tcPr>
            <w:tcW w:type="dxa" w:w="482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rFonts w:ascii="Consolas" w:cs="Consolas" w:eastAsia="Consolas" w:hAnsi="Consolas"/>
                <w:color w:val="7A2E0E"/>
                <w:sz w:val="15"/>
                <w:szCs w:val="15"/>
              </w:rPr>
              <w:t xml:space="preserve">/admin/journaux</w:t>
            </w:r>
          </w:p>
        </w:tc>
      </w:tr>
      <w:tr>
        <w:trPr>
          <w:cantSplit/>
        </w:trPr>
        <w:tc>
          <w:tcPr>
            <w:tcW w:type="dxa" w:w="144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EF17</w:t>
            </w:r>
          </w:p>
        </w:tc>
        <w:tc>
          <w:tcPr>
            <w:tcW w:type="dxa" w:w="337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UC16</w:t>
            </w:r>
          </w:p>
        </w:tc>
        <w:tc>
          <w:tcPr>
            <w:tcW w:type="dxa" w:w="482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Registre des démarches, </w:t>
            </w:r>
            <w:r>
              <w:rPr>
                <w:rFonts w:ascii="Consolas" w:cs="Consolas" w:eastAsia="Consolas" w:hAnsi="Consolas"/>
                <w:color w:val="7A2E0E"/>
                <w:sz w:val="15"/>
                <w:szCs w:val="15"/>
              </w:rPr>
              <w:t xml:space="preserve">/admin/demarches</w:t>
            </w:r>
          </w:p>
        </w:tc>
      </w:tr>
      <w:tr>
        <w:trPr>
          <w:cantSplit/>
        </w:trPr>
        <w:tc>
          <w:tcPr>
            <w:tcW w:type="dxa" w:w="144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EF18</w:t>
            </w:r>
          </w:p>
        </w:tc>
        <w:tc>
          <w:tcPr>
            <w:tcW w:type="dxa" w:w="337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Transverse</w:t>
            </w:r>
          </w:p>
        </w:tc>
        <w:tc>
          <w:tcPr>
            <w:tcW w:type="dxa" w:w="482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Suite de tests (§8)</w:t>
            </w:r>
          </w:p>
        </w:tc>
      </w:tr>
    </w:tbl>
    <w:p>
      <w:pPr>
        <w:spacing w:after="80"/>
      </w:pPr>
    </w:p>
    <w:p>
      <w:pPr>
        <w:pStyle w:val="Heading2"/>
        <w:keepNext/>
      </w:pPr>
      <w:r>
        <w:t xml:space="preserve">9.2 Critères de réception ↔ scénarios de démonstration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5"/>
        <w:gridCol w:w="8193"/>
      </w:tblGrid>
      <w:tr>
        <w:trPr>
          <w:tblHeader/>
        </w:trPr>
        <w:tc>
          <w:tcPr>
            <w:tcW w:type="dxa" w:w="1445"/>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Critère</w:t>
            </w:r>
          </w:p>
        </w:tc>
        <w:tc>
          <w:tcPr>
            <w:tcW w:type="dxa" w:w="8193"/>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Scénario de démonstration</w:t>
            </w:r>
          </w:p>
        </w:tc>
      </w:tr>
      <w:tr>
        <w:trPr>
          <w:cantSplit/>
        </w:trPr>
        <w:tc>
          <w:tcPr>
            <w:tcW w:type="dxa" w:w="144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CR01, CR11</w:t>
            </w:r>
          </w:p>
        </w:tc>
        <w:tc>
          <w:tcPr>
            <w:tcW w:type="dxa" w:w="819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Démarrage de l’API (conteneur) et page </w:t>
            </w:r>
            <w:r>
              <w:rPr>
                <w:rFonts w:ascii="Consolas" w:cs="Consolas" w:eastAsia="Consolas" w:hAnsi="Consolas"/>
                <w:color w:val="7A2E0E"/>
                <w:sz w:val="15"/>
                <w:szCs w:val="15"/>
              </w:rPr>
              <w:t xml:space="preserve">/docs</w:t>
            </w:r>
            <w:r>
              <w:rPr>
                <w:sz w:val="18"/>
                <w:szCs w:val="18"/>
              </w:rPr>
              <w:t xml:space="preserve">.</w:t>
            </w:r>
          </w:p>
        </w:tc>
      </w:tr>
      <w:tr>
        <w:trPr>
          <w:cantSplit/>
        </w:trPr>
        <w:tc>
          <w:tcPr>
            <w:tcW w:type="dxa" w:w="144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CR02</w:t>
            </w:r>
          </w:p>
        </w:tc>
        <w:tc>
          <w:tcPr>
            <w:tcW w:type="dxa" w:w="819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UC03 avec données invalides (400), puis valides (201).</w:t>
            </w:r>
          </w:p>
        </w:tc>
      </w:tr>
      <w:tr>
        <w:trPr>
          <w:cantSplit/>
        </w:trPr>
        <w:tc>
          <w:tcPr>
            <w:tcW w:type="dxa" w:w="144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CR03, CR04</w:t>
            </w:r>
          </w:p>
        </w:tc>
        <w:tc>
          <w:tcPr>
            <w:tcW w:type="dxa" w:w="819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UC13 et UC14 avec un jeton Pipedrive valide ; contact, deal et activités visibles dans Pipedrive.</w:t>
            </w:r>
          </w:p>
        </w:tc>
      </w:tr>
      <w:tr>
        <w:trPr>
          <w:cantSplit/>
        </w:trPr>
        <w:tc>
          <w:tcPr>
            <w:tcW w:type="dxa" w:w="144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CR05</w:t>
            </w:r>
          </w:p>
        </w:tc>
        <w:tc>
          <w:tcPr>
            <w:tcW w:type="dxa" w:w="819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UC14 avec un jeton invalide (ECHEC, pas de relance) et avec Pipedrive simulé indisponible (EN_ATTENTE puis rattrapage).</w:t>
            </w:r>
          </w:p>
        </w:tc>
      </w:tr>
      <w:tr>
        <w:trPr>
          <w:cantSplit/>
        </w:trPr>
        <w:tc>
          <w:tcPr>
            <w:tcW w:type="dxa" w:w="144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CR06</w:t>
            </w:r>
          </w:p>
        </w:tc>
        <w:tc>
          <w:tcPr>
            <w:tcW w:type="dxa" w:w="819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Revue du dépôt et des variables d’environnement ; analyse des secrets.</w:t>
            </w:r>
          </w:p>
        </w:tc>
      </w:tr>
      <w:tr>
        <w:trPr>
          <w:cantSplit/>
        </w:trPr>
        <w:tc>
          <w:tcPr>
            <w:tcW w:type="dxa" w:w="144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CR07</w:t>
            </w:r>
          </w:p>
        </w:tc>
        <w:tc>
          <w:tcPr>
            <w:tcW w:type="dxa" w:w="819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Consultation de </w:t>
            </w:r>
            <w:r>
              <w:rPr>
                <w:rFonts w:ascii="Consolas" w:cs="Consolas" w:eastAsia="Consolas" w:hAnsi="Consolas"/>
                <w:color w:val="7A2E0E"/>
                <w:sz w:val="15"/>
                <w:szCs w:val="15"/>
              </w:rPr>
              <w:t xml:space="preserve">/dossiers/{id}/synchronisation</w:t>
            </w:r>
            <w:r>
              <w:rPr>
                <w:sz w:val="18"/>
                <w:szCs w:val="18"/>
              </w:rPr>
              <w:t xml:space="preserve"> après UC03 et UC09.</w:t>
            </w:r>
          </w:p>
        </w:tc>
      </w:tr>
      <w:tr>
        <w:trPr>
          <w:cantSplit/>
        </w:trPr>
        <w:tc>
          <w:tcPr>
            <w:tcW w:type="dxa" w:w="144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CR08</w:t>
            </w:r>
          </w:p>
        </w:tc>
        <w:tc>
          <w:tcPr>
            <w:tcW w:type="dxa" w:w="819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Parcours complet d’un dossier de décès : UC03 → UC07 → UC09 (soumission) → UC08 → UC09 (instruction) → UC10 → UC09 (délivrance).</w:t>
            </w:r>
          </w:p>
        </w:tc>
      </w:tr>
      <w:tr>
        <w:trPr>
          <w:cantSplit/>
        </w:trPr>
        <w:tc>
          <w:tcPr>
            <w:tcW w:type="dxa" w:w="1445"/>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CR09</w:t>
            </w:r>
          </w:p>
        </w:tc>
        <w:tc>
          <w:tcPr>
            <w:tcW w:type="dxa" w:w="819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Tentative de transition interdite (409) et de rejet sans motif (422).</w:t>
            </w:r>
          </w:p>
        </w:tc>
      </w:tr>
      <w:tr>
        <w:trPr>
          <w:cantSplit/>
        </w:trPr>
        <w:tc>
          <w:tcPr>
            <w:tcW w:type="dxa" w:w="1445"/>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CR10</w:t>
            </w:r>
          </w:p>
        </w:tc>
        <w:tc>
          <w:tcPr>
            <w:tcW w:type="dxa" w:w="819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Exécution de la suite de tests et rapport de couverture.</w:t>
            </w:r>
          </w:p>
        </w:tc>
      </w:tr>
    </w:tbl>
    <w:p>
      <w:pPr>
        <w:spacing w:after="80"/>
      </w:pPr>
    </w:p>
    <w:p>
      <w:pPr>
        <w:pStyle w:val="Heading1"/>
      </w:pPr>
      <w:r>
        <w:t xml:space="preserve">10. Éléments du FRS v2.0 retirés ou reportés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3180"/>
        <w:gridCol w:w="3374"/>
      </w:tblGrid>
      <w:tr>
        <w:trPr>
          <w:tblHeader/>
        </w:trPr>
        <w:tc>
          <w:tcPr>
            <w:tcW w:type="dxa" w:w="3084"/>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FRS v2.0</w:t>
            </w:r>
          </w:p>
        </w:tc>
        <w:tc>
          <w:tcPr>
            <w:tcW w:type="dxa" w:w="3180"/>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Devenir en v3.0</w:t>
            </w:r>
          </w:p>
        </w:tc>
        <w:tc>
          <w:tcPr>
            <w:tcW w:type="dxa" w:w="3374"/>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Raison</w:t>
            </w:r>
          </w:p>
        </w:tc>
      </w:tr>
      <w:tr>
        <w:trPr>
          <w:cantSplit/>
        </w:trPr>
        <w:tc>
          <w:tcPr>
            <w:tcW w:type="dxa" w:w="3084"/>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UC-01 S’authentifier via Pipedrive</w:t>
            </w:r>
          </w:p>
        </w:tc>
        <w:tc>
          <w:tcPr>
            <w:tcW w:type="dxa" w:w="318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Remplacé par UC01 (authentification propre)</w:t>
            </w:r>
          </w:p>
        </w:tc>
        <w:tc>
          <w:tcPr>
            <w:tcW w:type="dxa" w:w="3374"/>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Rôles métier absents de Pipedrive ; un siège payant par agent ; AF UC01.</w:t>
            </w:r>
          </w:p>
        </w:tc>
      </w:tr>
      <w:tr>
        <w:trPr>
          <w:cantSplit/>
        </w:trPr>
        <w:tc>
          <w:tcPr>
            <w:tcW w:type="dxa" w:w="3084"/>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UC-02 Consulter le compte connecté</w:t>
            </w:r>
          </w:p>
        </w:tc>
        <w:tc>
          <w:tcPr>
            <w:tcW w:type="dxa" w:w="318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Remplacé par </w:t>
            </w:r>
            <w:r>
              <w:rPr>
                <w:rFonts w:ascii="Consolas" w:cs="Consolas" w:eastAsia="Consolas" w:hAnsi="Consolas"/>
                <w:color w:val="7A2E0E"/>
                <w:sz w:val="15"/>
                <w:szCs w:val="15"/>
              </w:rPr>
              <w:t xml:space="preserve">GET /auth/me</w:t>
            </w:r>
            <w:r>
              <w:rPr>
                <w:sz w:val="18"/>
                <w:szCs w:val="18"/>
              </w:rPr>
              <w:t xml:space="preserve"> et </w:t>
            </w:r>
            <w:r>
              <w:rPr>
                <w:rFonts w:ascii="Consolas" w:cs="Consolas" w:eastAsia="Consolas" w:hAnsi="Consolas"/>
                <w:color w:val="7A2E0E"/>
                <w:sz w:val="15"/>
                <w:szCs w:val="15"/>
              </w:rPr>
              <w:t xml:space="preserve">/admin/sante/pipedrive</w:t>
            </w:r>
            <w:r>
              <w:rPr>
                <w:sz w:val="18"/>
                <w:szCs w:val="18"/>
              </w:rPr>
              <w:t xml:space="preserve"> (OP-01)</w:t>
            </w:r>
          </w:p>
        </w:tc>
        <w:tc>
          <w:tcPr>
            <w:tcW w:type="dxa" w:w="3374"/>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Le compte Pipedrive est un compte de service, pas celui de l’agent.</w:t>
            </w:r>
          </w:p>
        </w:tc>
      </w:tr>
      <w:tr>
        <w:trPr>
          <w:cantSplit/>
        </w:trPr>
        <w:tc>
          <w:tcPr>
            <w:tcW w:type="dxa" w:w="3084"/>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UC-03 à UC-05 Activités (créer, consulter, modifier)</w:t>
            </w:r>
          </w:p>
        </w:tc>
        <w:tc>
          <w:tcPr>
            <w:tcW w:type="dxa" w:w="318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Intégrés à UC14 (automatique) et UC04 (consultation)</w:t>
            </w:r>
          </w:p>
        </w:tc>
        <w:tc>
          <w:tcPr>
            <w:tcW w:type="dxa" w:w="3374"/>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Les activités sont la projection des événements métier (RG11).</w:t>
            </w:r>
          </w:p>
        </w:tc>
      </w:tr>
      <w:tr>
        <w:trPr>
          <w:cantSplit/>
        </w:trPr>
        <w:tc>
          <w:tcPr>
            <w:tcW w:type="dxa" w:w="3084"/>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UC-06 à UC-11 Fichiers (téléverser, métadonnées, télécharger, associer, supprimer, lien distant)</w:t>
            </w:r>
          </w:p>
        </w:tc>
        <w:tc>
          <w:tcPr>
            <w:tcW w:type="dxa" w:w="318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Reportés à une version ultérieure</w:t>
            </w:r>
          </w:p>
        </w:tc>
        <w:tc>
          <w:tcPr>
            <w:tcW w:type="dxa" w:w="3374"/>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CDC §5.6 et RG10 ; AF H3. Nécessite une étude du stockage et du cadre légal.</w:t>
            </w:r>
          </w:p>
        </w:tc>
      </w:tr>
      <w:tr>
        <w:trPr>
          <w:cantSplit/>
        </w:trPr>
        <w:tc>
          <w:tcPr>
            <w:tcW w:type="dxa" w:w="3084"/>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UC-12 Consulter un acte et ses références</w:t>
            </w:r>
          </w:p>
        </w:tc>
        <w:tc>
          <w:tcPr>
            <w:tcW w:type="dxa" w:w="3180"/>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UC04</w:t>
            </w:r>
          </w:p>
        </w:tc>
        <w:tc>
          <w:tcPr>
            <w:tcW w:type="dxa" w:w="3374"/>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Même objectif.</w:t>
            </w:r>
          </w:p>
        </w:tc>
      </w:tr>
      <w:tr>
        <w:trPr>
          <w:cantSplit/>
        </w:trPr>
        <w:tc>
          <w:tcPr>
            <w:tcW w:type="dxa" w:w="3084"/>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UC-13 Gérer un échec de Pipedrive</w:t>
            </w:r>
          </w:p>
        </w:tc>
        <w:tc>
          <w:tcPr>
            <w:tcW w:type="dxa" w:w="3180"/>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UC14, UC15 et §7.2</w:t>
            </w:r>
          </w:p>
        </w:tc>
        <w:tc>
          <w:tcPr>
            <w:tcW w:type="dxa" w:w="3374"/>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Traitement asynchrone et catalogue d’erreurs.</w:t>
            </w:r>
          </w:p>
        </w:tc>
      </w:tr>
    </w:tbl>
    <w:p>
      <w:pPr>
        <w:spacing w:after="80"/>
      </w:pPr>
    </w:p>
    <w:p>
      <w:pPr>
        <w:pStyle w:val="Heading1"/>
      </w:pPr>
      <w:r>
        <w:t xml:space="preserve">11. Points ouverts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4"/>
        <w:gridCol w:w="3373"/>
        <w:gridCol w:w="3662"/>
        <w:gridCol w:w="1929"/>
      </w:tblGrid>
      <w:tr>
        <w:trPr>
          <w:tblHeader/>
        </w:trPr>
        <w:tc>
          <w:tcPr>
            <w:tcW w:type="dxa" w:w="674"/>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N°</w:t>
            </w:r>
          </w:p>
        </w:tc>
        <w:tc>
          <w:tcPr>
            <w:tcW w:type="dxa" w:w="3373"/>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Point</w:t>
            </w:r>
          </w:p>
        </w:tc>
        <w:tc>
          <w:tcPr>
            <w:tcW w:type="dxa" w:w="3662"/>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État</w:t>
            </w:r>
          </w:p>
        </w:tc>
        <w:tc>
          <w:tcPr>
            <w:tcW w:type="dxa" w:w="1929"/>
            <w:tcBorders>
              <w:top w:val="single" w:color="A6B8CC" w:sz="4"/>
              <w:left w:val="single" w:color="A6B8CC" w:sz="4"/>
              <w:bottom w:val="single" w:color="A6B8CC" w:sz="4"/>
              <w:right w:val="single" w:color="A6B8CC" w:sz="4"/>
            </w:tcBorders>
            <w:shd w:fill="1F4E79" w:color="auto" w:val="clear"/>
            <w:tcMar>
              <w:top w:type="dxa" w:w="50"/>
              <w:left w:type="dxa" w:w="90"/>
              <w:bottom w:type="dxa" w:w="50"/>
              <w:right w:type="dxa" w:w="90"/>
            </w:tcMar>
            <w:vAlign w:val="center"/>
          </w:tcPr>
          <w:p>
            <w:pPr>
              <w:spacing w:after="30" w:before="30"/>
            </w:pPr>
            <w:r>
              <w:rPr>
                <w:b/>
                <w:bCs/>
                <w:color w:val="FFFFFF"/>
                <w:sz w:val="18"/>
                <w:szCs w:val="18"/>
              </w:rPr>
              <w:t xml:space="preserve">Impact</w:t>
            </w:r>
          </w:p>
        </w:tc>
      </w:tr>
      <w:tr>
        <w:trPr>
          <w:cantSplit/>
        </w:trPr>
        <w:tc>
          <w:tcPr>
            <w:tcW w:type="dxa" w:w="674"/>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P1</w:t>
            </w:r>
          </w:p>
        </w:tc>
        <w:tc>
          <w:tcPr>
            <w:tcW w:type="dxa" w:w="337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Liste définitive des acteurs et rôles</w:t>
            </w:r>
          </w:p>
        </w:tc>
        <w:tc>
          <w:tcPr>
            <w:tcW w:type="dxa" w:w="366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Proposition retenue (§2) ; à confirmer</w:t>
            </w:r>
          </w:p>
        </w:tc>
        <w:tc>
          <w:tcPr>
            <w:tcW w:type="dxa" w:w="192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UC01, UC02</w:t>
            </w:r>
          </w:p>
        </w:tc>
      </w:tr>
      <w:tr>
        <w:trPr>
          <w:cantSplit/>
        </w:trPr>
        <w:tc>
          <w:tcPr>
            <w:tcW w:type="dxa" w:w="674"/>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P2</w:t>
            </w:r>
          </w:p>
        </w:tc>
        <w:tc>
          <w:tcPr>
            <w:tcW w:type="dxa" w:w="337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Pièces requises exactes par démarche</w:t>
            </w:r>
          </w:p>
        </w:tc>
        <w:tc>
          <w:tcPr>
            <w:tcW w:type="dxa" w:w="366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Hypothèses paramétrables (§6.2) ; à valider avec un agent d’état civil</w:t>
            </w:r>
          </w:p>
        </w:tc>
        <w:tc>
          <w:tcPr>
            <w:tcW w:type="dxa" w:w="192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RM03, UC16</w:t>
            </w:r>
          </w:p>
        </w:tc>
      </w:tr>
      <w:tr>
        <w:trPr>
          <w:cantSplit/>
        </w:trPr>
        <w:tc>
          <w:tcPr>
            <w:tcW w:type="dxa" w:w="674"/>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P3</w:t>
            </w:r>
          </w:p>
        </w:tc>
        <w:tc>
          <w:tcPr>
            <w:tcW w:type="dxa" w:w="337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Pipeline et étapes Pipedrive</w:t>
            </w:r>
          </w:p>
        </w:tc>
        <w:tc>
          <w:tcPr>
            <w:tcW w:type="dxa" w:w="366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Résolu : un pipeline « Actes administratifs » à 6 étapes, créé par le script d’initialisation (ISD OP-05 à OP-08)</w:t>
            </w:r>
          </w:p>
        </w:tc>
        <w:tc>
          <w:tcPr>
            <w:tcW w:type="dxa" w:w="192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UC14</w:t>
            </w:r>
          </w:p>
        </w:tc>
      </w:tr>
      <w:tr>
        <w:trPr>
          <w:cantSplit/>
        </w:trPr>
        <w:tc>
          <w:tcPr>
            <w:tcW w:type="dxa" w:w="674"/>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P4</w:t>
            </w:r>
          </w:p>
        </w:tc>
        <w:tc>
          <w:tcPr>
            <w:tcW w:type="dxa" w:w="337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Séparation instructeur / décideur</w:t>
            </w:r>
          </w:p>
        </w:tc>
        <w:tc>
          <w:tcPr>
            <w:tcW w:type="dxa" w:w="366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Paramètre, actif par défaut ; à confirmer</w:t>
            </w:r>
          </w:p>
        </w:tc>
        <w:tc>
          <w:tcPr>
            <w:tcW w:type="dxa" w:w="192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RM09, UC10</w:t>
            </w:r>
          </w:p>
        </w:tc>
      </w:tr>
      <w:tr>
        <w:trPr>
          <w:cantSplit/>
        </w:trPr>
        <w:tc>
          <w:tcPr>
            <w:tcW w:type="dxa" w:w="674"/>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P5</w:t>
            </w:r>
          </w:p>
        </w:tc>
        <w:tc>
          <w:tcPr>
            <w:tcW w:type="dxa" w:w="337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Base de données propre</w:t>
            </w:r>
          </w:p>
        </w:tc>
        <w:tc>
          <w:tcPr>
            <w:tcW w:type="dxa" w:w="366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Résolu : PostgreSQL</w:t>
            </w:r>
          </w:p>
        </w:tc>
        <w:tc>
          <w:tcPr>
            <w:tcW w:type="dxa" w:w="192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Conception</w:t>
            </w:r>
          </w:p>
        </w:tc>
      </w:tr>
      <w:tr>
        <w:trPr>
          <w:cantSplit/>
        </w:trPr>
        <w:tc>
          <w:tcPr>
            <w:tcW w:type="dxa" w:w="674"/>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P6</w:t>
            </w:r>
          </w:p>
        </w:tc>
        <w:tc>
          <w:tcPr>
            <w:tcW w:type="dxa" w:w="337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Mécanisme d’authentification</w:t>
            </w:r>
          </w:p>
        </w:tc>
        <w:tc>
          <w:tcPr>
            <w:tcW w:type="dxa" w:w="366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Résolu : JWT (30 min) + rafraîchissement (8 h), rôles en base</w:t>
            </w:r>
          </w:p>
        </w:tc>
        <w:tc>
          <w:tcPr>
            <w:tcW w:type="dxa" w:w="192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UC01</w:t>
            </w:r>
          </w:p>
        </w:tc>
      </w:tr>
      <w:tr>
        <w:trPr>
          <w:cantSplit/>
        </w:trPr>
        <w:tc>
          <w:tcPr>
            <w:tcW w:type="dxa" w:w="674"/>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P7</w:t>
            </w:r>
          </w:p>
        </w:tc>
        <w:tc>
          <w:tcPr>
            <w:tcW w:type="dxa" w:w="337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Opérations Pipedrive et limites du plan</w:t>
            </w:r>
          </w:p>
        </w:tc>
        <w:tc>
          <w:tcPr>
            <w:tcW w:type="dxa" w:w="366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Résolu par l’ISD v2.0 ; limites à mesurer sur le compte sandbox</w:t>
            </w:r>
          </w:p>
        </w:tc>
        <w:tc>
          <w:tcPr>
            <w:tcW w:type="dxa" w:w="192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UC13, UC14</w:t>
            </w:r>
          </w:p>
        </w:tc>
      </w:tr>
      <w:tr>
        <w:trPr>
          <w:cantSplit/>
        </w:trPr>
        <w:tc>
          <w:tcPr>
            <w:tcW w:type="dxa" w:w="674"/>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P8</w:t>
            </w:r>
          </w:p>
        </w:tc>
        <w:tc>
          <w:tcPr>
            <w:tcW w:type="dxa" w:w="337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Technologie Python / FastAPI au lieu de Spring Boot</w:t>
            </w:r>
          </w:p>
        </w:tc>
        <w:tc>
          <w:tcPr>
            <w:tcW w:type="dxa" w:w="366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À valider par l’encadrant</w:t>
            </w:r>
          </w:p>
        </w:tc>
        <w:tc>
          <w:tcPr>
            <w:tcW w:type="dxa" w:w="192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CDC §7.3</w:t>
            </w:r>
          </w:p>
        </w:tc>
      </w:tr>
      <w:tr>
        <w:trPr>
          <w:cantSplit/>
        </w:trPr>
        <w:tc>
          <w:tcPr>
            <w:tcW w:type="dxa" w:w="674"/>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P9</w:t>
            </w:r>
          </w:p>
        </w:tc>
        <w:tc>
          <w:tcPr>
            <w:tcW w:type="dxa" w:w="337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Champs exacts des endpoints Pipedrive v2</w:t>
            </w:r>
          </w:p>
        </w:tc>
        <w:tc>
          <w:tcPr>
            <w:tcW w:type="dxa" w:w="366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À confirmer par les tests de contrat ISD-T01 à ISD-T16</w:t>
            </w:r>
          </w:p>
        </w:tc>
        <w:tc>
          <w:tcPr>
            <w:tcW w:type="dxa" w:w="192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ISD §6</w:t>
            </w:r>
          </w:p>
        </w:tc>
      </w:tr>
      <w:tr>
        <w:trPr>
          <w:cantSplit/>
        </w:trPr>
        <w:tc>
          <w:tcPr>
            <w:tcW w:type="dxa" w:w="674"/>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P10</w:t>
            </w:r>
          </w:p>
        </w:tc>
        <w:tc>
          <w:tcPr>
            <w:tcW w:type="dxa" w:w="3373"/>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Transition EN_INSTRUCTION → INCOMPLET</w:t>
            </w:r>
          </w:p>
        </w:tc>
        <w:tc>
          <w:tcPr>
            <w:tcW w:type="dxa" w:w="3662"/>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Proposée, non retenue en V1</w:t>
            </w:r>
          </w:p>
        </w:tc>
        <w:tc>
          <w:tcPr>
            <w:tcW w:type="dxa" w:w="1929"/>
            <w:tcBorders>
              <w:top w:val="single" w:color="A6B8CC" w:sz="4"/>
              <w:left w:val="single" w:color="A6B8CC" w:sz="4"/>
              <w:bottom w:val="single" w:color="A6B8CC" w:sz="4"/>
              <w:right w:val="single" w:color="A6B8CC" w:sz="4"/>
            </w:tcBorders>
            <w:shd w:fill="F2F6FA" w:color="auto" w:val="clear"/>
            <w:tcMar>
              <w:top w:type="dxa" w:w="50"/>
              <w:left w:type="dxa" w:w="90"/>
              <w:bottom w:type="dxa" w:w="50"/>
              <w:right w:type="dxa" w:w="90"/>
            </w:tcMar>
          </w:tcPr>
          <w:p>
            <w:pPr>
              <w:spacing w:after="30" w:before="30"/>
            </w:pPr>
            <w:r>
              <w:rPr>
                <w:sz w:val="18"/>
                <w:szCs w:val="18"/>
              </w:rPr>
              <w:t xml:space="preserve">§4.2</w:t>
            </w:r>
          </w:p>
        </w:tc>
      </w:tr>
      <w:tr>
        <w:trPr>
          <w:cantSplit/>
        </w:trPr>
        <w:tc>
          <w:tcPr>
            <w:tcW w:type="dxa" w:w="674"/>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P11</w:t>
            </w:r>
          </w:p>
        </w:tc>
        <w:tc>
          <w:tcPr>
            <w:tcW w:type="dxa" w:w="3373"/>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Décision complémentaire</w:t>
            </w:r>
          </w:p>
        </w:tc>
        <w:tc>
          <w:tcPr>
            <w:tcW w:type="dxa" w:w="3662"/>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Non retenue en V1 (une décision par dossier)</w:t>
            </w:r>
          </w:p>
        </w:tc>
        <w:tc>
          <w:tcPr>
            <w:tcW w:type="dxa" w:w="1929"/>
            <w:tcBorders>
              <w:top w:val="single" w:color="A6B8CC" w:sz="4"/>
              <w:left w:val="single" w:color="A6B8CC" w:sz="4"/>
              <w:bottom w:val="single" w:color="A6B8CC" w:sz="4"/>
              <w:right w:val="single" w:color="A6B8CC" w:sz="4"/>
            </w:tcBorders>
            <w:tcMar>
              <w:top w:type="dxa" w:w="50"/>
              <w:left w:type="dxa" w:w="90"/>
              <w:bottom w:type="dxa" w:w="50"/>
              <w:right w:type="dxa" w:w="90"/>
            </w:tcMar>
          </w:tcPr>
          <w:p>
            <w:pPr>
              <w:spacing w:after="30" w:before="30"/>
            </w:pPr>
            <w:r>
              <w:rPr>
                <w:sz w:val="18"/>
                <w:szCs w:val="18"/>
              </w:rPr>
              <w:t xml:space="preserve">UC10</w:t>
            </w:r>
          </w:p>
        </w:tc>
      </w:tr>
    </w:tbl>
    <w:p>
      <w:pPr>
        <w:spacing w:after="80"/>
      </w:pPr>
    </w:p>
    <w:p>
      <w:pPr>
        <w:pStyle w:val="Heading1"/>
      </w:pPr>
      <w:r>
        <w:t xml:space="preserve">Annexe A — Conventions des diagrammes</w:t>
      </w:r>
    </w:p>
    <w:p>
      <w:pPr>
        <w:spacing w:after="100" w:line="276"/>
      </w:pPr>
      <w:r>
        <w:t xml:space="preserve">Les rectangles bleus représentent les participants ; les lignes verticales pointillées leur ligne de vie. Les flèches pleines sont des appels, les flèches pointillées des retours. Les cadres « alt » présentent des alternatives, « opt » une option, « loop » une répétition. Les routes Pipedrive affichées sont celles de l’ISD-001 v2.0 (opérations OP-xx).</w:t>
      </w:r>
    </w:p>
    <w:sectPr>
      <w:headerReference w:type="default" r:id="rId7"/>
      <w:footerReference w:type="default" r:id="rId8"/>
      <w:pgSz w:w="11906" w:h="16838" w:orient="portrait"/>
      <w:pgMar w:top="1134" w:right="1134" w:bottom="1134" w:left="1134" w:header="56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FRS v3.0 — Document de travail  |  Page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B8CC" w:sz="4" w:space="4"/>
      </w:pBdr>
    </w:pPr>
    <w:r>
      <w:rPr>
        <w:b/>
        <w:bCs/>
        <w:color w:val="1F4E79"/>
        <w:sz w:val="16"/>
        <w:szCs w:val="16"/>
      </w:rPr>
      <w:t xml:space="preserve">FRS v3.0 — API intermédiaire de gestion des actes administratifs / Pipedrive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Calibri" w:cs="Calibri" w:eastAsia="Calibri" w:hAnsi="Calibri"/>
      <w:b/>
      <w:bCs/>
      <w:color w:val="1F4E79"/>
      <w:sz w:val="30"/>
      <w:szCs w:val="30"/>
    </w:rPr>
  </w:style>
  <w:style w:type="paragraph" w:styleId="Heading2">
    <w:name w:val="Heading 2"/>
    <w:basedOn w:val="Normal"/>
    <w:next w:val="Normal"/>
    <w:qFormat/>
    <w:pPr>
      <w:keepNext/>
      <w:spacing w:after="100" w:before="260"/>
      <w:outlineLvl w:val="1"/>
    </w:pPr>
    <w:rPr>
      <w:rFonts w:ascii="Calibri" w:cs="Calibri" w:eastAsia="Calibri" w:hAnsi="Calibri"/>
      <w:b/>
      <w:bCs/>
      <w:color w:val="2E75B6"/>
      <w:sz w:val="25"/>
      <w:szCs w:val="25"/>
    </w:rPr>
  </w:style>
  <w:style w:type="paragraph" w:styleId="Heading3">
    <w:name w:val="Heading 3"/>
    <w:basedOn w:val="Normal"/>
    <w:next w:val="Normal"/>
    <w:qFormat/>
    <w:pPr>
      <w:keepNext/>
      <w:spacing w:after="80" w:before="200"/>
      <w:outlineLvl w:val="2"/>
    </w:pPr>
    <w:rPr>
      <w:rFonts w:ascii="Calibri" w:cs="Calibri" w:eastAsia="Calibri" w:hAnsi="Calibri"/>
      <w:b/>
      <w:bCs/>
      <w:color w:val="1B1B1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c57f3e818d96903b0d5f2729098cdfa729a1735.png"/><Relationship Id="rId10" Type="http://schemas.openxmlformats.org/officeDocument/2006/relationships/image" Target="media/e6460f3a0a9cd04fff173e8fb058dac5d52f7eac.png"/><Relationship Id="rId11" Type="http://schemas.openxmlformats.org/officeDocument/2006/relationships/image" Target="media/dbc49cba33ab332357caf0083deb4a625302f0c0.png"/><Relationship Id="rId12" Type="http://schemas.openxmlformats.org/officeDocument/2006/relationships/image" Target="media/cb74ae2b52824cef45e287c07e4f89af6de8e4b2.png"/><Relationship Id="rId13" Type="http://schemas.openxmlformats.org/officeDocument/2006/relationships/image" Target="media/2dd264cc8c3fc9ddfc393c14a8c9b2735a6136ce.png"/><Relationship Id="rId14" Type="http://schemas.openxmlformats.org/officeDocument/2006/relationships/image" Target="media/e3f519173f05bfac797b147af524cb20afcbb471.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FRS v3.0 — API intermédiaire de gestion des actes administratifs / Pipedrive</dc:title>
  <dc:creator>Groupe 3 — ENSPD</dc:creator>
  <cp:lastModifiedBy>Un-named</cp:lastModifiedBy>
  <cp:revision>1</cp:revision>
  <dcterms:created xsi:type="dcterms:W3CDTF">2026-10-29T17:59:29.633Z</dcterms:created>
  <dcterms:modified xsi:type="dcterms:W3CDTF">2026-10-29T17:59:29.635Z</dcterms:modified>
</cp:coreProperties>
</file>

<file path=docProps/custom.xml><?xml version="1.0" encoding="utf-8"?>
<Properties xmlns="http://schemas.openxmlformats.org/officeDocument/2006/custom-properties" xmlns:vt="http://schemas.openxmlformats.org/officeDocument/2006/docPropsVTypes"/>
</file>