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1. Conformité des OS Serveurs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Résultats Clés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Total serveurs analysés : 15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Serveurs non conformes : 6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Pourcentage de conformité : 60.00%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Détails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&lt;Ici, vous insérez un tableau Word&gt;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| En-tête 1 | En-tête 2 | ...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|-----------|-----------|-----|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&lt;Saut de ligne ou paragraphe vide&gt;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2. Couverture par l'agent CrowdStrike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Résultats Clés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Total serveurs analysés : 15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Serveurs non couverts : 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Pourcentage de couverture : 73.33%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Détails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&lt;Ici, vous insérez un tableau Word&gt;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| En-tête 1 | En-tête 2 | ...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|-----------|-----------|-----|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&lt;Saut de ligne ou paragraphe vide&gt;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3. Couverture par l'agent Tanium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Résultats Clés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Total serveurs analysés : 15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Serveurs non couverts : 4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 Pourcentage de couverture : 73.33%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Détails 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&lt;Ici, vous insérez un tableau Word&gt;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| En-tête 1 | En-tête 2 | ...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|-----------|-----------|-----|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  |  | ...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&lt;Saut de ligne ou paragraphe vide&gt;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2025-09-04T03:09:35Z</dcterms:modified>
  <dc:creator/>
  <dc:description/>
  <dc:identifier/>
  <dc:language/>
  <dc:subject/>
</cp:coreProperties>
</file>