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Description du contrôle :</w:t>
      </w:r>
    </w:p>
    <w:p>
      <w:pPr>
        <w:jc w:val="left"/>
      </w:pPr>
      <w:r>
        <w:t>Ce contrôle a pour but d'assurer le suivi de la conformité des serveurs du Groupe SABC.</w:t>
      </w:r>
    </w:p>
    <w:p/>
    <w:p>
      <w:pPr>
        <w:pStyle w:val="Heading1"/>
      </w:pPr>
      <w:r>
        <w:t>Analyse :</w:t>
      </w:r>
    </w:p>
    <w:p>
      <w:pPr>
        <w:jc w:val="left"/>
      </w:pPr>
      <w:r>
        <w:t>• Ressortir les serveurs de l'AD qui n'apparaissent pas sur CrowdStrike ;</w:t>
        <w:br/>
        <w:t>• Ressortir les serveurs de l'AD qui n'apparaissent pas sur Tanium ;</w:t>
        <w:br/>
        <w:t>• Ressortir les serveurs de l'AD dont l'OS est antérieur à Windows Server 2016.</w:t>
      </w:r>
    </w:p>
    <w:p/>
    <w:p>
      <w:pPr>
        <w:pStyle w:val="Heading1"/>
      </w:pPr>
      <w:r>
        <w:t>Résultats :</w:t>
      </w:r>
    </w:p>
    <w:p>
      <w:pPr>
        <w:pStyle w:val="Heading2"/>
      </w:pPr>
      <w:r>
        <w:t>1. Conformité des OS Serveurs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</w:rPr>
        <w:t xml:space="preserve">Total serveurs analysés: </w:t>
      </w:r>
      <w:r>
        <w:t>284</w:t>
      </w:r>
    </w:p>
    <w:p>
      <w:pPr>
        <w:pStyle w:val="ListBullet"/>
      </w:pPr>
      <w:r>
        <w:rPr>
          <w:b/>
        </w:rPr>
        <w:t xml:space="preserve">Serveurs non conformes: </w:t>
      </w:r>
      <w:r>
        <w:t>0</w:t>
      </w:r>
    </w:p>
    <w:p>
      <w:pPr>
        <w:pStyle w:val="ListBullet"/>
      </w:pPr>
      <w:r>
        <w:rPr>
          <w:b/>
        </w:rPr>
        <w:t xml:space="preserve">Pourcentage de conformité: </w:t>
      </w:r>
      <w:r>
        <w:t>100.00%</w:t>
      </w:r>
    </w:p>
    <w:p>
      <w:pPr>
        <w:pStyle w:val="ListBullet"/>
      </w:pPr>
      <w:r>
        <w:rPr>
          <w:b/>
        </w:rPr>
        <w:t xml:space="preserve">OK: </w:t>
      </w:r>
      <w:r>
        <w:t>284</w:t>
      </w:r>
    </w:p>
    <w:p>
      <w:pPr>
        <w:pStyle w:val="ListBullet"/>
      </w:pPr>
      <w:r>
        <w:rPr>
          <w:b/>
        </w:rPr>
        <w:t xml:space="preserve">NOK: </w:t>
      </w:r>
      <w:r>
        <w:t>0</w:t>
      </w:r>
    </w:p>
    <w:p>
      <w:pPr>
        <w:pStyle w:val="Heading3"/>
      </w:pPr>
      <w:r>
        <w:t>Graphiques</w:t>
      </w:r>
    </w:p>
    <w:p>
      <w:pPr>
        <w:jc w:val="center"/>
      </w:pPr>
      <w:r>
        <w:rPr>
          <w:b/>
        </w:rPr>
        <w:t>Conformité 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3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a0rum3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39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2. Couverture par l'agent CrowdStrike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</w:rPr>
        <w:t xml:space="preserve">Total serveurs analysés: </w:t>
      </w:r>
      <w:r>
        <w:t>284</w:t>
      </w:r>
    </w:p>
    <w:p>
      <w:pPr>
        <w:pStyle w:val="ListBullet"/>
      </w:pPr>
      <w:r>
        <w:rPr>
          <w:b/>
        </w:rPr>
        <w:t xml:space="preserve">Serveurs non couverts (final): </w:t>
      </w:r>
      <w:r>
        <w:t>2</w:t>
      </w:r>
    </w:p>
    <w:p>
      <w:pPr>
        <w:pStyle w:val="ListBullet"/>
      </w:pPr>
      <w:r>
        <w:rPr>
          <w:b/>
        </w:rPr>
        <w:t xml:space="preserve">Pourcentage de couverture (final): </w:t>
      </w:r>
      <w:r>
        <w:t>99.30%</w:t>
      </w:r>
    </w:p>
    <w:p>
      <w:pPr>
        <w:pStyle w:val="ListBullet"/>
      </w:pPr>
      <w:r>
        <w:rPr>
          <w:b/>
        </w:rPr>
        <w:t xml:space="preserve">OK: </w:t>
      </w:r>
      <w:r>
        <w:t>282</w:t>
      </w:r>
    </w:p>
    <w:p>
      <w:pPr>
        <w:pStyle w:val="ListBullet"/>
      </w:pPr>
      <w:r>
        <w:rPr>
          <w:b/>
        </w:rPr>
        <w:t xml:space="preserve">NOK: </w:t>
      </w:r>
      <w:r>
        <w:t>2</w:t>
      </w:r>
    </w:p>
    <w:p>
      <w:pPr>
        <w:pStyle w:val="Heading3"/>
      </w:pPr>
      <w:r>
        <w:t>Graphiques</w:t>
      </w:r>
    </w:p>
    <w:p>
      <w:pPr>
        <w:jc w:val="center"/>
      </w:pPr>
      <w:r>
        <w:rPr>
          <w:b/>
        </w:rPr>
        <w:t>Conformité CrowdStrike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39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g3cmgo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39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Nom du Serveur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Conformité de base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Observations Suivi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Résultat Final</w:t>
            </w:r>
          </w:p>
        </w:tc>
      </w:tr>
      <w:tr>
        <w:tc>
          <w:tcPr>
            <w:tcW w:type="dxa" w:w="2160"/>
          </w:tcPr>
          <w:p>
            <w:r>
              <w:t>VEEAMSERVERBAF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A retirer du domaine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VEEAMSERVERYAO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A retirer du domaine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</w:tbl>
    <w:p/>
    <w:p>
      <w:pPr>
        <w:pStyle w:val="Heading2"/>
      </w:pPr>
      <w:r>
        <w:t>3. Couverture par l'agent Tanium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</w:rPr>
        <w:t xml:space="preserve">Total serveurs analysés: </w:t>
      </w:r>
      <w:r>
        <w:t>284</w:t>
      </w:r>
    </w:p>
    <w:p>
      <w:pPr>
        <w:pStyle w:val="ListBullet"/>
      </w:pPr>
      <w:r>
        <w:rPr>
          <w:b/>
        </w:rPr>
        <w:t xml:space="preserve">Serveurs non couverts (final): </w:t>
      </w:r>
      <w:r>
        <w:t>6</w:t>
      </w:r>
    </w:p>
    <w:p>
      <w:pPr>
        <w:pStyle w:val="ListBullet"/>
      </w:pPr>
      <w:r>
        <w:rPr>
          <w:b/>
        </w:rPr>
        <w:t xml:space="preserve">Pourcentage de couverture (final): </w:t>
      </w:r>
      <w:r>
        <w:t>97.89%</w:t>
      </w:r>
    </w:p>
    <w:p>
      <w:pPr>
        <w:pStyle w:val="ListBullet"/>
      </w:pPr>
      <w:r>
        <w:rPr>
          <w:b/>
        </w:rPr>
        <w:t xml:space="preserve">OK: </w:t>
      </w:r>
      <w:r>
        <w:t>278</w:t>
      </w:r>
    </w:p>
    <w:p>
      <w:pPr>
        <w:pStyle w:val="ListBullet"/>
      </w:pPr>
      <w:r>
        <w:rPr>
          <w:b/>
        </w:rPr>
        <w:t xml:space="preserve">NOK: </w:t>
      </w:r>
      <w:r>
        <w:t>6</w:t>
      </w:r>
    </w:p>
    <w:p>
      <w:pPr>
        <w:pStyle w:val="Heading3"/>
      </w:pPr>
      <w:r>
        <w:t>Graphiques</w:t>
      </w:r>
    </w:p>
    <w:p>
      <w:pPr>
        <w:jc w:val="center"/>
      </w:pPr>
      <w:r>
        <w:rPr>
          <w:b/>
        </w:rPr>
        <w:t>Conformité Tanium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39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_u0rqp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39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Nom du Serveur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Conformité de base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Observations Suivi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Résultat Final</w:t>
            </w:r>
          </w:p>
        </w:tc>
      </w:tr>
      <w:tr>
        <w:tc>
          <w:tcPr>
            <w:tcW w:type="dxa" w:w="2160"/>
          </w:tcPr>
          <w:p>
            <w:r>
              <w:t>NDOKUPCUT101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Pas installé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NDOKUSIN003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Pas installé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VEEAMSERVERBAF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A retirer du domaine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VEEAMSERVERYAO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A retirer du domaine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NDOKUSIN002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Pas installé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LDSAPPLIL16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A retirer du domaine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</w:tbl>
    <w:p/>
    <w:p/>
    <w:p>
      <w:pPr>
        <w:pStyle w:val="Heading1"/>
      </w:pPr>
      <w:r>
        <w:t>Recommandations :</w:t>
      </w:r>
    </w:p>
    <w:p/>
    <w:p/>
    <w:p/>
    <w:p/>
    <w:p>
      <w:pPr>
        <w:pStyle w:val="Heading1"/>
      </w:pPr>
      <w:r>
        <w:t>Évidence de suivi des exceptions :</w:t>
      </w:r>
    </w:p>
    <w:p/>
    <w:p/>
    <w:p/>
    <w:p>
      <w:r>
        <w:br w:type="page"/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Rédaction</w:t>
            </w:r>
          </w:p>
        </w:tc>
        <w:tc>
          <w:tcPr>
            <w:tcW w:type="dxa" w:w="3456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Révision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Approbation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Nom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Edward NANDA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Armel NGATCHUI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Blaise NDANGANG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Fonction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POGR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RSSI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DSI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Date &amp; Signature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2160"/>
      <w:gridCol w:w="5328"/>
      <w:gridCol w:w="1872"/>
    </w:tblGrid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Version 1.4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 w:val="0"/>
              <w:color w:val="FF0000"/>
              <w:sz w:val="16"/>
            </w:rPr>
            <w:t>Ce document est la propriété de Boissons du Cameroun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/>
              <w:color w:val="808080"/>
              <w:sz w:val="16"/>
            </w:rPr>
            <w:t xml:space="preserve">P a g e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b/>
              <w:color w:val="808080"/>
              <w:sz w:val="16"/>
            </w:rPr>
            <w:t xml:space="preserve"> sur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RESTREINT</w:t>
          </w:r>
        </w:p>
      </w:tc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right w:val="single" w:sz="4" w:space="0" w:color="000000"/>
        <w:bottom w:val="none" w:sz="0"/>
        <w:insideH w:val="none" w:sz="0"/>
        <w:insideV w:val="none" w:sz="0"/>
      </w:tblBorders>
    </w:tblPr>
    <w:tblGrid>
      <w:gridCol w:w="1440"/>
      <w:gridCol w:w="5040"/>
      <w:gridCol w:w="2160"/>
    </w:tblGrid>
    <w:tr>
      <w:tc>
        <w:tcPr>
          <w:tcW w:type="dxa" w:w="28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731520" cy="44892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efaul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44892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28"/>
            </w:rPr>
            <w:t>Analyse de Conformité des Serveurs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CTL_SSI_01_SRV_2025_12_08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bottom w:val="none" w:sz="0"/>
      </w:tblBorders>
    </w:tblPr>
    <w:tblGrid>
      <w:gridCol w:w="1440"/>
      <w:gridCol w:w="1440"/>
      <w:gridCol w:w="1440"/>
      <w:gridCol w:w="1440"/>
      <w:gridCol w:w="1440"/>
      <w:gridCol w:w="1440"/>
    </w:tblGrid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Application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Couche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Référence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Conclusion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contrôle</w:t>
          </w:r>
        </w:p>
      </w:tc>
    </w:tr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CrowdStrike, Tanium, AD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Physique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R24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Absence de contrôle efficace de modification de configuration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28600" cy="22465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pu336l2db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4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Conformité des serveurs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bottom w:val="single" w:sz="4" w:space="0" w:color="000000"/>
        <w:insideV w:val="single" w:sz="4" w:space="0" w:color="000000"/>
        <w:insideH w:val="none" w:sz="0"/>
      </w:tblBorders>
    </w:tblPr>
    <w:tblGrid>
      <w:gridCol w:w="4608"/>
      <w:gridCol w:w="2592"/>
      <w:gridCol w:w="1440"/>
    </w:tblGrid>
    <w:tr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Destinataire : </w:t>
          </w:r>
          <w:r>
            <w:rPr>
              <w:rFonts w:ascii="Arial" w:hAnsi="Arial"/>
              <w:sz w:val="14"/>
            </w:rPr>
            <w:t>Tout le personnel de la direction des systèmes d'informations</w:t>
          </w:r>
        </w:p>
      </w:tc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Ref Description : </w:t>
          </w:r>
          <w:r>
            <w:rPr>
              <w:rFonts w:ascii="Arial" w:hAnsi="Arial"/>
              <w:sz w:val="14"/>
            </w:rPr>
            <w:t>CTL_SSI_PHY_SRV_1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PS3_BC_SSI_FEN_3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