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267C" w14:textId="545B2C6E" w:rsidR="00803529" w:rsidRDefault="00803529" w:rsidP="00803529">
      <w:pPr>
        <w:pStyle w:val="Dateline"/>
      </w:pPr>
      <w:bookmarkStart w:id="1" w:name="_|1/M6ESzsE0agVlRZ62PyFQ==|1918|1"/>
      <w:bookmarkEnd w:id="1"/>
    </w:p>
    <w:p w14:paraId="48C45EC3" w14:textId="77777777" w:rsidR="000A21CC" w:rsidRPr="006D3267" w:rsidRDefault="000A21CC" w:rsidP="00803529">
      <w:pPr>
        <w:pStyle w:val="Dateline"/>
      </w:pPr>
      <w:bookmarkStart w:id="0" w:name="_GoBack"/>
      <w:bookmarkEnd w:id="0"/>
      <w:bookmarkStart w:id="2" w:name="_|1/M6ESzsE0agVlRZ62PyFQ==|1918|2"/>
      <w:bookmarkEnd w:id="2"/>
    </w:p>
    <w:p w14:paraId="64671B64" w14:textId="77777777" w:rsidR="00803529" w:rsidRPr="006D3267" w:rsidRDefault="00975C2C" w:rsidP="00803529">
      <w:pPr>
        <w:pStyle w:val="NoSpacing"/>
      </w:pPr>
      <w:r>
        <w:t>Mr</w:t>
      </w:r>
      <w:r w:rsidR="00803529" w:rsidRPr="006D3267">
        <w:t xml:space="preserve">. </w:t>
      </w:r>
      <w:r w:rsidR="00F414A8">
        <w:t>Max Loudon</w:t>
      </w:r>
      <w:bookmarkStart w:id="3" w:name="_|1/M6ESzsE0agVlRZ62PyFQ==|1918|3"/>
      <w:bookmarkEnd w:id="3"/>
    </w:p>
    <w:p w14:paraId="6292BBF2" w14:textId="77777777" w:rsidR="00F414A8" w:rsidRDefault="004A08A2" w:rsidP="00803529">
      <w:pPr>
        <w:pStyle w:val="NoSpacing"/>
      </w:pPr>
      <w:r>
        <w:t>Director of Human Resources</w:t>
      </w:r>
      <w:bookmarkStart w:id="4" w:name="_|1/M6ESzsE0agVlRZ62PyFQ==|1918|4"/>
      <w:bookmarkEnd w:id="4"/>
    </w:p>
    <w:p w14:paraId="32410CFB" w14:textId="77777777" w:rsidR="00803529" w:rsidRPr="006D3267" w:rsidRDefault="00F414A8" w:rsidP="00803529">
      <w:pPr>
        <w:pStyle w:val="NoSpacing"/>
      </w:pPr>
      <w:r>
        <w:t>Dunbar &amp; Gaines Insurance</w:t>
      </w:r>
      <w:bookmarkStart w:id="5" w:name="_|1/M6ESzsE0agVlRZ62PyFQ==|1918|5"/>
      <w:bookmarkEnd w:id="5"/>
    </w:p>
    <w:p w14:paraId="049BB967" w14:textId="77777777" w:rsidR="00803529" w:rsidRPr="006D3267" w:rsidRDefault="00F414A8" w:rsidP="00803529">
      <w:pPr>
        <w:pStyle w:val="NoSpacing"/>
      </w:pPr>
      <w:r>
        <w:t>2750</w:t>
      </w:r>
      <w:r w:rsidR="00803529">
        <w:t xml:space="preserve"> </w:t>
      </w:r>
      <w:r>
        <w:t>Wells</w:t>
      </w:r>
      <w:r w:rsidR="00803529">
        <w:t xml:space="preserve"> Street</w:t>
      </w:r>
      <w:bookmarkStart w:id="6" w:name="_|1/M6ESzsE0agVlRZ62PyFQ==|1918|6"/>
      <w:bookmarkEnd w:id="6"/>
    </w:p>
    <w:p w14:paraId="65244B14" w14:textId="77777777" w:rsidR="00803529" w:rsidRPr="006D3267" w:rsidRDefault="00EE364D" w:rsidP="00803529">
      <w:pPr>
        <w:spacing w:after="0" w:line="240" w:lineRule="auto"/>
      </w:pPr>
      <w:r>
        <w:t>Springfield</w:t>
      </w:r>
      <w:r w:rsidR="00F414A8">
        <w:t xml:space="preserve">, </w:t>
      </w:r>
      <w:r>
        <w:t>MA</w:t>
      </w:r>
      <w:r w:rsidR="00FF24E0">
        <w:t xml:space="preserve"> </w:t>
      </w:r>
      <w:r w:rsidR="00F414A8">
        <w:t>0</w:t>
      </w:r>
      <w:r>
        <w:t>1020</w:t>
      </w:r>
      <w:bookmarkStart w:id="7" w:name="_|1/M6ESzsE0agVlRZ62PyFQ==|1918|7"/>
      <w:bookmarkEnd w:id="7"/>
    </w:p>
    <w:p w14:paraId="3C6133FA" w14:textId="77777777" w:rsidR="00803529" w:rsidRPr="006D3267" w:rsidRDefault="00803529" w:rsidP="00803529">
      <w:pPr>
        <w:pStyle w:val="Greeting"/>
      </w:pPr>
      <w:r w:rsidRPr="006D3267">
        <w:t xml:space="preserve">Dear </w:t>
      </w:r>
      <w:r w:rsidR="00F414A8">
        <w:t>Mr. Loudon</w:t>
      </w:r>
      <w:r w:rsidRPr="006D3267">
        <w:t>:</w:t>
      </w:r>
      <w:bookmarkStart w:id="8" w:name="_|1/M6ESzsE0agVlRZ62PyFQ==|1918|8"/>
      <w:bookmarkEnd w:id="8"/>
    </w:p>
    <w:p w14:paraId="7813E55E" w14:textId="77777777" w:rsidR="00803529" w:rsidRPr="006D3267" w:rsidRDefault="00F414A8" w:rsidP="00803529">
      <w:r>
        <w:t xml:space="preserve">Have you considered expanding the community involvement program at Dunbar &amp; Gaines Insurance? Getting involved in the community is an effective way for your organization to build relationships and increase brand awarness. </w:t>
      </w:r>
      <w:r w:rsidR="00CA5664">
        <w:t>As part of Hutson Group’s continuing services, we have developed the enclosed guide to corporate community involvement programs.</w:t>
      </w:r>
      <w:bookmarkStart w:id="9" w:name="_|1/M6ESzsE0agVlRZ62PyFQ==|1918|9"/>
      <w:bookmarkEnd w:id="9"/>
    </w:p>
    <w:p w14:paraId="2E534867" w14:textId="77777777" w:rsidR="00803529" w:rsidRDefault="00CA5664" w:rsidP="00803529">
      <w:r>
        <w:t>The guide provides advice on how to set up or expand a community involvement program. It also summarizes the benefits reported by other companies who have such a program</w:t>
      </w:r>
      <w:r w:rsidR="000E20B5">
        <w:t>:</w:t>
      </w:r>
      <w:bookmarkStart w:id="10" w:name="_|1/M6ESzsE0agVlRZ62PyFQ==|1918|10"/>
      <w:bookmarkEnd w:id="10"/>
    </w:p>
    <w:p w14:paraId="4C0D57A2" w14:textId="77777777" w:rsidR="000E20B5" w:rsidRDefault="00CA5664" w:rsidP="000E20B5">
      <w:pPr>
        <w:pStyle w:val="ListParagraph"/>
        <w:numPr>
          <w:ilvl w:val="0"/>
          <w:numId w:val="4"/>
        </w:numPr>
      </w:pPr>
      <w:r>
        <w:t xml:space="preserve">Community involvement increases networking opportunities. </w:t>
      </w:r>
      <w:bookmarkStart w:id="11" w:name="_|1/M6ESzsE0agVlRZ62PyFQ==|1918|11"/>
      <w:bookmarkEnd w:id="11"/>
    </w:p>
    <w:p w14:paraId="36E7AEE1" w14:textId="77777777" w:rsidR="000E20B5" w:rsidRDefault="004A08A2" w:rsidP="000E20B5">
      <w:pPr>
        <w:pStyle w:val="ListParagraph"/>
        <w:numPr>
          <w:ilvl w:val="0"/>
          <w:numId w:val="4"/>
        </w:numPr>
      </w:pPr>
      <w:r>
        <w:t>Supporting the community builds a strong customer base.</w:t>
      </w:r>
      <w:bookmarkStart w:id="12" w:name="_|1/M6ESzsE0agVlRZ62PyFQ==|1918|12"/>
      <w:bookmarkEnd w:id="12"/>
    </w:p>
    <w:p w14:paraId="712CBD16" w14:textId="77777777" w:rsidR="000E20B5" w:rsidRDefault="004A08A2" w:rsidP="000E20B5">
      <w:pPr>
        <w:pStyle w:val="ListParagraph"/>
        <w:numPr>
          <w:ilvl w:val="0"/>
          <w:numId w:val="4"/>
        </w:numPr>
      </w:pPr>
      <w:r>
        <w:t>Customers seek and expect social responsibility.</w:t>
      </w:r>
      <w:bookmarkStart w:id="13" w:name="_|1/M6ESzsE0agVlRZ62PyFQ==|1918|13"/>
      <w:bookmarkEnd w:id="13"/>
    </w:p>
    <w:p w14:paraId="5C5EDC8B" w14:textId="77777777" w:rsidR="000E20B5" w:rsidRPr="006D3267" w:rsidRDefault="004A08A2" w:rsidP="000E20B5">
      <w:pPr>
        <w:pStyle w:val="ListParagraph"/>
        <w:numPr>
          <w:ilvl w:val="0"/>
          <w:numId w:val="4"/>
        </w:numPr>
      </w:pPr>
      <w:r>
        <w:t>Volunteering boosts employee retention and morale.</w:t>
      </w:r>
      <w:bookmarkStart w:id="14" w:name="_|1/M6ESzsE0agVlRZ62PyFQ==|1918|14"/>
      <w:bookmarkEnd w:id="14"/>
    </w:p>
    <w:p w14:paraId="3E3F9B89" w14:textId="77777777" w:rsidR="00803529" w:rsidRDefault="004A08A2" w:rsidP="00803529">
      <w:r>
        <w:t>After you look over the enclosed guide, please contact me if you need additional information.</w:t>
      </w:r>
      <w:bookmarkStart w:id="15" w:name="_|1/M6ESzsE0agVlRZ62PyFQ==|1918|15"/>
      <w:bookmarkEnd w:id="15"/>
    </w:p>
    <w:p w14:paraId="293EA4D9" w14:textId="77777777" w:rsidR="00803529" w:rsidRPr="006D3267" w:rsidRDefault="00803529" w:rsidP="00803529">
      <w:pPr>
        <w:tabs>
          <w:tab w:val="left" w:pos="5760"/>
        </w:tabs>
        <w:spacing w:after="720" w:line="240" w:lineRule="auto"/>
      </w:pPr>
      <w:r w:rsidRPr="006D3267">
        <w:t>Sincerely,</w:t>
      </w:r>
      <w:bookmarkStart w:id="16" w:name="_|1/M6ESzsE0agVlRZ62PyFQ==|1918|16"/>
      <w:bookmarkEnd w:id="16"/>
    </w:p>
    <w:p w14:paraId="6346D6A5" w14:textId="77777777" w:rsidR="00803529" w:rsidRDefault="004A08A2" w:rsidP="000E20B5">
      <w:pPr>
        <w:pStyle w:val="NoSpacing"/>
      </w:pPr>
      <w:r>
        <w:t>Victoria</w:t>
      </w:r>
      <w:r w:rsidR="000E20B5">
        <w:t xml:space="preserve"> </w:t>
      </w:r>
      <w:r>
        <w:t>Morales</w:t>
      </w:r>
      <w:bookmarkStart w:id="17" w:name="_|1/M6ESzsE0agVlRZ62PyFQ==|1918|17"/>
      <w:bookmarkEnd w:id="17"/>
    </w:p>
    <w:p w14:paraId="2FA57287" w14:textId="77777777" w:rsidR="000E20B5" w:rsidRPr="006D3267" w:rsidRDefault="004A08A2" w:rsidP="00803529">
      <w:pPr>
        <w:tabs>
          <w:tab w:val="left" w:pos="5760"/>
        </w:tabs>
        <w:spacing w:line="240" w:lineRule="auto"/>
      </w:pPr>
      <w:r>
        <w:t>Senior Consultant</w:t>
      </w:r>
      <w:bookmarkStart w:id="18" w:name="_|1/M6ESzsE0agVlRZ62PyFQ==|1918|18"/>
      <w:bookmarkEnd w:id="18"/>
    </w:p>
    <w:p w14:paraId="79275ECF" w14:textId="77777777" w:rsidR="00803529" w:rsidRDefault="000E20B5" w:rsidP="00803529">
      <w:r>
        <w:t>enc.</w:t>
      </w:r>
      <w:bookmarkStart w:id="19" w:name="_|1/M6ESzsE0agVlRZ62PyFQ==|1918|19"/>
      <w:bookmarkEnd w:id="19"/>
    </w:p>
    <w:p w14:paraId="766D2D1F" w14:textId="77777777" w:rsidR="00803529" w:rsidRDefault="00803529" w:rsidP="00803529">
      <w:r>
        <w:br w:type="page"/>
      </w:r>
      <w:bookmarkStart w:id="20" w:name="_|1/M6ESzsE0agVlRZ62PyFQ==|1918|20"/>
      <w:bookmarkEnd w:id="20"/>
    </w:p>
    <w:p w14:paraId="5568FD44" w14:textId="77777777" w:rsidR="00006DC5" w:rsidRPr="00B56C2B" w:rsidRDefault="00D96C78" w:rsidP="00052362">
      <w:pPr>
        <w:pStyle w:val="Subtitle"/>
        <w:spacing w:after="0"/>
      </w:pPr>
      <w:r w:rsidRPr="00052362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257FE949" wp14:editId="37255522">
            <wp:simplePos x="0" y="0"/>
            <wp:positionH relativeFrom="margin">
              <wp:posOffset>2583497</wp:posOffset>
            </wp:positionH>
            <wp:positionV relativeFrom="margin">
              <wp:posOffset>318</wp:posOffset>
            </wp:positionV>
            <wp:extent cx="885305" cy="731520"/>
            <wp:effectExtent l="63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ota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3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362">
        <w:t>A Comprehensive Guide to</w:t>
      </w:r>
      <w:bookmarkStart w:id="21" w:name="_|1/M6ESzsE0agVlRZ62PyFQ==|1918|21"/>
      <w:bookmarkEnd w:id="21"/>
    </w:p>
    <w:p w14:paraId="37C8EF0C" w14:textId="77777777" w:rsidR="00CA362C" w:rsidRPr="00052362" w:rsidRDefault="00052362" w:rsidP="000C154A">
      <w:pPr>
        <w:pStyle w:val="Title"/>
        <w:tabs>
          <w:tab w:val="left" w:pos="7488"/>
        </w:tabs>
        <w:spacing w:before="120" w:after="120"/>
        <w:rPr>
          <w:sz w:val="40"/>
          <w:szCs w:val="40"/>
        </w:rPr>
      </w:pPr>
      <w:r w:rsidRPr="00052362">
        <w:rPr>
          <w:sz w:val="40"/>
          <w:szCs w:val="40"/>
        </w:rPr>
        <w:t>Corporate Community Involvement Programs</w:t>
      </w:r>
      <w:bookmarkStart w:id="22" w:name="_|1/M6ESzsE0agVlRZ62PyFQ==|1918|22"/>
      <w:bookmarkEnd w:id="22"/>
    </w:p>
    <w:p w14:paraId="328774EE" w14:textId="77777777" w:rsidR="00006DC5" w:rsidRDefault="00052362" w:rsidP="00AB745C">
      <w:pPr>
        <w:tabs>
          <w:tab w:val="left" w:pos="7914"/>
        </w:tabs>
      </w:pPr>
      <w:r>
        <w:t>Service of the Hutson Group</w:t>
      </w:r>
      <w:r w:rsidR="00022AD7">
        <w:t xml:space="preserve"> [insert bullet] For Hutson clients only</w:t>
      </w:r>
      <w:bookmarkStart w:id="23" w:name="_|1/M6ESzsE0agVlRZ62PyFQ==|1918|23"/>
      <w:bookmarkEnd w:id="23"/>
    </w:p>
    <w:p w14:paraId="119D9293" w14:textId="77777777" w:rsidR="008F0309" w:rsidRPr="005B7227" w:rsidRDefault="00465EA7" w:rsidP="00022AD7">
      <w:pPr>
        <w:pStyle w:val="Heading1"/>
        <w:rPr>
          <w:sz w:val="26"/>
          <w:szCs w:val="26"/>
        </w:rPr>
      </w:pPr>
      <w:r w:rsidRPr="005B7227">
        <w:rPr>
          <w:sz w:val="26"/>
          <w:szCs w:val="26"/>
        </w:rPr>
        <w:t>Study on</w:t>
      </w:r>
      <w:r w:rsidR="00022AD7" w:rsidRPr="005B7227">
        <w:rPr>
          <w:sz w:val="26"/>
          <w:szCs w:val="26"/>
        </w:rPr>
        <w:t xml:space="preserve"> Community Involvement</w:t>
      </w:r>
      <w:bookmarkStart w:id="24" w:name="_|1/M6ESzsE0agVlRZ62PyFQ==|1918|24"/>
      <w:bookmarkEnd w:id="24"/>
    </w:p>
    <w:p w14:paraId="650CC926" w14:textId="77777777" w:rsidR="008F0309" w:rsidRDefault="00022AD7" w:rsidP="008F0309">
      <w:r w:rsidRPr="00022AD7">
        <w:rPr>
          <w:b/>
          <w:i/>
          <w:color w:val="DE6A5C" w:themeColor="accent2" w:themeTint="99"/>
        </w:rPr>
        <w:t>Hutson Group</w:t>
      </w:r>
      <w:r w:rsidR="008F0309">
        <w:t xml:space="preserve"> </w:t>
      </w:r>
      <w:r>
        <w:t xml:space="preserve">surveyed 100 businesses in diverse fields, including insurance, healthcare, financial, and media, to learn whether they instituted a </w:t>
      </w:r>
      <w:r w:rsidR="00D96C78">
        <w:t xml:space="preserve">corporate </w:t>
      </w:r>
      <w:r>
        <w:t xml:space="preserve">community involvement </w:t>
      </w:r>
      <w:r w:rsidR="00D96C78">
        <w:t xml:space="preserve">(CCI) </w:t>
      </w:r>
      <w:r>
        <w:t xml:space="preserve">program and to </w:t>
      </w:r>
      <w:r w:rsidRPr="00022AD7">
        <w:rPr>
          <w:u w:val="single"/>
        </w:rPr>
        <w:t>evaluate the success of those who did</w:t>
      </w:r>
      <w:r>
        <w:t xml:space="preserve">. </w:t>
      </w:r>
      <w:r w:rsidR="00465EA7">
        <w:t xml:space="preserve">We asked about the strategies, outcomes, and impact of the programs. </w:t>
      </w:r>
      <w:r w:rsidR="00465EA7" w:rsidRPr="00074407">
        <w:rPr>
          <w:b/>
        </w:rPr>
        <w:t>The response was overwhelmingly positive.</w:t>
      </w:r>
      <w:bookmarkStart w:id="25" w:name="_|1/M6ESzsE0agVlRZ62PyFQ==|1918|25"/>
      <w:bookmarkEnd w:id="25"/>
    </w:p>
    <w:p w14:paraId="368D960A" w14:textId="77777777" w:rsidR="008F0309" w:rsidRPr="008F0309" w:rsidRDefault="00CE37D8" w:rsidP="008F0309">
      <w:r>
        <w:rPr>
          <w:noProof/>
        </w:rPr>
        <w:drawing>
          <wp:inline distT="0" distB="0" distL="0" distR="0" wp14:anchorId="2E3FDB5C" wp14:editId="62CF2260">
            <wp:extent cx="3657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dience_da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|1/M6ESzsE0agVlRZ62PyFQ==|1918|26"/>
      <w:bookmarkEnd w:id="26"/>
    </w:p>
    <w:p w14:paraId="70C1D24D" w14:textId="77777777" w:rsidR="00F65B22" w:rsidRPr="000D27F9" w:rsidRDefault="00F64EBE" w:rsidP="0033041A">
      <w:pPr>
        <w:pStyle w:val="Heading2"/>
      </w:pPr>
      <w:r>
        <w:t>Background</w:t>
      </w:r>
      <w:bookmarkStart w:id="27" w:name="_|1/M6ESzsE0agVlRZ62PyFQ==|1918|27"/>
      <w:bookmarkEnd w:id="27"/>
    </w:p>
    <w:p w14:paraId="56ADB78D" w14:textId="1F7CAE8B" w:rsidR="00F65B22" w:rsidRDefault="00F64EBE" w:rsidP="00F65B22">
      <w:r>
        <w:t xml:space="preserve">Businesses are involved in communities throughout the United States. The involvement ranges from sponsorship of activities such as </w:t>
      </w:r>
      <w:r w:rsidR="00F14C9F">
        <w:t>athletic</w:t>
      </w:r>
      <w:r>
        <w:t xml:space="preserve"> fundraisers and arts </w:t>
      </w:r>
      <w:r w:rsidR="00F14C9F">
        <w:t>events</w:t>
      </w:r>
      <w:r>
        <w:t xml:space="preserve"> to participation in comunity programs as volunteers.</w:t>
      </w:r>
      <w:bookmarkStart w:id="28" w:name="_|1/M6ESzsE0agVlRZ62PyFQ==|1918|28"/>
      <w:bookmarkEnd w:id="28"/>
    </w:p>
    <w:p w14:paraId="6167857F" w14:textId="77777777" w:rsidR="00F65B22" w:rsidRDefault="00F64EBE" w:rsidP="00F65B22">
      <w:r>
        <w:t>Companies take community involvement seriously because more than 80 percent of American consumers say they consider corporate social responsibility when making purchasing decisions.</w:t>
      </w:r>
      <w:r w:rsidR="00F65B22">
        <w:t xml:space="preserve"> </w:t>
      </w:r>
      <w:r>
        <w:t>Hutson Group’s recent survey of millennials underscore</w:t>
      </w:r>
      <w:r w:rsidR="00074407">
        <w:t>s</w:t>
      </w:r>
      <w:r>
        <w:t xml:space="preserve"> this conclusion. We found that 86 percent of millennial work</w:t>
      </w:r>
      <w:r w:rsidR="00074407">
        <w:t>ers</w:t>
      </w:r>
      <w:r>
        <w:t xml:space="preserve"> value the social responsibility programs of their employers and would leave their jobs if those programs were to decline.</w:t>
      </w:r>
      <w:bookmarkStart w:id="29" w:name="_|1/M6ESzsE0agVlRZ62PyFQ==|1918|29"/>
      <w:bookmarkEnd w:id="29"/>
    </w:p>
    <w:p w14:paraId="5B793AD8" w14:textId="77777777" w:rsidR="00F65B22" w:rsidRPr="000D27F9" w:rsidRDefault="00F64EBE" w:rsidP="0033041A">
      <w:pPr>
        <w:pStyle w:val="Heading2"/>
      </w:pPr>
      <w:r>
        <w:t>General Benefits</w:t>
      </w:r>
      <w:bookmarkStart w:id="30" w:name="_|1/M6ESzsE0agVlRZ62PyFQ==|1918|30"/>
      <w:bookmarkEnd w:id="30"/>
    </w:p>
    <w:p w14:paraId="54D344E9" w14:textId="77777777" w:rsidR="00F65B22" w:rsidRDefault="00F64EBE" w:rsidP="00F65B22">
      <w:pPr>
        <w:pStyle w:val="ListParagraph"/>
        <w:numPr>
          <w:ilvl w:val="0"/>
          <w:numId w:val="3"/>
        </w:numPr>
      </w:pPr>
      <w:r>
        <w:t>Public relations</w:t>
      </w:r>
      <w:bookmarkStart w:id="31" w:name="_|1/M6ESzsE0agVlRZ62PyFQ==|1918|31"/>
      <w:bookmarkEnd w:id="31"/>
    </w:p>
    <w:p w14:paraId="480793AF" w14:textId="77777777" w:rsidR="00F65B22" w:rsidRDefault="00F64EBE" w:rsidP="00F65B22">
      <w:pPr>
        <w:pStyle w:val="ListParagraph"/>
        <w:numPr>
          <w:ilvl w:val="0"/>
          <w:numId w:val="3"/>
        </w:numPr>
      </w:pPr>
      <w:r>
        <w:t xml:space="preserve">Employee collaboration and </w:t>
      </w:r>
      <w:r w:rsidR="00074407">
        <w:t>development</w:t>
      </w:r>
      <w:bookmarkStart w:id="32" w:name="_|1/M6ESzsE0agVlRZ62PyFQ==|1918|32"/>
      <w:bookmarkEnd w:id="32"/>
    </w:p>
    <w:p w14:paraId="65B96FC5" w14:textId="77777777" w:rsidR="00F65B22" w:rsidRDefault="00074407" w:rsidP="00F65B22">
      <w:pPr>
        <w:pStyle w:val="ListParagraph"/>
        <w:numPr>
          <w:ilvl w:val="0"/>
          <w:numId w:val="3"/>
        </w:numPr>
      </w:pPr>
      <w:r>
        <w:t>Strengthened community</w:t>
      </w:r>
      <w:bookmarkStart w:id="33" w:name="_|1/M6ESzsE0agVlRZ62PyFQ==|1918|33"/>
      <w:bookmarkEnd w:id="33"/>
    </w:p>
    <w:p w14:paraId="1601D88C" w14:textId="77777777" w:rsidR="00F65B22" w:rsidRDefault="00074407" w:rsidP="00F65B22">
      <w:pPr>
        <w:pStyle w:val="ListParagraph"/>
        <w:numPr>
          <w:ilvl w:val="0"/>
          <w:numId w:val="3"/>
        </w:numPr>
      </w:pPr>
      <w:r>
        <w:t>Positive return on investment</w:t>
      </w:r>
      <w:bookmarkStart w:id="34" w:name="_|1/M6ESzsE0agVlRZ62PyFQ==|1918|34"/>
      <w:bookmarkEnd w:id="34"/>
    </w:p>
    <w:p w14:paraId="5FDD2FA0" w14:textId="77777777" w:rsidR="00BE70A3" w:rsidRDefault="00F64EBE" w:rsidP="00022AD7">
      <w:pPr>
        <w:pStyle w:val="Heading1"/>
      </w:pPr>
      <w:r>
        <w:lastRenderedPageBreak/>
        <w:t>Types of</w:t>
      </w:r>
      <w:r w:rsidR="008F0309">
        <w:t xml:space="preserve"> Programs</w:t>
      </w:r>
      <w:bookmarkStart w:id="35" w:name="_|1/M6ESzsE0agVlRZ62PyFQ==|1918|35"/>
      <w:bookmarkEnd w:id="35"/>
    </w:p>
    <w:p w14:paraId="4378F2E1" w14:textId="77777777" w:rsidR="00A73F6C" w:rsidRDefault="00A73F6C" w:rsidP="00A73F6C">
      <w:r>
        <w:t xml:space="preserve">The </w:t>
      </w:r>
      <w:r w:rsidR="00D96C78">
        <w:t>many types of CCI programs fall into three general categories</w:t>
      </w:r>
      <w:r>
        <w:t>.</w:t>
      </w:r>
      <w:bookmarkStart w:id="36" w:name="_|1/M6ESzsE0agVlRZ62PyFQ==|1918|36"/>
      <w:bookmarkEnd w:id="36"/>
    </w:p>
    <w:p w14:paraId="120A6ED8" w14:textId="77777777" w:rsidR="00A73F6C" w:rsidRPr="00A73F6C" w:rsidRDefault="00A73F6C" w:rsidP="00A73F6C">
      <w:bookmarkStart w:id="37" w:name="_|1/M6ESzsE0agVlRZ62PyFQ==|1918|37"/>
      <w:bookmarkEnd w:id="37"/>
    </w:p>
    <w:p w14:paraId="354B046D" w14:textId="77777777" w:rsidR="005400EF" w:rsidRDefault="00D96C78">
      <w:r>
        <w:t>Program Examples</w:t>
      </w:r>
      <w:r w:rsidR="008D0841">
        <w:tab/>
        <w:t>June, 2021</w:t>
      </w:r>
      <w:bookmarkStart w:id="38" w:name="_|1/M6ESzsE0agVlRZ62PyFQ==|1918|38"/>
      <w:bookmarkEnd w:id="38"/>
    </w:p>
    <w:tbl>
      <w:tblPr>
        <w:tblStyle w:val="TableGrid"/>
        <w:tblW w:w="4040" w:type="pct"/>
        <w:tblLook w:val="04A0" w:firstRow="1" w:lastRow="0" w:firstColumn="1" w:lastColumn="0" w:noHBand="0" w:noVBand="1"/>
      </w:tblPr>
      <w:tblGrid>
        <w:gridCol w:w="4819"/>
        <w:gridCol w:w="2736"/>
      </w:tblGrid>
      <w:tr w:rsidR="00090C1C" w14:paraId="484CB9CC" w14:textId="77777777" w:rsidTr="001B3620">
        <w:tc>
          <w:tcPr>
            <w:tcW w:w="3189" w:type="pct"/>
          </w:tcPr>
          <w:p w14:paraId="19F586AB" w14:textId="77777777" w:rsidR="00090C1C" w:rsidRDefault="008D0841" w:rsidP="00B70D74">
            <w:r>
              <w:t>Example</w:t>
            </w:r>
          </w:p>
        </w:tc>
        <w:tc>
          <w:tcPr>
            <w:tcW w:w="1811" w:type="pct"/>
          </w:tcPr>
          <w:p w14:paraId="7B3C0304" w14:textId="77777777" w:rsidR="00090C1C" w:rsidRDefault="008D0841" w:rsidP="004D6118">
            <w:pPr>
              <w:jc w:val="center"/>
            </w:pPr>
            <w:r>
              <w:t>Type</w:t>
            </w:r>
          </w:p>
        </w:tc>
      </w:tr>
      <w:tr w:rsidR="00090C1C" w14:paraId="24CC9183" w14:textId="77777777" w:rsidTr="001B3620">
        <w:tc>
          <w:tcPr>
            <w:tcW w:w="3189" w:type="pct"/>
          </w:tcPr>
          <w:p w14:paraId="42809F00" w14:textId="77777777" w:rsidR="00090C1C" w:rsidRDefault="008D0841" w:rsidP="008D0841">
            <w:r>
              <w:t>Children’s shelters</w:t>
            </w:r>
            <w:r w:rsidR="00FE5C53">
              <w:t xml:space="preserve"> and clubs</w:t>
            </w:r>
          </w:p>
        </w:tc>
        <w:tc>
          <w:tcPr>
            <w:tcW w:w="1811" w:type="pct"/>
          </w:tcPr>
          <w:p w14:paraId="5B609F4F" w14:textId="77777777" w:rsidR="00090C1C" w:rsidRDefault="008D0841" w:rsidP="008D0841">
            <w:r>
              <w:t>Volunteer</w:t>
            </w:r>
          </w:p>
        </w:tc>
      </w:tr>
      <w:tr w:rsidR="00090C1C" w14:paraId="226A9E67" w14:textId="77777777" w:rsidTr="001B3620">
        <w:tc>
          <w:tcPr>
            <w:tcW w:w="3189" w:type="pct"/>
          </w:tcPr>
          <w:p w14:paraId="56F71313" w14:textId="77777777" w:rsidR="00090C1C" w:rsidRDefault="008D0841" w:rsidP="008D0841">
            <w:r>
              <w:t>Food banks and drives</w:t>
            </w:r>
          </w:p>
        </w:tc>
        <w:tc>
          <w:tcPr>
            <w:tcW w:w="1811" w:type="pct"/>
          </w:tcPr>
          <w:p w14:paraId="5FA39A7D" w14:textId="77777777" w:rsidR="00090C1C" w:rsidRDefault="008D0841" w:rsidP="008D0841">
            <w:r>
              <w:t>Food donations</w:t>
            </w:r>
          </w:p>
        </w:tc>
      </w:tr>
      <w:tr w:rsidR="00DC22C5" w14:paraId="30C8AEA8" w14:textId="77777777" w:rsidTr="001B3620">
        <w:tc>
          <w:tcPr>
            <w:tcW w:w="3189" w:type="pct"/>
          </w:tcPr>
          <w:p w14:paraId="6F4BABF5" w14:textId="77777777" w:rsidR="00DC22C5" w:rsidRDefault="008D0841" w:rsidP="007A7ADC">
            <w:r>
              <w:t>Green initiatives</w:t>
            </w:r>
          </w:p>
        </w:tc>
        <w:tc>
          <w:tcPr>
            <w:tcW w:w="1811" w:type="pct"/>
          </w:tcPr>
          <w:p w14:paraId="4510CE57" w14:textId="77777777" w:rsidR="00DC22C5" w:rsidRDefault="008D0841" w:rsidP="008D0841">
            <w:r>
              <w:t>Partnership</w:t>
            </w:r>
          </w:p>
        </w:tc>
      </w:tr>
      <w:tr w:rsidR="00090C1C" w14:paraId="7102CDA0" w14:textId="77777777" w:rsidTr="001B3620">
        <w:tc>
          <w:tcPr>
            <w:tcW w:w="3189" w:type="pct"/>
          </w:tcPr>
          <w:p w14:paraId="1DE12EB6" w14:textId="77777777" w:rsidR="00090C1C" w:rsidRDefault="008D0841" w:rsidP="009A6DC2">
            <w:r>
              <w:t>Tutoring</w:t>
            </w:r>
          </w:p>
        </w:tc>
        <w:tc>
          <w:tcPr>
            <w:tcW w:w="1811" w:type="pct"/>
          </w:tcPr>
          <w:p w14:paraId="62C9C120" w14:textId="77777777" w:rsidR="00090C1C" w:rsidRDefault="008D0841" w:rsidP="008D0841">
            <w:r>
              <w:t>Volunteer</w:t>
            </w:r>
          </w:p>
        </w:tc>
      </w:tr>
      <w:tr w:rsidR="00090C1C" w14:paraId="7AAA8E01" w14:textId="77777777" w:rsidTr="001B3620">
        <w:tc>
          <w:tcPr>
            <w:tcW w:w="3189" w:type="pct"/>
          </w:tcPr>
          <w:p w14:paraId="13976DA3" w14:textId="77777777" w:rsidR="00090C1C" w:rsidRDefault="008D0841" w:rsidP="00B70D74">
            <w:r>
              <w:t>Diversity and inclusion</w:t>
            </w:r>
          </w:p>
        </w:tc>
        <w:tc>
          <w:tcPr>
            <w:tcW w:w="1811" w:type="pct"/>
          </w:tcPr>
          <w:p w14:paraId="3355B918" w14:textId="77777777" w:rsidR="00090C1C" w:rsidRDefault="008D0841" w:rsidP="008D0841">
            <w:r>
              <w:t>Partnership</w:t>
            </w:r>
          </w:p>
        </w:tc>
      </w:tr>
      <w:tr w:rsidR="00090C1C" w14:paraId="78A34431" w14:textId="77777777" w:rsidTr="001B3620">
        <w:tc>
          <w:tcPr>
            <w:tcW w:w="3189" w:type="pct"/>
          </w:tcPr>
          <w:p w14:paraId="7C16B6B8" w14:textId="77777777" w:rsidR="00090C1C" w:rsidRDefault="00FE5C53" w:rsidP="005735BC">
            <w:r>
              <w:t>Community fundraisers</w:t>
            </w:r>
          </w:p>
        </w:tc>
        <w:tc>
          <w:tcPr>
            <w:tcW w:w="1811" w:type="pct"/>
          </w:tcPr>
          <w:p w14:paraId="0E6CA283" w14:textId="77777777" w:rsidR="00090C1C" w:rsidRDefault="00FE5C53" w:rsidP="008D0841">
            <w:r>
              <w:t>Donations</w:t>
            </w:r>
          </w:p>
        </w:tc>
      </w:tr>
      <w:tr w:rsidR="00090C1C" w14:paraId="6735C81C" w14:textId="77777777" w:rsidTr="001B3620">
        <w:tc>
          <w:tcPr>
            <w:tcW w:w="3189" w:type="pct"/>
          </w:tcPr>
          <w:p w14:paraId="2A7C0C61" w14:textId="77777777" w:rsidR="00090C1C" w:rsidRDefault="00FE5C53" w:rsidP="005735BC">
            <w:r>
              <w:t>Seasonal needs drives</w:t>
            </w:r>
          </w:p>
        </w:tc>
        <w:tc>
          <w:tcPr>
            <w:tcW w:w="1811" w:type="pct"/>
          </w:tcPr>
          <w:p w14:paraId="73F3B363" w14:textId="77777777" w:rsidR="00090C1C" w:rsidRDefault="00FE5C53" w:rsidP="008D0841">
            <w:r>
              <w:t>Volunteer</w:t>
            </w:r>
          </w:p>
        </w:tc>
      </w:tr>
    </w:tbl>
    <w:p w14:paraId="154AD0C9" w14:textId="77777777" w:rsidR="00033E99" w:rsidRDefault="00033E99" w:rsidP="005735BC">
      <w:bookmarkStart w:id="39" w:name="_|1/M6ESzsE0agVlRZ62PyFQ==|1918|39"/>
      <w:bookmarkEnd w:id="39"/>
    </w:p>
    <w:p w14:paraId="72387719" w14:textId="77777777" w:rsidR="00FE5C53" w:rsidRPr="00FE5C53" w:rsidRDefault="00FE5C53" w:rsidP="005735BC">
      <w:r>
        <w:t xml:space="preserve">The annual </w:t>
      </w:r>
      <w:r>
        <w:rPr>
          <w:i/>
        </w:rPr>
        <w:t>The Civic 50</w:t>
      </w:r>
      <w:r>
        <w:t xml:space="preserve"> list names 50 companies with exemplary CCI programs and compiles statistics that make the case for corporate giving. </w:t>
      </w:r>
      <w:bookmarkStart w:id="40" w:name="_|1/M6ESzsE0agVlRZ62PyFQ==|1918|40"/>
      <w:bookmarkEnd w:id="40"/>
    </w:p>
    <w:p w14:paraId="7B3DF03E" w14:textId="77777777" w:rsidR="004D6118" w:rsidRDefault="008D0841" w:rsidP="00FE5C53">
      <w:pPr>
        <w:tabs>
          <w:tab w:val="right" w:leader="dot" w:pos="8460"/>
        </w:tabs>
      </w:pPr>
      <w:r>
        <w:t>S</w:t>
      </w:r>
      <w:r w:rsidR="005A4DA7">
        <w:t>elected S</w:t>
      </w:r>
      <w:r>
        <w:t>tatistics</w:t>
      </w:r>
      <w:r w:rsidR="004D6118">
        <w:tab/>
      </w:r>
      <w:r w:rsidR="00FE5C53">
        <w:t>The Civic 50</w:t>
      </w:r>
      <w:bookmarkStart w:id="41" w:name="_|1/M6ESzsE0agVlRZ62PyFQ==|1918|41"/>
      <w:bookmarkEnd w:id="41"/>
    </w:p>
    <w:tbl>
      <w:tblPr>
        <w:tblStyle w:val="GridTable4-Accent2"/>
        <w:tblW w:w="4539" w:type="pct"/>
        <w:tblLook w:val="04A0" w:firstRow="1" w:lastRow="0" w:firstColumn="1" w:lastColumn="0" w:noHBand="0" w:noVBand="1"/>
      </w:tblPr>
      <w:tblGrid>
        <w:gridCol w:w="5841"/>
        <w:gridCol w:w="2647"/>
      </w:tblGrid>
      <w:tr w:rsidR="004D6118" w14:paraId="146E759F" w14:textId="77777777" w:rsidTr="0022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12366599" w14:textId="77777777" w:rsidR="004D6118" w:rsidRDefault="00FE5C53" w:rsidP="00FD2F8E">
            <w:r>
              <w:t>Description</w:t>
            </w:r>
          </w:p>
        </w:tc>
        <w:tc>
          <w:tcPr>
            <w:tcW w:w="1559" w:type="pct"/>
          </w:tcPr>
          <w:p w14:paraId="4BE467C9" w14:textId="77777777" w:rsidR="004D6118" w:rsidRDefault="00FE5C53" w:rsidP="00FD2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</w:t>
            </w:r>
          </w:p>
        </w:tc>
      </w:tr>
      <w:tr w:rsidR="004D6118" w14:paraId="26534F1B" w14:textId="77777777" w:rsidTr="002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6CA301F1" w14:textId="77777777" w:rsidR="004D6118" w:rsidRDefault="00FE5C53" w:rsidP="00FD2F8E">
            <w:r>
              <w:t>Average percentage of participating employees</w:t>
            </w:r>
          </w:p>
        </w:tc>
        <w:tc>
          <w:tcPr>
            <w:tcW w:w="1559" w:type="pct"/>
          </w:tcPr>
          <w:p w14:paraId="448E68B2" w14:textId="77777777" w:rsidR="004D6118" w:rsidRDefault="00FE5C53" w:rsidP="00FD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</w:tr>
      <w:tr w:rsidR="004D6118" w14:paraId="05D80DBF" w14:textId="77777777" w:rsidTr="0022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650E7B80" w14:textId="77777777" w:rsidR="004D6118" w:rsidRDefault="00FE5C53" w:rsidP="00FD2F8E">
            <w:r>
              <w:t>Average number of volunteer hours</w:t>
            </w:r>
          </w:p>
        </w:tc>
        <w:tc>
          <w:tcPr>
            <w:tcW w:w="1559" w:type="pct"/>
          </w:tcPr>
          <w:p w14:paraId="77A4BC48" w14:textId="77777777" w:rsidR="004D6118" w:rsidRDefault="00FE5C53" w:rsidP="00FE5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 h</w:t>
            </w:r>
            <w:r w:rsidR="00502FA5">
              <w:t>ou</w:t>
            </w:r>
            <w:r>
              <w:t>rs</w:t>
            </w:r>
          </w:p>
        </w:tc>
      </w:tr>
      <w:tr w:rsidR="004D6118" w14:paraId="07698415" w14:textId="77777777" w:rsidTr="002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4C9407F7" w14:textId="77777777" w:rsidR="004D6118" w:rsidRDefault="00FE5C53" w:rsidP="00FE5C53">
            <w:r>
              <w:t>Percentage evaluating employees’ community engagement</w:t>
            </w:r>
          </w:p>
        </w:tc>
        <w:tc>
          <w:tcPr>
            <w:tcW w:w="1559" w:type="pct"/>
          </w:tcPr>
          <w:p w14:paraId="660275AE" w14:textId="77777777" w:rsidR="004D6118" w:rsidRDefault="00FE5C53" w:rsidP="00FD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6118" w14:paraId="7391A58A" w14:textId="77777777" w:rsidTr="0022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75FCD45F" w14:textId="77777777" w:rsidR="004D6118" w:rsidRDefault="00FE5C53" w:rsidP="00FD2F8E">
            <w:r>
              <w:t>Percentage offering awards for community engagement</w:t>
            </w:r>
          </w:p>
        </w:tc>
        <w:tc>
          <w:tcPr>
            <w:tcW w:w="1559" w:type="pct"/>
          </w:tcPr>
          <w:p w14:paraId="7F6C29EF" w14:textId="77777777" w:rsidR="004D6118" w:rsidRDefault="00FE5C53" w:rsidP="00FD2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D6118" w14:paraId="62B49EE3" w14:textId="77777777" w:rsidTr="002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358898BE" w14:textId="77777777" w:rsidR="004D6118" w:rsidRDefault="00502FA5" w:rsidP="00FD2F8E">
            <w:r>
              <w:t>Percentage allowing time off to volunteer</w:t>
            </w:r>
          </w:p>
        </w:tc>
        <w:tc>
          <w:tcPr>
            <w:tcW w:w="1559" w:type="pct"/>
          </w:tcPr>
          <w:p w14:paraId="5458835E" w14:textId="77777777" w:rsidR="004D6118" w:rsidRDefault="00502FA5" w:rsidP="00FD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</w:tr>
      <w:tr w:rsidR="004D6118" w14:paraId="07C8773A" w14:textId="77777777" w:rsidTr="0022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46406054" w14:textId="77777777" w:rsidR="004D6118" w:rsidRDefault="00502FA5" w:rsidP="00FD2F8E">
            <w:r>
              <w:t>Percentage with online portals to support CCI</w:t>
            </w:r>
          </w:p>
        </w:tc>
        <w:tc>
          <w:tcPr>
            <w:tcW w:w="1559" w:type="pct"/>
          </w:tcPr>
          <w:p w14:paraId="2EBC45A4" w14:textId="77777777" w:rsidR="004D6118" w:rsidRDefault="00502FA5" w:rsidP="00FD2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D6118" w14:paraId="196E383A" w14:textId="77777777" w:rsidTr="0022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pct"/>
          </w:tcPr>
          <w:p w14:paraId="3092ACF6" w14:textId="77777777" w:rsidR="004D6118" w:rsidRDefault="00502FA5" w:rsidP="00FD2F8E">
            <w:r>
              <w:t>Average number of events per year</w:t>
            </w:r>
          </w:p>
        </w:tc>
        <w:tc>
          <w:tcPr>
            <w:tcW w:w="1559" w:type="pct"/>
          </w:tcPr>
          <w:p w14:paraId="06021863" w14:textId="77777777" w:rsidR="004D6118" w:rsidRDefault="00502FA5" w:rsidP="00502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3–5</w:t>
            </w:r>
          </w:p>
        </w:tc>
      </w:tr>
    </w:tbl>
    <w:p w14:paraId="346FCDA1" w14:textId="77777777" w:rsidR="000B3309" w:rsidRPr="000B3309" w:rsidRDefault="00502FA5" w:rsidP="00022AD7">
      <w:pPr>
        <w:pStyle w:val="Heading1"/>
      </w:pPr>
      <w:r>
        <w:t>CCI with the Hutson Group</w:t>
      </w:r>
      <w:bookmarkStart w:id="42" w:name="_|1/M6ESzsE0agVlRZ62PyFQ==|1918|42"/>
      <w:bookmarkEnd w:id="42"/>
    </w:p>
    <w:p w14:paraId="40307B0C" w14:textId="77777777" w:rsidR="000B3309" w:rsidRDefault="007B7446" w:rsidP="000B3309">
      <w:r>
        <w:rPr>
          <w:noProof/>
        </w:rPr>
        <w:drawing>
          <wp:anchor distT="0" distB="0" distL="114300" distR="114300" simplePos="0" relativeHeight="251660288" behindDoc="0" locked="0" layoutInCell="1" allowOverlap="1" wp14:anchorId="3F66A16E" wp14:editId="5F4BC9A8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768985" cy="6356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ll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898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FA5">
        <w:t xml:space="preserve">The Hutson Group is here to help your business develop an effective CCI program. </w:t>
      </w:r>
      <w:r w:rsidR="000A49FE">
        <w:t xml:space="preserve">The following table lists </w:t>
      </w:r>
      <w:r w:rsidR="00502FA5">
        <w:t>some of the CCI services we offer to our clients</w:t>
      </w:r>
      <w:r w:rsidR="000A49FE">
        <w:t xml:space="preserve">. </w:t>
      </w:r>
      <w:r w:rsidR="00502FA5">
        <w:t xml:space="preserve">If you want to your community, employees, and bottom line to enjoy the benefits of a CCI program, contact us. </w:t>
      </w:r>
      <w:r w:rsidR="000A49FE">
        <w:t>See www.</w:t>
      </w:r>
      <w:r w:rsidR="00502FA5">
        <w:t>hutson</w:t>
      </w:r>
      <w:r w:rsidR="000A49FE">
        <w:t>.cengage.com for more</w:t>
      </w:r>
      <w:r w:rsidR="00502FA5">
        <w:t xml:space="preserve"> </w:t>
      </w:r>
      <w:r w:rsidR="00CF052D">
        <w:t>examples and research</w:t>
      </w:r>
      <w:r w:rsidR="00402955">
        <w:t xml:space="preserve"> results</w:t>
      </w:r>
      <w:r w:rsidR="000A49FE">
        <w:t>.</w:t>
      </w:r>
      <w:bookmarkStart w:id="43" w:name="_|1/M6ESzsE0agVlRZ62PyFQ==|1918|43"/>
      <w:bookmarkEnd w:id="43"/>
    </w:p>
    <w:p w14:paraId="1EED41DF" w14:textId="77777777" w:rsidR="00B42B14" w:rsidRDefault="00B42B14" w:rsidP="000B3309">
      <w:bookmarkStart w:id="44" w:name="_|1/M6ESzsE0agVlRZ62PyFQ==|1918|44"/>
      <w:bookmarkEnd w:id="44"/>
    </w:p>
    <w:p w14:paraId="0F04B892" w14:textId="77777777" w:rsidR="002850BF" w:rsidRPr="0033041A" w:rsidRDefault="0033041A" w:rsidP="0033041A">
      <w:pPr>
        <w:pStyle w:val="Heading2"/>
      </w:pPr>
      <w:r>
        <w:t>CCI Online Services</w:t>
      </w:r>
      <w:bookmarkStart w:id="45" w:name="_|1/M6ESzsE0agVlRZ62PyFQ==|1918|45"/>
      <w:bookmarkEnd w:id="45"/>
    </w:p>
    <w:p w14:paraId="43296120" w14:textId="77777777" w:rsidR="00567827" w:rsidRDefault="001E343D" w:rsidP="00EB7353">
      <w:r>
        <w:t>Visit our website at www.</w:t>
      </w:r>
      <w:r w:rsidR="0033041A">
        <w:t>hutson</w:t>
      </w:r>
      <w:r>
        <w:t>.cengage.com</w:t>
      </w:r>
      <w:r w:rsidR="0033041A">
        <w:t xml:space="preserve"> to find more information about </w:t>
      </w:r>
      <w:r w:rsidR="0048687E">
        <w:t>how a CCI program can help you achieve corporate objectives.</w:t>
      </w:r>
      <w:r w:rsidR="004868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23EB" wp14:editId="5D62F22B">
                <wp:simplePos x="0" y="0"/>
                <wp:positionH relativeFrom="margin">
                  <wp:posOffset>2492375</wp:posOffset>
                </wp:positionH>
                <wp:positionV relativeFrom="margin">
                  <wp:posOffset>2665095</wp:posOffset>
                </wp:positionV>
                <wp:extent cx="1097280" cy="548640"/>
                <wp:effectExtent l="19050" t="19050" r="26670" b="22860"/>
                <wp:wrapSquare wrapText="bothSides"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D3019" w14:textId="77777777" w:rsidR="008775EC" w:rsidRDefault="008775EC" w:rsidP="008775EC">
                            <w:pPr>
                              <w:pStyle w:val="NoSpacing"/>
                              <w:jc w:val="center"/>
                            </w:pPr>
                            <w:r>
                              <w:t>S</w:t>
                            </w:r>
                            <w:r w:rsidR="0048687E">
                              <w:t>trategy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23EB" id="Round Same Side Corner Rectangle 7" o:spid="_x0000_s1026" style="position:absolute;margin-left:196.25pt;margin-top:209.85pt;width:86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0972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" adj="-11796480,,5400" path="m91442,r914396,c1056340,,1097280,40940,1097280,91442r,457198l1097280,548640,,548640r,l,91442c,40940,40940,,91442,xe" fillcolor="white [3201]" strokecolor="#855d5d [3209]" strokeweight="2.75pt" insetpen="t">
                <v:stroke joinstyle="miter"/>
                <v:formulas/>
                <v:path arrowok="t" o:connecttype="custom" o:connectlocs="91442,0;1005838,0;1097280,91442;1097280,548640;1097280,548640;0,548640;0,548640;0,91442;91442,0" o:connectangles="0,0,0,0,0,0,0,0,0" textboxrect="0,0,1097280,548640"/>
                <v:textbox>
                  <w:txbxContent>
                    <w:p w14:paraId="073D3019" w14:textId="77777777" w:rsidR="008775EC" w:rsidRDefault="008775EC" w:rsidP="008775EC">
                      <w:pPr>
                        <w:pStyle w:val="NoSpacing"/>
                        <w:jc w:val="center"/>
                      </w:pPr>
                      <w:r>
                        <w:t>S</w:t>
                      </w:r>
                      <w:r w:rsidR="0048687E">
                        <w:t>trategy Assessment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6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148F1" wp14:editId="3E881FEA">
                <wp:simplePos x="0" y="0"/>
                <wp:positionH relativeFrom="margin">
                  <wp:posOffset>-44450</wp:posOffset>
                </wp:positionH>
                <wp:positionV relativeFrom="margin">
                  <wp:posOffset>2665095</wp:posOffset>
                </wp:positionV>
                <wp:extent cx="1097280" cy="548640"/>
                <wp:effectExtent l="19050" t="0" r="45720" b="365760"/>
                <wp:wrapSquare wrapText="bothSides"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ound2Same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E29FA" w14:textId="77777777" w:rsidR="001E343D" w:rsidRDefault="001E343D" w:rsidP="008775EC">
                            <w:pPr>
                              <w:pStyle w:val="NoSpacing"/>
                              <w:jc w:val="center"/>
                            </w:pPr>
                            <w:r>
                              <w:t>Re</w:t>
                            </w:r>
                            <w:r w:rsidR="0048687E">
                              <w:t>putation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48F1" id="Round Same Side Corner Rectangle 5" o:spid="_x0000_s1027" style="position:absolute;margin-left:-3.5pt;margin-top:209.85pt;width:86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0972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" adj="-11796480,,5400" path="m91442,r914396,c1056340,,1097280,40940,1097280,91442r,457198l1097280,548640,,548640r,l,91442c,40940,40940,,91442,xe" fillcolor="#ab3122 [3029]" strokecolor="#9b2d1f [3205]" strokeweight=".5pt" insetpen="t">
                <v:fill color2="#992c1e [3173]" rotate="t" colors="0 #a8534d;.5 #a12819;1 #941e0f" focus="100%" type="gradient">
                  <o:fill v:ext="view" type="gradientUnscaled"/>
                </v:fill>
                <v:stroke joinstyle="miter"/>
                <v:formulas/>
                <v:path arrowok="t" o:connecttype="custom" o:connectlocs="91442,0;1005838,0;1097280,91442;1097280,548640;1097280,548640;0,548640;0,548640;0,91442;91442,0" o:connectangles="0,0,0,0,0,0,0,0,0" textboxrect="0,0,1097280,548640"/>
                <v:textbox>
                  <w:txbxContent>
                    <w:p w14:paraId="0DDE29FA" w14:textId="77777777" w:rsidR="001E343D" w:rsidRDefault="001E343D" w:rsidP="008775EC">
                      <w:pPr>
                        <w:pStyle w:val="NoSpacing"/>
                        <w:jc w:val="center"/>
                      </w:pPr>
                      <w:r>
                        <w:t>Re</w:t>
                      </w:r>
                      <w:r w:rsidR="0048687E">
                        <w:t>putation Management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46" w:name="_|1/M6ESzsE0agVlRZ62PyFQ==|1918|46"/>
      <w:bookmarkEnd w:id="46"/>
    </w:p>
    <w:sectPr w:rsidR="00567827">
      <w:pgSz w:w="12240" w:h="15840"/>
      <w:pgMar w:top="1440" w:right="1440" w:bottom="1440" w:left="1440" w:header="720" w:footer="720" w:gutter="0"/>
      <w:cols w:space="720"/>
      <w:docGrid w:linePitch="360"/>
      <w:footerReference r:id="rId9"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t xml:space="preserve">This file created specifically for Kahlil Newkirk Newkirk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0F1"/>
    <w:multiLevelType w:val="hybridMultilevel"/>
    <w:tmpl w:val="8352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0801"/>
    <w:multiLevelType w:val="hybridMultilevel"/>
    <w:tmpl w:val="6ED6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0A7E"/>
    <w:multiLevelType w:val="hybridMultilevel"/>
    <w:tmpl w:val="456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E1303"/>
    <w:multiLevelType w:val="hybridMultilevel"/>
    <w:tmpl w:val="03E0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A3"/>
    <w:rsid w:val="00006DC5"/>
    <w:rsid w:val="00022AD7"/>
    <w:rsid w:val="00033E99"/>
    <w:rsid w:val="00041405"/>
    <w:rsid w:val="00052362"/>
    <w:rsid w:val="00074407"/>
    <w:rsid w:val="00074E6A"/>
    <w:rsid w:val="000841F6"/>
    <w:rsid w:val="00090C1C"/>
    <w:rsid w:val="000A21CC"/>
    <w:rsid w:val="000A49FE"/>
    <w:rsid w:val="000A4F99"/>
    <w:rsid w:val="000B3309"/>
    <w:rsid w:val="000B44FC"/>
    <w:rsid w:val="000C13FD"/>
    <w:rsid w:val="000C154A"/>
    <w:rsid w:val="000D27F9"/>
    <w:rsid w:val="000E20B5"/>
    <w:rsid w:val="00113542"/>
    <w:rsid w:val="00115563"/>
    <w:rsid w:val="001376BB"/>
    <w:rsid w:val="00177B3F"/>
    <w:rsid w:val="00187327"/>
    <w:rsid w:val="001B35EC"/>
    <w:rsid w:val="001B3620"/>
    <w:rsid w:val="001E343D"/>
    <w:rsid w:val="001F2459"/>
    <w:rsid w:val="00207089"/>
    <w:rsid w:val="00223977"/>
    <w:rsid w:val="0023012B"/>
    <w:rsid w:val="0023784E"/>
    <w:rsid w:val="002636C4"/>
    <w:rsid w:val="00275503"/>
    <w:rsid w:val="00283D68"/>
    <w:rsid w:val="002850BF"/>
    <w:rsid w:val="002961E4"/>
    <w:rsid w:val="00296D8F"/>
    <w:rsid w:val="002B7163"/>
    <w:rsid w:val="002D52E9"/>
    <w:rsid w:val="002E51C6"/>
    <w:rsid w:val="002E6E68"/>
    <w:rsid w:val="00303273"/>
    <w:rsid w:val="00317E35"/>
    <w:rsid w:val="0033041A"/>
    <w:rsid w:val="00361CF3"/>
    <w:rsid w:val="00372569"/>
    <w:rsid w:val="00391787"/>
    <w:rsid w:val="003C517A"/>
    <w:rsid w:val="003D277F"/>
    <w:rsid w:val="003D77E2"/>
    <w:rsid w:val="003F2FF4"/>
    <w:rsid w:val="003F571C"/>
    <w:rsid w:val="00402955"/>
    <w:rsid w:val="00416D71"/>
    <w:rsid w:val="0042139C"/>
    <w:rsid w:val="00424677"/>
    <w:rsid w:val="00461D1B"/>
    <w:rsid w:val="00465EA7"/>
    <w:rsid w:val="00484281"/>
    <w:rsid w:val="0048687E"/>
    <w:rsid w:val="004A08A2"/>
    <w:rsid w:val="004B1194"/>
    <w:rsid w:val="004D6118"/>
    <w:rsid w:val="004E38F0"/>
    <w:rsid w:val="004F6625"/>
    <w:rsid w:val="00502FA5"/>
    <w:rsid w:val="00505EA2"/>
    <w:rsid w:val="0051568D"/>
    <w:rsid w:val="00526AE0"/>
    <w:rsid w:val="005310AF"/>
    <w:rsid w:val="005400EF"/>
    <w:rsid w:val="0054796B"/>
    <w:rsid w:val="00553972"/>
    <w:rsid w:val="00567827"/>
    <w:rsid w:val="005735BC"/>
    <w:rsid w:val="005A28DE"/>
    <w:rsid w:val="005A4BEC"/>
    <w:rsid w:val="005A4DA7"/>
    <w:rsid w:val="005B3DFF"/>
    <w:rsid w:val="005B7227"/>
    <w:rsid w:val="0061040B"/>
    <w:rsid w:val="00633E32"/>
    <w:rsid w:val="0064022C"/>
    <w:rsid w:val="00682F3D"/>
    <w:rsid w:val="006C7C80"/>
    <w:rsid w:val="006D37F7"/>
    <w:rsid w:val="00717F01"/>
    <w:rsid w:val="00720776"/>
    <w:rsid w:val="00744437"/>
    <w:rsid w:val="00754D04"/>
    <w:rsid w:val="007A2106"/>
    <w:rsid w:val="007B7446"/>
    <w:rsid w:val="007C1505"/>
    <w:rsid w:val="007C3146"/>
    <w:rsid w:val="007C609B"/>
    <w:rsid w:val="007C72D1"/>
    <w:rsid w:val="007D134D"/>
    <w:rsid w:val="00803529"/>
    <w:rsid w:val="0082280D"/>
    <w:rsid w:val="00827380"/>
    <w:rsid w:val="00865CCC"/>
    <w:rsid w:val="008775EC"/>
    <w:rsid w:val="0088138D"/>
    <w:rsid w:val="008B34DB"/>
    <w:rsid w:val="008D0841"/>
    <w:rsid w:val="008F0309"/>
    <w:rsid w:val="00907831"/>
    <w:rsid w:val="00917BC5"/>
    <w:rsid w:val="00920B98"/>
    <w:rsid w:val="0092621D"/>
    <w:rsid w:val="00975C2C"/>
    <w:rsid w:val="0097751A"/>
    <w:rsid w:val="00982D40"/>
    <w:rsid w:val="0098642F"/>
    <w:rsid w:val="009A0044"/>
    <w:rsid w:val="009A6DC2"/>
    <w:rsid w:val="009D353E"/>
    <w:rsid w:val="009D58CF"/>
    <w:rsid w:val="009E41DB"/>
    <w:rsid w:val="009E7AC1"/>
    <w:rsid w:val="00A149AF"/>
    <w:rsid w:val="00A244B9"/>
    <w:rsid w:val="00A26823"/>
    <w:rsid w:val="00A26F4C"/>
    <w:rsid w:val="00A3361E"/>
    <w:rsid w:val="00A617B5"/>
    <w:rsid w:val="00A65626"/>
    <w:rsid w:val="00A73F6C"/>
    <w:rsid w:val="00A77397"/>
    <w:rsid w:val="00A8011D"/>
    <w:rsid w:val="00A827F1"/>
    <w:rsid w:val="00A86DF7"/>
    <w:rsid w:val="00AB745C"/>
    <w:rsid w:val="00AC0A85"/>
    <w:rsid w:val="00AE0D8C"/>
    <w:rsid w:val="00B42B14"/>
    <w:rsid w:val="00B56C2B"/>
    <w:rsid w:val="00B70D74"/>
    <w:rsid w:val="00B85633"/>
    <w:rsid w:val="00B9008D"/>
    <w:rsid w:val="00BA35B5"/>
    <w:rsid w:val="00BB66A7"/>
    <w:rsid w:val="00BB7958"/>
    <w:rsid w:val="00BC0E56"/>
    <w:rsid w:val="00BC5907"/>
    <w:rsid w:val="00BE70A3"/>
    <w:rsid w:val="00BF0E89"/>
    <w:rsid w:val="00C01B3D"/>
    <w:rsid w:val="00C11278"/>
    <w:rsid w:val="00C326B0"/>
    <w:rsid w:val="00C35DE3"/>
    <w:rsid w:val="00C847A2"/>
    <w:rsid w:val="00CA14A3"/>
    <w:rsid w:val="00CA362C"/>
    <w:rsid w:val="00CA5664"/>
    <w:rsid w:val="00CB3884"/>
    <w:rsid w:val="00CB3E51"/>
    <w:rsid w:val="00CC57C9"/>
    <w:rsid w:val="00CE37D8"/>
    <w:rsid w:val="00CF052D"/>
    <w:rsid w:val="00D23586"/>
    <w:rsid w:val="00D41528"/>
    <w:rsid w:val="00D93852"/>
    <w:rsid w:val="00D96C78"/>
    <w:rsid w:val="00DC22C5"/>
    <w:rsid w:val="00DF0458"/>
    <w:rsid w:val="00DF3BA7"/>
    <w:rsid w:val="00DF5BAA"/>
    <w:rsid w:val="00E05E37"/>
    <w:rsid w:val="00E25CF3"/>
    <w:rsid w:val="00E43210"/>
    <w:rsid w:val="00E56826"/>
    <w:rsid w:val="00E577D8"/>
    <w:rsid w:val="00E66C94"/>
    <w:rsid w:val="00E7223E"/>
    <w:rsid w:val="00E7239F"/>
    <w:rsid w:val="00E82C80"/>
    <w:rsid w:val="00E85936"/>
    <w:rsid w:val="00E9423E"/>
    <w:rsid w:val="00E96ABD"/>
    <w:rsid w:val="00EB25C7"/>
    <w:rsid w:val="00EB7353"/>
    <w:rsid w:val="00EE364D"/>
    <w:rsid w:val="00F01D76"/>
    <w:rsid w:val="00F03EC0"/>
    <w:rsid w:val="00F14C9F"/>
    <w:rsid w:val="00F414A8"/>
    <w:rsid w:val="00F41949"/>
    <w:rsid w:val="00F64EBE"/>
    <w:rsid w:val="00F65B22"/>
    <w:rsid w:val="00F71206"/>
    <w:rsid w:val="00F9051F"/>
    <w:rsid w:val="00FA58EF"/>
    <w:rsid w:val="00FC13F4"/>
    <w:rsid w:val="00FC6122"/>
    <w:rsid w:val="00FE46C5"/>
    <w:rsid w:val="00FE5C53"/>
    <w:rsid w:val="00FF24E0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5712"/>
  <w15:chartTrackingRefBased/>
  <w15:docId w15:val="{8C49F1D6-2209-45F2-87BA-888664E7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41A"/>
    <w:pPr>
      <w:keepNext/>
      <w:keepLines/>
      <w:spacing w:before="120" w:after="0"/>
      <w:outlineLvl w:val="1"/>
    </w:pPr>
    <w:rPr>
      <w:rFonts w:eastAsiaTheme="majorEastAsia" w:cstheme="majorBidi"/>
      <w:color w:val="9B2D1F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41A"/>
    <w:rPr>
      <w:rFonts w:eastAsiaTheme="majorEastAsia" w:cstheme="majorBidi"/>
      <w:color w:val="9B2D1F" w:themeColor="accent2"/>
      <w:sz w:val="26"/>
      <w:szCs w:val="26"/>
    </w:rPr>
  </w:style>
  <w:style w:type="character" w:styleId="Strong">
    <w:name w:val="Strong"/>
    <w:basedOn w:val="DefaultParagraphFont"/>
    <w:uiPriority w:val="22"/>
    <w:rsid w:val="002961E4"/>
    <w:rPr>
      <w:b w:val="0"/>
      <w:bCs w:val="0"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2961E4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424677"/>
    <w:rPr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391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AD7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table" w:styleId="TableGrid">
    <w:name w:val="Table Grid"/>
    <w:basedOn w:val="TableNormal"/>
    <w:uiPriority w:val="39"/>
    <w:rsid w:val="00E9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25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CF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D2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F0309"/>
    <w:pPr>
      <w:spacing w:after="0" w:line="240" w:lineRule="auto"/>
    </w:pPr>
  </w:style>
  <w:style w:type="table" w:styleId="GridTable1Light-Accent5">
    <w:name w:val="Grid Table 1 Light Accent 5"/>
    <w:basedOn w:val="TableNormal"/>
    <w:uiPriority w:val="46"/>
    <w:rsid w:val="004D6118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D6118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D6118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customStyle="1" w:styleId="Dateline">
    <w:name w:val="Date line"/>
    <w:basedOn w:val="Normal"/>
    <w:qFormat/>
    <w:rsid w:val="00803529"/>
    <w:pPr>
      <w:spacing w:after="360"/>
    </w:pPr>
  </w:style>
  <w:style w:type="paragraph" w:customStyle="1" w:styleId="Greeting">
    <w:name w:val="Greeting"/>
    <w:basedOn w:val="Normal"/>
    <w:qFormat/>
    <w:rsid w:val="00803529"/>
    <w:pPr>
      <w:spacing w:before="240" w:after="240" w:line="240" w:lineRule="auto"/>
    </w:pPr>
  </w:style>
  <w:style w:type="table" w:styleId="GridTable4-Accent2">
    <w:name w:val="Grid Table 4 Accent 2"/>
    <w:basedOn w:val="TableNormal"/>
    <w:uiPriority w:val="49"/>
    <w:rsid w:val="00223977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image" Target="media/image2.jpg" />
  <Relationship Id="rId5" Type="http://schemas.openxmlformats.org/officeDocument/2006/relationships/image" Target="media/image1.png" />
  <Relationship Id="rId4" Type="http://schemas.openxmlformats.org/officeDocument/2006/relationships/webSettings" Target="webSettings.xml" />
  <Relationship Id="rId9" Type="http://schemas.openxmlformats.org/officeDocument/2006/relationships/footer" Target="footer1.xml" />
  <Relationship Id="rId10" Type="http://schemas.openxmlformats.org/officeDocument/2006/relationships/customXml" Target="../customXml/item1.xml" />
</Relationships>
</file>

<file path=word/theme/theme1.xml><?xml version="1.0" encoding="utf-8"?>
<a:theme xmlns:a="http://schemas.openxmlformats.org/drawingml/2006/main" name="Crop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&#65279;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 />
</Relationships>
</file>

<file path=customXml/item1.xml><?xml version="1.0" encoding="utf-8"?>
<GradingEngineProps xmlns="http://tempuri.org/temp">
  <UserID>{113af3d7-ec2c-4613-a056-5459eb63f215}</UserID>
  <AssignmentID>{113af3d7-ec2c-4613-a056-5459eb63f215}</AssignmentID>
</GradingEngineProps>
</file>

<file path=customXml/itemProps1.xml><?xml version="1.0" encoding="utf-8"?>
<ds:datastoreItem xmlns:ds="http://schemas.openxmlformats.org/officeDocument/2006/customXml" ds:itemID="{fca6b232-7f8a-4558-9986-48e91328182d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558</Words>
  <Characters>3186</Characters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Name</dc:creator>
  <cp:keywords>© 2020 Cengage Learning.</cp:keywords>
  <dcterms:created xsi:type="dcterms:W3CDTF">2018-06-04T13:41:00Z</dcterms:created>
  <dcterms:modified xsi:type="dcterms:W3CDTF">2018-08-10T18:58:00Z</dcterms:modified>
</cp:coreProperties>
</file>