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25b48d5435e12fc7ee7451bd9c33c2e1f2f244"/>
    <w:p>
      <w:pPr>
        <w:pStyle w:val="Heading1"/>
      </w:pPr>
      <w:r>
        <w:t xml:space="preserve">Concordancia Ley 734 de 2002 – Ley 1952 de 2019</w:t>
      </w:r>
    </w:p>
    <w:p>
      <w:pPr>
        <w:pStyle w:val="FirstParagraph"/>
      </w:pPr>
      <w:r>
        <w:t xml:space="preserve">Texto de la Ley 1952: copia «LEY 1952 DE 2019 - LEY 2094 DE 2021.docx» (Secretaría del Senado, con notas de vigencia) de la carpeta de Drive del usuario.</w:t>
      </w:r>
      <w:r>
        <w:t xml:space="preserve"> </w:t>
      </w:r>
      <w:r>
        <w:rPr>
          <w:bCs/>
          <w:b/>
        </w:rPr>
        <w:t xml:space="preserve">Limitaciones:</w:t>
      </w:r>
      <w:r>
        <w:t xml:space="preserve"> </w:t>
      </w:r>
      <w:r>
        <w:t xml:space="preserve">no registra cambios posteriores a 2021 (p. ej., la C-030 de 2023), y la copia consultada termina en el art. 202, de modo que no contiene la etapa de evaluación (arts. 223 y ss.). En esa copia el art. 31 trata las causales de exclusión de la responsabilidad y los arts. 32 y 33 la extinción y la prescripción de la acción; verifica la numeración en el texto oficial. La ley rige desde el 29-mar-2022 (art. 33 sobre funciones jurisdiccionales, desde el 29-dic-2023, según el encabezado de la copia). La favorabilidad está en el art. 8.</w:t>
      </w:r>
    </w:p>
    <w:p>
      <w:pPr>
        <w:pStyle w:val="BodyText"/>
      </w:pPr>
      <w:r>
        <w:rPr>
          <w:bCs/>
          <w:b/>
        </w:rPr>
        <w:t xml:space="preserve">Numeración de la Ley 734:</w:t>
      </w:r>
      <w:r>
        <w:t xml:space="preserve"> </w:t>
      </w:r>
      <w:r>
        <w:t xml:space="preserve">las sentencias leídas no son consistentes (el art. 141 aparece citado para la apreciación con sana crítica y para la motivación; el art. 130 para el traslado de prueba y para los indicios). Solo los arts. 140, 142 y 135 están verificados por el texto que las sentencias reproducen.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Tema</w:t>
            </w:r>
          </w:p>
        </w:tc>
        <w:tc>
          <w:tcPr/>
          <w:p>
            <w:pPr>
              <w:pStyle w:val="Compact"/>
              <w:jc w:val="left"/>
            </w:pPr>
            <w:r>
              <w:t xml:space="preserve">Ley 734 (según sentencias)</w:t>
            </w:r>
          </w:p>
        </w:tc>
        <w:tc>
          <w:tcPr/>
          <w:p>
            <w:pPr>
              <w:pStyle w:val="Compact"/>
              <w:jc w:val="left"/>
            </w:pPr>
            <w:r>
              <w:t xml:space="preserve">Ley 1952 (art.)</w:t>
            </w:r>
          </w:p>
        </w:tc>
        <w:tc>
          <w:tcPr/>
          <w:p>
            <w:pPr>
              <w:pStyle w:val="Compact"/>
              <w:jc w:val="left"/>
            </w:pPr>
            <w:r>
              <w:t xml:space="preserve">Texto de la Ley 1952</w:t>
            </w:r>
          </w:p>
        </w:tc>
        <w:tc>
          <w:tcPr/>
          <w:p>
            <w:pPr>
              <w:pStyle w:val="Compact"/>
              <w:jc w:val="left"/>
            </w:pPr>
            <w:r>
              <w:t xml:space="preserve">Observación</w:t>
            </w:r>
          </w:p>
        </w:tc>
      </w:tr>
      <w:tr>
        <w:tc>
          <w:tcPr/>
          <w:p>
            <w:pPr>
              <w:pStyle w:val="Compact"/>
              <w:jc w:val="left"/>
            </w:pPr>
            <w:r>
              <w:t xml:space="preserve">Carga de la prueba</w:t>
            </w:r>
          </w:p>
        </w:tc>
        <w:tc>
          <w:tcPr/>
          <w:p>
            <w:pPr>
              <w:pStyle w:val="Compact"/>
              <w:jc w:val="left"/>
            </w:pPr>
            <w:r>
              <w:t xml:space="preserve">128 (carga del Estado)</w:t>
            </w:r>
          </w:p>
        </w:tc>
        <w:tc>
          <w:tcPr/>
          <w:p>
            <w:pPr>
              <w:pStyle w:val="Compact"/>
              <w:jc w:val="left"/>
            </w:pPr>
            <w:r>
              <w:t xml:space="preserve">147</w:t>
            </w:r>
          </w:p>
        </w:tc>
        <w:tc>
          <w:tcPr/>
          <w:p>
            <w:pPr>
              <w:pStyle w:val="Compact"/>
              <w:jc w:val="left"/>
            </w:pPr>
            <w:r>
              <w:t xml:space="preserve">ARTÍCULO 147. NECESIDAD Y CARGA DE LA PRUEBA. Toda decisión interlocutoria y el fallo disciplinario deben fundarse en pruebas legalmente producidas y aportadas al proceso por petición de cualquier sujeto procesal o en forma oficiosa. La carga de la prueba corresponde al Estado.</w:t>
            </w:r>
          </w:p>
        </w:tc>
        <w:tc>
          <w:tcPr/>
          <w:p>
            <w:pPr>
              <w:pStyle w:val="Compact"/>
              <w:jc w:val="left"/>
            </w:pPr>
            <w:r>
              <w:t xml:space="preserve">Mismo contenido.</w:t>
            </w:r>
          </w:p>
        </w:tc>
      </w:tr>
      <w:tr>
        <w:tc>
          <w:tcPr/>
          <w:p>
            <w:pPr>
              <w:pStyle w:val="Compact"/>
              <w:jc w:val="left"/>
            </w:pPr>
            <w:r>
              <w:t xml:space="preserve">Búsqueda de la verdad; investigación integral</w:t>
            </w:r>
          </w:p>
        </w:tc>
        <w:tc>
          <w:tcPr/>
          <w:p>
            <w:pPr>
              <w:pStyle w:val="Compact"/>
              <w:jc w:val="left"/>
            </w:pPr>
            <w:r>
              <w:t xml:space="preserve">129; principio de investigación integral</w:t>
            </w:r>
          </w:p>
        </w:tc>
        <w:tc>
          <w:tcPr/>
          <w:p>
            <w:pPr>
              <w:pStyle w:val="Compact"/>
              <w:jc w:val="left"/>
            </w:pPr>
            <w:r>
              <w:t xml:space="preserve">13 y 148</w:t>
            </w:r>
          </w:p>
        </w:tc>
        <w:tc>
          <w:tcPr/>
          <w:p>
            <w:pPr>
              <w:pStyle w:val="Compact"/>
              <w:jc w:val="left"/>
            </w:pPr>
            <w:r>
              <w:t xml:space="preserve">ARTÍCULO 13. INVESTIGACIÓN INTEGRAL. Las autoridades disciplinarias tienen la obligación de investigar con igual rigor los hechos y circunstancias que demuestren la existencia de falta disciplinaria y la responsabilidad del investigado y los que tiendan a demo / ARTÍCULO 148. IMPARCIALIDAD DEL FUNCIONARIO EN LA BÚSQUEDA DE LA PRUEBA. El funcionario buscará la verdad real. Para ello deberá investigar con igual rigor los hechos y circunstancias que demuestren la existencia de la falta disciplinaria y la responsabilidad del investigado, y los que tiendan a demostrar su inexistenc</w:t>
            </w:r>
          </w:p>
        </w:tc>
        <w:tc>
          <w:tcPr/>
          <w:p>
            <w:pPr>
              <w:pStyle w:val="Compact"/>
              <w:jc w:val="left"/>
            </w:pPr>
            <w:r>
              <w:t xml:space="preserve">La Ley 1952 eleva la investigación integral a principio rector (art. 13), que la CNDJ aplicó en el Rad. 2021-00235-02.</w:t>
            </w:r>
          </w:p>
        </w:tc>
      </w:tr>
      <w:tr>
        <w:tc>
          <w:tcPr/>
          <w:p>
            <w:pPr>
              <w:pStyle w:val="Compact"/>
              <w:jc w:val="left"/>
            </w:pPr>
            <w:r>
              <w:t xml:space="preserve">Presunción de inocencia y duda</w:t>
            </w:r>
          </w:p>
        </w:tc>
        <w:tc>
          <w:tcPr/>
          <w:p>
            <w:pPr>
              <w:pStyle w:val="Compact"/>
              <w:jc w:val="left"/>
            </w:pPr>
            <w:r>
              <w:t xml:space="preserve">9</w:t>
            </w:r>
          </w:p>
        </w:tc>
        <w:tc>
          <w:tcPr/>
          <w:p>
            <w:pPr>
              <w:pStyle w:val="Compact"/>
              <w:jc w:val="left"/>
            </w:pPr>
            <w:r>
              <w:t xml:space="preserve">14</w:t>
            </w:r>
          </w:p>
        </w:tc>
        <w:tc>
          <w:tcPr/>
          <w:p>
            <w:pPr>
              <w:pStyle w:val="Compact"/>
              <w:jc w:val="left"/>
            </w:pPr>
            <w:r>
              <w:t xml:space="preserve">ARTÍCULO 14. PRESUNCIÓN DE INOCENCIA. El sujeto disciplinable se presume inocente y debe ser tratado como tal mientras no se declare su responsabilidad en fallo ejecutoriado. Durante la actuación disciplinaria toda duda razonable se resolverá a favor del sujeto disciplinable cuando no haya modo de eliminar la responsabilidad.</w:t>
            </w:r>
          </w:p>
        </w:tc>
        <w:tc>
          <w:tcPr/>
          <w:p>
            <w:pPr>
              <w:pStyle w:val="Compact"/>
              <w:jc w:val="left"/>
            </w:pPr>
            <w:r>
              <w:t xml:space="preserve">La C-495 de 2019 declaró inexequible la frase «cuando no haya modo de eliminar la responsabilidad»; la duda razonable se resuelve a favor del sujeto disciplinable.</w:t>
            </w:r>
          </w:p>
        </w:tc>
      </w:tr>
      <w:tr>
        <w:tc>
          <w:tcPr/>
          <w:p>
            <w:pPr>
              <w:pStyle w:val="Compact"/>
              <w:jc w:val="left"/>
            </w:pPr>
            <w:r>
              <w:t xml:space="preserve">Apreciación integral y sana crítica</w:t>
            </w:r>
          </w:p>
        </w:tc>
        <w:tc>
          <w:tcPr/>
          <w:p>
            <w:pPr>
              <w:pStyle w:val="Compact"/>
              <w:jc w:val="left"/>
            </w:pPr>
            <w:r>
              <w:t xml:space="preserve">140 (texto verificado en CE 1667-2022)</w:t>
            </w:r>
          </w:p>
        </w:tc>
        <w:tc>
          <w:tcPr/>
          <w:p>
            <w:pPr>
              <w:pStyle w:val="Compact"/>
              <w:jc w:val="left"/>
            </w:pPr>
            <w:r>
              <w:t xml:space="preserve">159 y 19</w:t>
            </w:r>
          </w:p>
        </w:tc>
        <w:tc>
          <w:tcPr/>
          <w:p>
            <w:pPr>
              <w:pStyle w:val="Compact"/>
              <w:jc w:val="left"/>
            </w:pPr>
            <w:r>
              <w:t xml:space="preserve">ARTÍCULO 159. APRECIACIÓN INTEGRAL DE LAS PRUEBAS. Las pruebas deberán apreciarse conjuntamente, de acuerdo con las reglas de la sana crítica. En toda decisión motivada deberá exponerse razonadamente el mérito de las pruebas en que esta se fundamenta.</w:t>
            </w:r>
          </w:p>
        </w:tc>
        <w:tc>
          <w:tcPr/>
          <w:p>
            <w:pPr>
              <w:pStyle w:val="Compact"/>
              <w:jc w:val="left"/>
            </w:pPr>
            <w:r>
              <w:t xml:space="preserve">Texto equivalente; el art. 19 añade que toda decisión de fondo debe motivarse.</w:t>
            </w:r>
          </w:p>
        </w:tc>
      </w:tr>
      <w:tr>
        <w:tc>
          <w:tcPr/>
          <w:p>
            <w:pPr>
              <w:pStyle w:val="Compact"/>
              <w:jc w:val="left"/>
            </w:pPr>
            <w:r>
              <w:t xml:space="preserve">Prueba para sancionar</w:t>
            </w:r>
          </w:p>
        </w:tc>
        <w:tc>
          <w:tcPr/>
          <w:p>
            <w:pPr>
              <w:pStyle w:val="Compact"/>
              <w:jc w:val="left"/>
            </w:pPr>
            <w:r>
              <w:t xml:space="preserve">142 (texto verificado en CE 1667-2022)</w:t>
            </w:r>
          </w:p>
        </w:tc>
        <w:tc>
          <w:tcPr/>
          <w:p>
            <w:pPr>
              <w:pStyle w:val="Compact"/>
              <w:jc w:val="left"/>
            </w:pPr>
            <w:r>
              <w:t xml:space="preserve">160</w:t>
            </w:r>
          </w:p>
        </w:tc>
        <w:tc>
          <w:tcPr/>
          <w:p>
            <w:pPr>
              <w:pStyle w:val="Compact"/>
              <w:jc w:val="left"/>
            </w:pPr>
            <w:r>
              <w:t xml:space="preserve">ARTÍCULO 160. PRUEBA PARA SANCIONAR. No se podrá proferir fallo sancionatorio sin que obre en el proceso prueba que conduzca a la certeza sobre la existencia de la falta y de la responsabilidad del disciplinado. CAPÍTULO I. CONFESIÓN.</w:t>
            </w:r>
          </w:p>
        </w:tc>
        <w:tc>
          <w:tcPr/>
          <w:p>
            <w:pPr>
              <w:pStyle w:val="Compact"/>
              <w:jc w:val="left"/>
            </w:pPr>
            <w:r>
              <w:t xml:space="preserve">Cambia «investigado» por «disciplinado».</w:t>
            </w:r>
          </w:p>
        </w:tc>
      </w:tr>
      <w:tr>
        <w:tc>
          <w:tcPr/>
          <w:p>
            <w:pPr>
              <w:pStyle w:val="Compact"/>
              <w:jc w:val="left"/>
            </w:pPr>
            <w:r>
              <w:t xml:space="preserve">Libertad de prueba; medios; indicios</w:t>
            </w:r>
          </w:p>
        </w:tc>
        <w:tc>
          <w:tcPr/>
          <w:p>
            <w:pPr>
              <w:pStyle w:val="Compact"/>
              <w:jc w:val="left"/>
            </w:pPr>
            <w:r>
              <w:t xml:space="preserve">130 y 131</w:t>
            </w:r>
          </w:p>
        </w:tc>
        <w:tc>
          <w:tcPr/>
          <w:p>
            <w:pPr>
              <w:pStyle w:val="Compact"/>
              <w:jc w:val="left"/>
            </w:pPr>
            <w:r>
              <w:t xml:space="preserve">149 y 150</w:t>
            </w:r>
          </w:p>
        </w:tc>
        <w:tc>
          <w:tcPr/>
          <w:p>
            <w:pPr>
              <w:pStyle w:val="Compact"/>
              <w:jc w:val="left"/>
            </w:pPr>
            <w:r>
              <w:t xml:space="preserve">ARTÍCULO 149. MEDIOS DE PRUEBA. Son medios de prueba la confesión, el testimonio, la peritación, la inspección disciplinaria y los documentos, los cuales se practicarán de acuerdo con las reglas previstas en este código. Los indicios se tendrán en cuenta en el momento de apreciar las pruebas, siguiendo los principios de la sana crítica. Los medios de prueba no previstos en esta ley se practicarán de acuerdo con las disposiciones que los regulen, respetando siempre l</w:t>
            </w:r>
          </w:p>
        </w:tc>
        <w:tc>
          <w:tcPr/>
          <w:p>
            <w:pPr>
              <w:pStyle w:val="Compact"/>
              <w:jc w:val="left"/>
            </w:pPr>
            <w:r>
              <w:t xml:space="preserve">El art. 149 conserva que los indicios se aprecian con sana crítica.</w:t>
            </w:r>
          </w:p>
        </w:tc>
      </w:tr>
      <w:tr>
        <w:tc>
          <w:tcPr/>
          <w:p>
            <w:pPr>
              <w:pStyle w:val="Compact"/>
              <w:jc w:val="left"/>
            </w:pPr>
            <w:r>
              <w:t xml:space="preserve">Indicios</w:t>
            </w:r>
          </w:p>
        </w:tc>
        <w:tc>
          <w:tcPr/>
          <w:p>
            <w:pPr>
              <w:pStyle w:val="Compact"/>
              <w:jc w:val="left"/>
            </w:pPr>
            <w:r>
              <w:t xml:space="preserve">130</w:t>
            </w:r>
          </w:p>
        </w:tc>
        <w:tc>
          <w:tcPr/>
          <w:p>
            <w:pPr>
              <w:pStyle w:val="Compact"/>
              <w:jc w:val="left"/>
            </w:pPr>
            <w:r>
              <w:t xml:space="preserve">196 a 199</w:t>
            </w:r>
          </w:p>
        </w:tc>
        <w:tc>
          <w:tcPr/>
          <w:p>
            <w:pPr>
              <w:pStyle w:val="Compact"/>
              <w:jc w:val="left"/>
            </w:pPr>
            <w:r>
              <w:t xml:space="preserve">ARTÍCULO 196. ELEMENTOS. Todo indicio ha de basarse en la experiencia y supone un hecho indicador, del cual el funcionario infiere lógicamente la existencia de otro hecho. / ARTÍCULO 198. PRUEBA DEL HECHO INDICADOR. El hecho indicador debe estar probado. / ARTÍCULO 199. APRECIACIÓN. El funcionario apreciará los indicios en conjunto teniendo en cuenta su gravedad, concordancia y convergencia, y su relación con los medios de prueba que obren en la actuación procesal. TÍTULO VII. ATRIBUCIONES DE POLICÍA JUDICIAL.</w:t>
            </w:r>
          </w:p>
        </w:tc>
        <w:tc>
          <w:tcPr/>
          <w:p>
            <w:pPr>
              <w:pStyle w:val="Compact"/>
              <w:jc w:val="left"/>
            </w:pPr>
            <w:r>
              <w:t xml:space="preserve">La Ley 1952 regula elementos, unidad, prueba del hecho indicador y apreciación en conjunto. Compárese con CE 4344-2018 y CNDJ 2019-02691.</w:t>
            </w:r>
          </w:p>
        </w:tc>
      </w:tr>
      <w:tr>
        <w:tc>
          <w:tcPr/>
          <w:p>
            <w:pPr>
              <w:pStyle w:val="Compact"/>
              <w:jc w:val="left"/>
            </w:pPr>
            <w:r>
              <w:t xml:space="preserve">Petición y negación de pruebas</w:t>
            </w:r>
          </w:p>
        </w:tc>
        <w:tc>
          <w:tcPr/>
          <w:p>
            <w:pPr>
              <w:pStyle w:val="Compact"/>
              <w:jc w:val="left"/>
            </w:pPr>
            <w:r>
              <w:t xml:space="preserve">132</w:t>
            </w:r>
          </w:p>
        </w:tc>
        <w:tc>
          <w:tcPr/>
          <w:p>
            <w:pPr>
              <w:pStyle w:val="Compact"/>
              <w:jc w:val="left"/>
            </w:pPr>
            <w:r>
              <w:t xml:space="preserve">151</w:t>
            </w:r>
          </w:p>
        </w:tc>
        <w:tc>
          <w:tcPr/>
          <w:p>
            <w:pPr>
              <w:pStyle w:val="Compact"/>
              <w:jc w:val="left"/>
            </w:pPr>
            <w:r>
              <w:t xml:space="preserve">ARTÍCULO 151. PETICIÓN Y NEGACIÓN DE PRUEBAS. Los sujetos procesales pueden aportar y solicitar la práctica de las pruebas que estimen conducentes y pertinentes. Serán negadas las inconducentes, las impertinentes y las superfluas y no se atenderán las practicadas ilegalmente.</w:t>
            </w:r>
          </w:p>
        </w:tc>
        <w:tc>
          <w:tcPr/>
          <w:p>
            <w:pPr>
              <w:pStyle w:val="Compact"/>
              <w:jc w:val="left"/>
            </w:pPr>
            <w:r>
              <w:t xml:space="preserve">Mismo contenido: se niegan inconducentes, impertinentes y superfluas.</w:t>
            </w:r>
          </w:p>
        </w:tc>
      </w:tr>
      <w:tr>
        <w:tc>
          <w:tcPr/>
          <w:p>
            <w:pPr>
              <w:pStyle w:val="Compact"/>
              <w:jc w:val="left"/>
            </w:pPr>
            <w:r>
              <w:t xml:space="preserve">Prueba ilícita; cláusula de exclusión</w:t>
            </w:r>
          </w:p>
        </w:tc>
        <w:tc>
          <w:tcPr/>
          <w:p>
            <w:pPr>
              <w:pStyle w:val="Compact"/>
              <w:jc w:val="left"/>
            </w:pPr>
            <w:r>
              <w:t xml:space="preserve">art. 29 C.P.; art. 21 (integración con el CPP)</w:t>
            </w:r>
          </w:p>
        </w:tc>
        <w:tc>
          <w:tcPr/>
          <w:p>
            <w:pPr>
              <w:pStyle w:val="Compact"/>
              <w:jc w:val="left"/>
            </w:pPr>
            <w:r>
              <w:t xml:space="preserve">21, 151 y 158</w:t>
            </w:r>
          </w:p>
        </w:tc>
        <w:tc>
          <w:tcPr/>
          <w:p>
            <w:pPr>
              <w:pStyle w:val="Compact"/>
              <w:jc w:val="left"/>
            </w:pPr>
            <w:r>
              <w:t xml:space="preserve">ARTÍCULO 21. CLÁUSULA DE EXCLUSIÓN. Toda prueba obtenida con violación de los derechos y garantías fundamentales será nula de pleno derecho, por lo quedeberá excluirse de la actuación procesal. Igual tratamiento recibirán las pruebas que sean consecuencia de las pruebas excluidas o las que solo puedan explicarse en razón de su existencia. Se deben considerar, al respecto, las siguientes excepciones: la fuente independiente, el vínculo atenuado, el descubrimiento inevitable y los demás que establezca la ley. / ARTÍCULO 158. INEXISTENCIA DE LA PRUEBA. La prueba recaudada sin el lleno de las formalidades sustanciales o con desconocimiento de los derechos fundamentales del investigado se tendrá como inexistente.</w:t>
            </w:r>
          </w:p>
        </w:tc>
        <w:tc>
          <w:tcPr/>
          <w:p>
            <w:pPr>
              <w:pStyle w:val="Compact"/>
              <w:jc w:val="left"/>
            </w:pPr>
            <w:r>
              <w:t xml:space="preserve">La Ley 1952 consagra expresamente la exclusión de la prueba derivada y las excepciones (fuente independiente, vínculo atenuado, descubrimiento inevitable), que CE 2201-11 aplicó por integración con el CPP.</w:t>
            </w:r>
          </w:p>
        </w:tc>
      </w:tr>
      <w:tr>
        <w:tc>
          <w:tcPr/>
          <w:p>
            <w:pPr>
              <w:pStyle w:val="Compact"/>
              <w:jc w:val="left"/>
            </w:pPr>
            <w:r>
              <w:t xml:space="preserve">Prueba trasladada</w:t>
            </w:r>
          </w:p>
        </w:tc>
        <w:tc>
          <w:tcPr/>
          <w:p>
            <w:pPr>
              <w:pStyle w:val="Compact"/>
              <w:jc w:val="left"/>
            </w:pPr>
            <w:r>
              <w:t xml:space="preserve">135 (texto con la reforma de la Ley 1474 de 2011, según CE 0086-2014)</w:t>
            </w:r>
          </w:p>
        </w:tc>
        <w:tc>
          <w:tcPr/>
          <w:p>
            <w:pPr>
              <w:pStyle w:val="Compact"/>
              <w:jc w:val="left"/>
            </w:pPr>
            <w:r>
              <w:t xml:space="preserve">154</w:t>
            </w:r>
          </w:p>
        </w:tc>
        <w:tc>
          <w:tcPr/>
          <w:p>
            <w:pPr>
              <w:pStyle w:val="Compact"/>
              <w:jc w:val="left"/>
            </w:pPr>
            <w:r>
              <w:t xml:space="preserve">ARTÍCULO 154. PRUEBA TRASLADADA. Las pruebas practicadas válidamente en una actuación judicial o administrativa, dentro o fuera del país, podrán trasladarse a la actuación disciplinaria mediante copias autorizadas por el respectivo funcionario y serán apreciadas conforme a las reglas previstas en este código. También podrán trasladarse los elementos materiales de prueba o evidencias físicas que la Fiscalía General de la Nación haya descubierto con la presentación del escrito de acusación en el proceso penal, aun cuando ellos no hayan sido introducidos y controvertidos en la audiencia del juicio y no tengan por consiguiente la calidad de pruebas. Estos elementos materiales de prueba o evidenc</w:t>
            </w:r>
          </w:p>
        </w:tc>
        <w:tc>
          <w:tcPr/>
          <w:p>
            <w:pPr>
              <w:pStyle w:val="Compact"/>
              <w:jc w:val="left"/>
            </w:pPr>
            <w:r>
              <w:t xml:space="preserve">Incorpora la regla sobre elementos materiales descubiertos con el escrito de acusación, que deben someterse a contradicción (relevante para CE 0086-2014).</w:t>
            </w:r>
          </w:p>
        </w:tc>
      </w:tr>
      <w:tr>
        <w:tc>
          <w:tcPr/>
          <w:p>
            <w:pPr>
              <w:pStyle w:val="Compact"/>
              <w:jc w:val="left"/>
            </w:pPr>
            <w:r>
              <w:t xml:space="preserve">Contradicción de la prueba</w:t>
            </w:r>
          </w:p>
        </w:tc>
        <w:tc>
          <w:tcPr/>
          <w:p>
            <w:pPr>
              <w:pStyle w:val="Compact"/>
              <w:jc w:val="left"/>
            </w:pPr>
            <w:r>
              <w:t xml:space="preserve">137 (numeración no verificada)</w:t>
            </w:r>
          </w:p>
        </w:tc>
        <w:tc>
          <w:tcPr/>
          <w:p>
            <w:pPr>
              <w:pStyle w:val="Compact"/>
              <w:jc w:val="left"/>
            </w:pPr>
            <w:r>
              <w:t xml:space="preserve">157</w:t>
            </w:r>
          </w:p>
        </w:tc>
        <w:tc>
          <w:tcPr/>
          <w:p>
            <w:pPr>
              <w:pStyle w:val="Compact"/>
              <w:jc w:val="left"/>
            </w:pPr>
            <w:r>
              <w:t xml:space="preserve">ARTÍCULO 157. OPORTUNIDAD PARA CONTROVERTIR LA PRUEBA. Los sujetos procesales podrán controvertir las pruebas a partir del momento en que sean notificados del auto de apertura de investigación disciplinaria o de la orden de vinculación.</w:t>
            </w:r>
          </w:p>
        </w:tc>
        <w:tc>
          <w:tcPr/>
          <w:p>
            <w:pPr>
              <w:pStyle w:val="Compact"/>
              <w:jc w:val="left"/>
            </w:pPr>
            <w:r>
              <w:t xml:space="preserve">Contradicción desde la notificación del auto de apertura de investigación.</w:t>
            </w:r>
          </w:p>
        </w:tc>
      </w:tr>
      <w:tr>
        <w:tc>
          <w:tcPr/>
          <w:p>
            <w:pPr>
              <w:pStyle w:val="Compact"/>
              <w:jc w:val="left"/>
            </w:pPr>
            <w:r>
              <w:t xml:space="preserve">Testimonio; excepción al deber de declarar</w:t>
            </w:r>
          </w:p>
        </w:tc>
        <w:tc>
          <w:tcPr/>
          <w:p>
            <w:pPr>
              <w:pStyle w:val="Compact"/>
              <w:jc w:val="left"/>
            </w:pPr>
            <w:r>
              <w:t xml:space="preserve">art. 267 Ley 600 y art. 33 C.P., según CE 3358-2022</w:t>
            </w:r>
          </w:p>
        </w:tc>
        <w:tc>
          <w:tcPr/>
          <w:p>
            <w:pPr>
              <w:pStyle w:val="Compact"/>
              <w:jc w:val="left"/>
            </w:pPr>
            <w:r>
              <w:t xml:space="preserve">164 y 166</w:t>
            </w:r>
          </w:p>
        </w:tc>
        <w:tc>
          <w:tcPr/>
          <w:p>
            <w:pPr>
              <w:pStyle w:val="Compact"/>
              <w:jc w:val="left"/>
            </w:pPr>
            <w:r>
              <w:t xml:space="preserve">ARTÍCULO 166. EXCEPCIÓN AL DEBER DE DECLARAR. El servidor público informará a quien vaya a rendir testimonio sobre las garantías consagradas por el artículo</w:t>
            </w:r>
            <w:r>
              <w:t xml:space="preserve"> </w:t>
            </w:r>
            <w:hyperlink r:id="rId20">
              <w:r>
                <w:rPr>
                  <w:rStyle w:val="Hyperlink"/>
                </w:rPr>
                <w:t xml:space="preserve">33</w:t>
              </w:r>
            </w:hyperlink>
            <w:r>
              <w:t xml:space="preserve">de la Constitución Naci</w:t>
            </w:r>
          </w:p>
        </w:tc>
        <w:tc>
          <w:tcPr/>
          <w:p>
            <w:pPr>
              <w:pStyle w:val="Compact"/>
              <w:jc w:val="left"/>
            </w:pPr>
            <w:r>
              <w:t xml:space="preserve">La Ley 1952 remite al art. 33 de la Constitución para el deber de informar la excepción al deber de declarar.</w:t>
            </w:r>
          </w:p>
        </w:tc>
      </w:tr>
      <w:tr>
        <w:tc>
          <w:tcPr/>
          <w:p>
            <w:pPr>
              <w:pStyle w:val="Compact"/>
              <w:jc w:val="left"/>
            </w:pPr>
            <w:r>
              <w:t xml:space="preserve">Testimonio de menores</w:t>
            </w:r>
          </w:p>
        </w:tc>
        <w:tc>
          <w:tcPr/>
          <w:p>
            <w:pPr>
              <w:pStyle w:val="Compact"/>
              <w:jc w:val="left"/>
            </w:pPr>
            <w:r>
              <w:t xml:space="preserve">—</w:t>
            </w:r>
          </w:p>
        </w:tc>
        <w:tc>
          <w:tcPr/>
          <w:p>
            <w:pPr>
              <w:pStyle w:val="Compact"/>
              <w:jc w:val="left"/>
            </w:pPr>
            <w:r>
              <w:t xml:space="preserve">164</w:t>
            </w:r>
          </w:p>
        </w:tc>
        <w:tc>
          <w:tcPr/>
          <w:p>
            <w:pPr>
              <w:pStyle w:val="Compact"/>
              <w:jc w:val="left"/>
            </w:pPr>
            <w:r>
              <w:t xml:space="preserve">ARTÍCULO 164. DEBER DE RENDIR TESTIMONIO. Toda persona está en la obligación de rendir bajo juramento el testimonio que se le solicita en la actuación procesal, salvo las excepciones constitucionales y legales. Los menores de edad que tengan más de siete años podrán rendir testimonio, diligencia que solo podrá ser recibida ante el Defensor o Comisario de Familia, en su despacho o a través de audio y video cuando las circunstancias así lo determinen. El menor absolverá el cuestionario enviado para el caso por la autoridad disciplinaria. El disciplinado o su defensor podrán formular preguntas que no sean contrarias</w:t>
            </w:r>
          </w:p>
        </w:tc>
        <w:tc>
          <w:tcPr/>
          <w:p>
            <w:pPr>
              <w:pStyle w:val="Compact"/>
              <w:jc w:val="left"/>
            </w:pPr>
            <w:r>
              <w:t xml:space="preserve">La C-452 de 2020 declaró inexequible «que tengan más de siete años». El art. 164 prevé preguntas del disciplinado o su defensor «que no sean contrarias al interés del declarante»; compárese con CE 2700-2013 (no contrainterrogar a menores víctimas).</w:t>
            </w:r>
          </w:p>
        </w:tc>
      </w:tr>
      <w:tr>
        <w:tc>
          <w:tcPr/>
          <w:p>
            <w:pPr>
              <w:pStyle w:val="Compact"/>
              <w:jc w:val="left"/>
            </w:pPr>
            <w:r>
              <w:t xml:space="preserve">Criterios para apreciar el testimonio</w:t>
            </w:r>
          </w:p>
        </w:tc>
        <w:tc>
          <w:tcPr/>
          <w:p>
            <w:pPr>
              <w:pStyle w:val="Compact"/>
              <w:jc w:val="left"/>
            </w:pPr>
            <w:r>
              <w:t xml:space="preserve">sana crítica</w:t>
            </w:r>
          </w:p>
        </w:tc>
        <w:tc>
          <w:tcPr/>
          <w:p>
            <w:pPr>
              <w:pStyle w:val="Compact"/>
              <w:jc w:val="left"/>
            </w:pPr>
            <w:r>
              <w:t xml:space="preserve">176</w:t>
            </w:r>
          </w:p>
        </w:tc>
        <w:tc>
          <w:tcPr/>
          <w:p>
            <w:pPr>
              <w:pStyle w:val="Compact"/>
              <w:jc w:val="left"/>
            </w:pPr>
            <w:r>
              <w:t xml:space="preserve">ARTÍCULO 176. CRITERIOS PARA LA APRECIACIÓN DEL TESTIMONIO. Para apreciar el testimonio, el funcionario tendrá en cuenta los principios de la sana crítica y especialmente lo relativo a la naturaleza del objeto percibido, al estado de sanidad del sentido o sentidos por los cuales se tuvo la percepción, las circunstancias de lugar, tiempo y modo en que se percibió, a la personalidad del declarante, a la forma como hubiere declarado y las singularidades que puedan observarse en el testimonio. CAPÍTULO III. PERITACIÓN.</w:t>
            </w:r>
          </w:p>
        </w:tc>
        <w:tc>
          <w:tcPr/>
          <w:p>
            <w:pPr>
              <w:pStyle w:val="Compact"/>
              <w:jc w:val="left"/>
            </w:pPr>
            <w:r>
              <w:t xml:space="preserve">Los criterios de coherencia, espontaneidad y corroboración que usa CE 2700-2013 no figuran en el art. 176; este enumera otros (objeto percibido, sentidos, circunstancias, personalidad, forma de declarar).</w:t>
            </w:r>
          </w:p>
        </w:tc>
      </w:tr>
      <w:tr>
        <w:tc>
          <w:tcPr/>
          <w:p>
            <w:pPr>
              <w:pStyle w:val="Compact"/>
              <w:jc w:val="left"/>
            </w:pPr>
            <w:r>
              <w:t xml:space="preserve">Documentos y autenticidad</w:t>
            </w:r>
          </w:p>
        </w:tc>
        <w:tc>
          <w:tcPr/>
          <w:p>
            <w:pPr>
              <w:pStyle w:val="Compact"/>
              <w:jc w:val="left"/>
            </w:pPr>
            <w:r>
              <w:t xml:space="preserve">Ley 527 de 1999, art. 11 (CNDJ 2021-00235-02)</w:t>
            </w:r>
          </w:p>
        </w:tc>
        <w:tc>
          <w:tcPr/>
          <w:p>
            <w:pPr>
              <w:pStyle w:val="Compact"/>
              <w:jc w:val="left"/>
            </w:pPr>
            <w:r>
              <w:t xml:space="preserve">191</w:t>
            </w:r>
          </w:p>
        </w:tc>
        <w:tc>
          <w:tcPr/>
          <w:p>
            <w:pPr>
              <w:pStyle w:val="Compact"/>
              <w:jc w:val="left"/>
            </w:pPr>
            <w:r>
              <w:t xml:space="preserve">ARTÍCULO 191. PRESUNCIÓN DE AUTENTICIDAD. Los documentos allegados al proceso se presumen auténticos, así como los informes rendidos por las entidades públicas o privadas requeridas por la autoridad disciplinaria. En caso de duda deberán ser sometidos a examen técnico, para lo cual se atenderá lo señalado en lo referido a la prueba perici</w:t>
            </w:r>
          </w:p>
        </w:tc>
        <w:tc>
          <w:tcPr/>
          <w:p>
            <w:pPr>
              <w:pStyle w:val="Compact"/>
              <w:jc w:val="left"/>
            </w:pPr>
            <w:r>
              <w:t xml:space="preserve">En caso de duda, examen técnico (prueba pericial): coincide con el reproche de la CNDJ por no acudir a pruebas técnicas para identificar al emisor del mensaje de voz.</w:t>
            </w:r>
          </w:p>
        </w:tc>
      </w:tr>
    </w:tbl>
    <w:p>
      <w:pPr>
        <w:pStyle w:val="BodyText"/>
      </w:pPr>
      <w:r>
        <w:t xml:space="preserve">Las observaciones son comparación de textos por la asistente, no reglas de las sentencias.</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www.secretariasenado.gov.co/senado/basedoc/constitucion_politica_1991_pr001.html#B05DB" TargetMode="External" /></Relationships>
</file>

<file path=word/_rels/footnotes.xml.rels><?xml version="1.0" encoding="UTF-8"?><Relationships xmlns="http://schemas.openxmlformats.org/package/2006/relationships"><Relationship Type="http://schemas.openxmlformats.org/officeDocument/2006/relationships/hyperlink" Id="rId20" Target="http://www.secretariasenado.gov.co/senado/basedoc/constitucion_politica_1991_pr001.html#B05D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2026-10-07T16:00:55Z</dcterms:created>
  <dcterms:modified xsi:type="dcterms:W3CDTF">2026-10-07T16:00:55Z</dcterms:modified>
</cp:coreProperties>
</file>

<file path=docProps/custom.xml><?xml version="1.0" encoding="utf-8"?>
<Properties xmlns="http://schemas.openxmlformats.org/officeDocument/2006/custom-properties" xmlns:vt="http://schemas.openxmlformats.org/officeDocument/2006/docPropsVTypes"/>
</file>