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lantillas-de-redacción-hdr-y-hjr"/>
    <w:p>
      <w:pPr>
        <w:pStyle w:val="Heading1"/>
      </w:pPr>
      <w:r>
        <w:t xml:space="preserve">Plantillas de redacción — HDR y HJR</w:t>
      </w:r>
    </w:p>
    <w:bookmarkStart w:id="20" w:name="Xfe3e3ddc6d5b1e1a6157ecca14ff80a12c215d8"/>
    <w:p>
      <w:pPr>
        <w:pStyle w:val="Heading2"/>
      </w:pPr>
      <w:r>
        <w:t xml:space="preserve">Plantilla A — Hechos disciplinariamente relevantes (auto de apertura de investigación)</w:t>
      </w:r>
    </w:p>
    <w:p>
      <w:pPr>
        <w:pStyle w:val="FirstParagraph"/>
      </w:pPr>
      <w:r>
        <w:t xml:space="preserve">Presenta los HDR en acápite propio titulado</w:t>
      </w:r>
      <w:r>
        <w:t xml:space="preserve"> </w:t>
      </w:r>
      <w:r>
        <w:t xml:space="preserve">“</w:t>
      </w:r>
      <w:r>
        <w:t xml:space="preserve">HECHOS DISCIPLINARIAMENTE RELEVANTES</w:t>
      </w:r>
      <w:r>
        <w:t xml:space="preserve">”</w:t>
      </w:r>
      <w:r>
        <w:t xml:space="preserve">, precedido de la fórmula:</w:t>
      </w:r>
      <w:r>
        <w:t xml:space="preserve"> </w:t>
      </w:r>
      <w:r>
        <w:t xml:space="preserve">“</w:t>
      </w:r>
      <w:r>
        <w:t xml:space="preserve">De conformidad con el artículo 215, numeral 2, de la Ley 1952 de 2019, se fija como marco fáctico provisional de la presente investigación la siguiente relación clara y sucinta de los hechos disciplinariamente relevantes: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Reglas de construcción de cada enunciado:</w:t>
      </w:r>
      <w:r>
        <w:t xml:space="preserve"> </w:t>
      </w:r>
      <w:r>
        <w:t xml:space="preserve">1. Un hecho por numeral, en orden cronológico.</w:t>
      </w:r>
      <w:r>
        <w:t xml:space="preserve"> </w:t>
      </w:r>
      <w:r>
        <w:t xml:space="preserve">2. Estructura base: [fecha o período] + [sujeto individualizado, con el cargo o calidad que ostentaba] + [conducta en modo condicional o con la locución</w:t>
      </w:r>
      <w:r>
        <w:t xml:space="preserve"> </w:t>
      </w:r>
      <w:r>
        <w:t xml:space="preserve">“</w:t>
      </w:r>
      <w:r>
        <w:t xml:space="preserve">presuntamente</w:t>
      </w:r>
      <w:r>
        <w:t xml:space="preserve">”</w:t>
      </w:r>
      <w:r>
        <w:t xml:space="preserve">] + [referencia esencial de lugar o contexto funcional].</w:t>
      </w:r>
      <w:r>
        <w:t xml:space="preserve"> </w:t>
      </w:r>
      <w:r>
        <w:t xml:space="preserve">3. Usa el condicional (</w:t>
      </w:r>
      <w:r>
        <w:t xml:space="preserve">“</w:t>
      </w:r>
      <w:r>
        <w:t xml:space="preserve">habría omitido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habría suscrito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presuntamente autorizó</w:t>
      </w:r>
      <w:r>
        <w:t xml:space="preserve">”</w:t>
      </w:r>
      <w:r>
        <w:t xml:space="preserve">) para preservar la presunción de inocencia: en esta etapa nada está demostrado.</w:t>
      </w:r>
      <w:r>
        <w:t xml:space="preserve"> </w:t>
      </w:r>
      <w:r>
        <w:t xml:space="preserve">4. Sin calificaciones jurídicas (no escribas</w:t>
      </w:r>
      <w:r>
        <w:t xml:space="preserve"> </w:t>
      </w:r>
      <w:r>
        <w:t xml:space="preserve">“</w:t>
      </w:r>
      <w:r>
        <w:t xml:space="preserve">incumplió sus deberes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violó el principio de transparencia</w:t>
      </w:r>
      <w:r>
        <w:t xml:space="preserve">”</w:t>
      </w:r>
      <w:r>
        <w:t xml:space="preserve">: eso es adecuación, no hecho). La adecuación típica provisional va en aparte distinto del auto.</w:t>
      </w:r>
      <w:r>
        <w:t xml:space="preserve"> </w:t>
      </w:r>
      <w:r>
        <w:t xml:space="preserve">5. Sin valoraciones del quejoso ni adjetivos (</w:t>
      </w:r>
      <w:r>
        <w:t xml:space="preserve">“</w:t>
      </w:r>
      <w:r>
        <w:t xml:space="preserve">irregularmente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 mala fe</w:t>
      </w:r>
      <w:r>
        <w:t xml:space="preserve">”</w:t>
      </w:r>
      <w:r>
        <w:t xml:space="preserve">). No transcribas la queja.</w:t>
      </w:r>
      <w:r>
        <w:t xml:space="preserve"> </w:t>
      </w:r>
      <w:r>
        <w:t xml:space="preserve">6. Sucinto no es vago: el enunciado debe permitir al disciplinable saber QUÉ se investiga, aunque no se exija aún la precisión de tiempo, modo y lugar propia del pliego (esa rigurosidad corresponde a los HJR). Si la fecha exacta se desconoce, usa el período determinable (</w:t>
      </w:r>
      <w:r>
        <w:t xml:space="preserve">“</w:t>
      </w:r>
      <w:r>
        <w:t xml:space="preserve">entre enero y marzo de 2025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en fecha por determinar dentro de la vigencia 2024</w:t>
      </w:r>
      <w:r>
        <w:t xml:space="preserve">”</w:t>
      </w:r>
      <w:r>
        <w:t xml:space="preserve">).</w:t>
      </w:r>
      <w:r>
        <w:t xml:space="preserve"> </w:t>
      </w:r>
      <w:r>
        <w:t xml:space="preserve">7. Cierra el acápite con la constancia de correlación:</w:t>
      </w:r>
      <w:r>
        <w:t xml:space="preserve"> </w:t>
      </w:r>
      <w:r>
        <w:t xml:space="preserve">“</w:t>
      </w:r>
      <w:r>
        <w:t xml:space="preserve">Los anteriores hechos guardan correspondencia con los descritos en [la queja / el informe] radicado bajo el número […], conforme al artículo 212 de la Ley 1952 de 2019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Ejemplo (ilustrativo):</w:t>
      </w:r>
      <w:r>
        <w:t xml:space="preserve"> </w:t>
      </w:r>
      <w:r>
        <w:t xml:space="preserve">“</w:t>
      </w:r>
      <w:r>
        <w:t xml:space="preserve">PRIMERO. El 15 de marzo de 2025, el señor [nombre], en su condición de secretario de planeación del municipio de [X], habría suscrito el contrato de obra n.º […] sin que obrara el certificado de disponibilidad presupuestal.</w:t>
      </w:r>
      <w:r>
        <w:t xml:space="preserve"> </w:t>
      </w:r>
      <w:r>
        <w:t xml:space="preserve">SEGUNDO. Entre marzo y junio de 2025, el mismo servidor presuntamente autorizó tres pagos parciales al contratista sin los informes de supervisión correspondientes.</w:t>
      </w:r>
      <w:r>
        <w:t xml:space="preserve">”</w:t>
      </w:r>
    </w:p>
    <w:bookmarkEnd w:id="20"/>
    <w:bookmarkStart w:id="21" w:name="X1b4f17131120ddb1af66fab21ca0df9a799baa8"/>
    <w:p>
      <w:pPr>
        <w:pStyle w:val="Heading2"/>
      </w:pPr>
      <w:r>
        <w:t xml:space="preserve">Plantilla B — Hechos jurídicamente relevantes (pliego de cargos)</w:t>
      </w:r>
    </w:p>
    <w:p>
      <w:pPr>
        <w:pStyle w:val="FirstParagraph"/>
      </w:pPr>
      <w:r>
        <w:t xml:space="preserve">Presenta los HJR al inicio de cada cargo, bajo el título</w:t>
      </w:r>
      <w:r>
        <w:t xml:space="preserve"> </w:t>
      </w:r>
      <w:r>
        <w:t xml:space="preserve">“</w:t>
      </w:r>
      <w:r>
        <w:t xml:space="preserve">IMPUTACIÓN FÁCTICA — HECHOS JURÍDICAMENTE RELEVANTES</w:t>
      </w:r>
      <w:r>
        <w:t xml:space="preserve">”</w:t>
      </w:r>
      <w:r>
        <w:t xml:space="preserve">, antes del análisis jurídico.</w:t>
      </w:r>
    </w:p>
    <w:p>
      <w:pPr>
        <w:pStyle w:val="BodyText"/>
      </w:pPr>
      <w:r>
        <w:t xml:space="preserve">Reglas de construcción:</w:t>
      </w:r>
      <w:r>
        <w:t xml:space="preserve"> </w:t>
      </w:r>
      <w:r>
        <w:t xml:space="preserve">1. Un hecho por numeral, orden cronológico, con indicación RIGUROSA de tiempo (fecha exacta o la máxima precisión que el acervo permita), modo (actos concretos de ejecución u omisión) y lugar (o ámbito funcional preciso).</w:t>
      </w:r>
      <w:r>
        <w:t xml:space="preserve"> </w:t>
      </w:r>
      <w:r>
        <w:t xml:space="preserve">2. Test de relevancia jurídica: cada enunciado debe corresponder a un elemento del tipo disciplinario, del deber funcional infringido o de la culpabilidad. Si al suprimir el enunciado el cargo se sostiene igual, el hecho es intrascendente: exclúyelo de la imputación (puede ir en los antecedentes). [Herramienta operativa de redacción; no citarla como doctrina de la CNDJ.]</w:t>
      </w:r>
      <w:r>
        <w:t xml:space="preserve"> </w:t>
      </w:r>
      <w:r>
        <w:t xml:space="preserve">3. Cada HJR debe estar respaldado por prueba obrante en el expediente; identifica el medio de prueba que lo soporta (folio, cuaderno o archivo digital).</w:t>
      </w:r>
      <w:r>
        <w:t xml:space="preserve"> </w:t>
      </w:r>
      <w:r>
        <w:t xml:space="preserve">4. Enunciados puramente fácticos, en modo asertivo (la ocurrencia está demostrada; la provisionalidad recae en la calificación y la responsabilidad). La adecuación típica, el deber infringido, la ilicitud sustancial y la culpabilidad se desarrollan en los acápites siguientes del cargo, en congruencia estricta con estos hechos. [Si la práctica del despacho conserva el condicional en cargos, ajústalo a esa práctica.]</w:t>
      </w:r>
      <w:r>
        <w:t xml:space="preserve"> </w:t>
      </w:r>
      <w:r>
        <w:t xml:space="preserve">5. Verifica y deja constancia de que cada HJR está cobijado por los HDR del auto de apertura.</w:t>
      </w:r>
      <w:r>
        <w:t xml:space="preserve"> </w:t>
      </w:r>
      <w:r>
        <w:t xml:space="preserve">6. La modalidad de la conducta (acción u omisión) debe quedar inequívoca.</w:t>
      </w:r>
    </w:p>
    <w:p>
      <w:pPr>
        <w:pStyle w:val="BodyText"/>
      </w:pPr>
      <w:r>
        <w:t xml:space="preserve">Ejemplo (ilustrativo, correlativo al anterior):</w:t>
      </w:r>
      <w:r>
        <w:t xml:space="preserve"> </w:t>
      </w:r>
      <w:r>
        <w:t xml:space="preserve">“</w:t>
      </w:r>
      <w:r>
        <w:t xml:space="preserve">PRIMERO. El 15 de marzo de 2025, en las instalaciones de la Alcaldía de [X], el señor [nombre], identificado con C.C. […], en su condición de secretario de planeación (Decreto de nombramiento n.º […], acta de posesión n.º […]), suscribió el contrato de obra pública n.º 045 de 2025 con la sociedad [Y] por valor de $[…], sin que para esa fecha se hubiera expedido el certificado de disponibilidad presupuestal, el cual solo fue expedido el 28 de marzo de 2025 con el n.º […] (fl. 45, cdno. 2; certificación de la tesorería, fl. 47).</w:t>
      </w:r>
      <w:r>
        <w:t xml:space="preserve">”</w:t>
      </w:r>
    </w:p>
    <w:bookmarkEnd w:id="21"/>
    <w:bookmarkStart w:id="22" w:name="X35d9db7866d9510f27e39526257a56cf8234299"/>
    <w:p>
      <w:pPr>
        <w:pStyle w:val="Heading2"/>
      </w:pPr>
      <w:r>
        <w:t xml:space="preserve">Control final de redacción (ambas plantillas)</w:t>
      </w:r>
    </w:p>
    <w:p>
      <w:pPr>
        <w:pStyle w:val="FirstParagraph"/>
      </w:pPr>
      <w:r>
        <w:t xml:space="preserve">Antes de entregar cualquier proyección, verifica: (i) que ningún enunciado mezcle hecho con calificación jurídica; (ii) que los enunciados sean autosuficientes (comprensibles sin remitirse a la queja); (iii) que la numeración y la cronología sean consistentes; (iv) en HDR, que exista correlación con la queja o informe; (v) en HJR, que exista cobertura por los HDR y respaldo probatorio identificado.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2026-10-07T16:00:56Z</dcterms:created>
  <dcterms:modified xsi:type="dcterms:W3CDTF">2026-10-07T16:00:56Z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