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lantilla-matriz-probatoria-y-motivación"/>
    <w:p>
      <w:pPr>
        <w:pStyle w:val="Heading1"/>
      </w:pPr>
      <w:r>
        <w:t xml:space="preserve">Plantilla: matriz probatoria y motivación</w:t>
      </w:r>
    </w:p>
    <w:bookmarkStart w:id="20" w:name="datos-del-caso"/>
    <w:p>
      <w:pPr>
        <w:pStyle w:val="Heading2"/>
      </w:pPr>
      <w:r>
        <w:t xml:space="preserve">1. Datos del caso</w:t>
      </w:r>
    </w:p>
    <w:p>
      <w:pPr>
        <w:numPr>
          <w:ilvl w:val="0"/>
          <w:numId w:val="1001"/>
        </w:numPr>
        <w:pStyle w:val="Compact"/>
      </w:pPr>
      <w:r>
        <w:t xml:space="preserve">Expediente / IUS / IUC:</w:t>
      </w:r>
    </w:p>
    <w:p>
      <w:pPr>
        <w:numPr>
          <w:ilvl w:val="0"/>
          <w:numId w:val="1001"/>
        </w:numPr>
        <w:pStyle w:val="Compact"/>
      </w:pPr>
      <w:r>
        <w:t xml:space="preserve">Disciplinable y calidad (servidor público, particular, empleado judicial, abogado):</w:t>
      </w:r>
    </w:p>
    <w:p>
      <w:pPr>
        <w:numPr>
          <w:ilvl w:val="0"/>
          <w:numId w:val="1001"/>
        </w:numPr>
        <w:pStyle w:val="Compact"/>
      </w:pPr>
      <w:r>
        <w:t xml:space="preserve">Fecha de los hechos y ley aplicable (734 / 1952; favorabilidad):</w:t>
      </w:r>
    </w:p>
    <w:p>
      <w:pPr>
        <w:numPr>
          <w:ilvl w:val="0"/>
          <w:numId w:val="1001"/>
        </w:numPr>
        <w:pStyle w:val="Compact"/>
      </w:pPr>
      <w:r>
        <w:t xml:space="preserve">Etapa y decisión que se motiva:</w:t>
      </w:r>
    </w:p>
    <w:p>
      <w:pPr>
        <w:numPr>
          <w:ilvl w:val="0"/>
          <w:numId w:val="1001"/>
        </w:numPr>
        <w:pStyle w:val="Compact"/>
      </w:pPr>
      <w:r>
        <w:t xml:space="preserve">HDR o HJR fijados (copiar los enunciados fácticos):</w:t>
      </w:r>
    </w:p>
    <w:bookmarkEnd w:id="20"/>
    <w:bookmarkStart w:id="21" w:name="matriz-hechopruebavalor"/>
    <w:p>
      <w:pPr>
        <w:pStyle w:val="Heading2"/>
      </w:pPr>
      <w:r>
        <w:t xml:space="preserve">2. Matriz hecho–prueba–valor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 que se pretende probar (enunciado fáctico)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de prueba y 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dice la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Legalidad (¿existe como prueba? arts. 21, 151, 154, 157, 158)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Valoración individual (credibilidad, coherencia, corroboración, autenticidad)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Estado: probado / no probado / controvertido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 y pruebas faltantes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Reglas de llenado:</w:t>
      </w:r>
      <w:r>
        <w:t xml:space="preserve"> </w:t>
      </w:r>
      <w:r>
        <w:t xml:space="preserve">- Un hecho por fila; sin mezclar hechos con calificaciones jurídicas.</w:t>
      </w:r>
      <w:r>
        <w:t xml:space="preserve"> </w:t>
      </w:r>
      <w:r>
        <w:t xml:space="preserve">- Si un hecho solo se apoya en indicios, anota el hecho indicador, que debe estar probado, y la inferencia.</w:t>
      </w:r>
      <w:r>
        <w:t xml:space="preserve"> </w:t>
      </w:r>
      <w:r>
        <w:t xml:space="preserve">- Si una prueba es trasladada, indica de qué actuación proviene, si se practicó con audiencia de la parte contra quien se aduce y si se sometió a contradicción.</w:t>
      </w:r>
      <w:r>
        <w:t xml:space="preserve"> </w:t>
      </w:r>
      <w:r>
        <w:t xml:space="preserve">- Si una prueba es dudosa por ilegalidad, anota si hay prueba independiente que sostenga el hecho.</w:t>
      </w:r>
    </w:p>
    <w:bookmarkEnd w:id="21"/>
    <w:bookmarkStart w:id="22" w:name="X5bef5480424c759b8853ac6a5646fec13056d76"/>
    <w:p>
      <w:pPr>
        <w:pStyle w:val="Heading2"/>
      </w:pPr>
      <w:r>
        <w:t xml:space="preserve">3. Pruebas excluidas, inexistentes o no valoradas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(art. 21 / 158 / 154 / no practicado)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 sobre los hechos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¿Otra prueba válida sostiene el hecho?</w:t>
            </w:r>
          </w:p>
        </w:tc>
      </w:tr>
    </w:tbl>
    <w:bookmarkEnd w:id="22"/>
    <w:bookmarkStart w:id="23" w:name="X8b05a7cee6b2ce3fab57a80beb4f5f4f9abe6d7"/>
    <w:p>
      <w:pPr>
        <w:pStyle w:val="Heading2"/>
      </w:pPr>
      <w:r>
        <w:t xml:space="preserve">4. Valoración conjunta (para pegar en el auto)</w:t>
      </w:r>
    </w:p>
    <w:p>
      <w:pPr>
        <w:pStyle w:val="FirstParagraph"/>
      </w:pPr>
      <w:r>
        <w:rPr>
          <w:bCs/>
          <w:b/>
        </w:rPr>
        <w:t xml:space="preserve">Hechos probados:</w:t>
      </w:r>
      <w:r>
        <w:t xml:space="preserve"> </w:t>
      </w:r>
      <w:r>
        <w:t xml:space="preserve">(cada uno con su fundamento probatorio).</w:t>
      </w:r>
      <w:r>
        <w:t xml:space="preserve"> </w:t>
      </w:r>
      <w:r>
        <w:rPr>
          <w:bCs/>
          <w:b/>
        </w:rPr>
        <w:t xml:space="preserve">Hechos no probados o dudosos:</w:t>
      </w:r>
      <w:r>
        <w:t xml:space="preserve"> </w:t>
      </w:r>
      <w:r>
        <w:t xml:space="preserve">(indica la duda y por qué no se pudo eliminar).</w:t>
      </w:r>
      <w:r>
        <w:t xml:space="preserve"> </w:t>
      </w:r>
      <w:r>
        <w:rPr>
          <w:bCs/>
          <w:b/>
        </w:rPr>
        <w:t xml:space="preserve">Inferencias:</w:t>
      </w:r>
      <w:r>
        <w:t xml:space="preserve"> </w:t>
      </w:r>
      <w:r>
        <w:t xml:space="preserve">(indica el hecho base probado y la regla de experiencia, lógica o ciencia).</w:t>
      </w:r>
      <w:r>
        <w:t xml:space="preserve"> </w:t>
      </w:r>
      <w:r>
        <w:rPr>
          <w:bCs/>
          <w:b/>
        </w:rPr>
        <w:t xml:space="preserve">Motivación:</w:t>
      </w:r>
      <w:r>
        <w:t xml:space="preserve"> </w:t>
      </w:r>
      <w:r>
        <w:t xml:space="preserve">«Las pruebas se apreciaron en conjunto conforme a las reglas de la sana crítica. [Por cada medio: por qué se le da o no se le da credibilidad.] [Confrontación entre pruebas favorables y desfavorables.]»</w:t>
      </w:r>
    </w:p>
    <w:bookmarkEnd w:id="23"/>
    <w:bookmarkStart w:id="24" w:name="estándar-de-la-etapa"/>
    <w:p>
      <w:pPr>
        <w:pStyle w:val="Heading2"/>
      </w:pPr>
      <w:r>
        <w:t xml:space="preserve">5. Estándar de la etapa</w:t>
      </w:r>
    </w:p>
    <w:p>
      <w:pPr>
        <w:numPr>
          <w:ilvl w:val="0"/>
          <w:numId w:val="1002"/>
        </w:numPr>
        <w:pStyle w:val="Compact"/>
      </w:pPr>
      <w:r>
        <w:t xml:space="preserve">Pliego: ¿falta objetivamente demostrada y prueba que comprometa la responsabilidad? (verificar artículo en el texto oficial).</w:t>
      </w:r>
    </w:p>
    <w:p>
      <w:pPr>
        <w:numPr>
          <w:ilvl w:val="0"/>
          <w:numId w:val="1002"/>
        </w:numPr>
        <w:pStyle w:val="Compact"/>
      </w:pPr>
      <w:r>
        <w:t xml:space="preserve">Fallo: ¿prueba que conduce a la certeza de la falta y de la responsabilidad (art. 160)? ¿Subsiste duda razonable (art. 14)?</w:t>
      </w:r>
    </w:p>
    <w:p>
      <w:pPr>
        <w:numPr>
          <w:ilvl w:val="0"/>
          <w:numId w:val="1002"/>
        </w:numPr>
        <w:pStyle w:val="Compact"/>
      </w:pPr>
      <w:r>
        <w:t xml:space="preserve">Archivo: ¿qué no está probado y por qué no hay más pruebas útiles?</w:t>
      </w:r>
    </w:p>
    <w:bookmarkEnd w:id="24"/>
    <w:bookmarkStart w:id="25" w:name="control-final"/>
    <w:p>
      <w:pPr>
        <w:pStyle w:val="Heading2"/>
      </w:pPr>
      <w:r>
        <w:t xml:space="preserve">6. Control final</w:t>
      </w:r>
    </w:p>
    <w:p>
      <w:pPr>
        <w:numPr>
          <w:ilvl w:val="0"/>
          <w:numId w:val="1003"/>
        </w:numPr>
        <w:pStyle w:val="Compact"/>
      </w:pPr>
      <w:r>
        <w:t xml:space="preserve">☐ Ningún hecho esencial descansa solo en indicios, en prueba excluida o en material que no es prueba.</w:t>
      </w:r>
    </w:p>
    <w:p>
      <w:pPr>
        <w:numPr>
          <w:ilvl w:val="0"/>
          <w:numId w:val="1003"/>
        </w:numPr>
        <w:pStyle w:val="Compact"/>
      </w:pPr>
      <w:r>
        <w:t xml:space="preserve">☐ Cada hecho probado tiene medio y folio.</w:t>
      </w:r>
    </w:p>
    <w:p>
      <w:pPr>
        <w:numPr>
          <w:ilvl w:val="0"/>
          <w:numId w:val="1003"/>
        </w:numPr>
        <w:pStyle w:val="Compact"/>
      </w:pPr>
      <w:r>
        <w:t xml:space="preserve">☐ Se investigó con igual rigor lo favorable y lo desfavorable (arts. 13 y 148).</w:t>
      </w:r>
    </w:p>
    <w:p>
      <w:pPr>
        <w:numPr>
          <w:ilvl w:val="0"/>
          <w:numId w:val="1003"/>
        </w:numPr>
        <w:pStyle w:val="Compact"/>
      </w:pPr>
      <w:r>
        <w:t xml:space="preserve">☐ La ley aplicable y los artículos citados están verificados.</w:t>
      </w:r>
    </w:p>
    <w:p>
      <w:pPr>
        <w:numPr>
          <w:ilvl w:val="0"/>
          <w:numId w:val="1003"/>
        </w:numPr>
        <w:pStyle w:val="Compact"/>
      </w:pPr>
      <w:r>
        <w:t xml:space="preserve">☐ Las providencias citadas están en «jurisprudencia_verificada».</w:t>
      </w:r>
    </w:p>
    <w:bookmarkEnd w:id="25"/>
    <w:bookmarkStart w:id="26" w:name="Xfdf56ea96cd655cc0b34fcb39cd1e0638800c53"/>
    <w:p>
      <w:pPr>
        <w:pStyle w:val="Heading2"/>
      </w:pPr>
      <w:r>
        <w:t xml:space="preserve">## 7. Verificaciones pendientes para el usuario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2026-10-07T16:00:56Z</dcterms:created>
  <dcterms:modified xsi:type="dcterms:W3CDTF">2026-10-07T16:00:56Z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