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a97bdc62ac8c45bb176418f14386b8d6bc66aa"/>
    <w:p>
      <w:pPr>
        <w:pStyle w:val="Heading1"/>
      </w:pPr>
      <w:r>
        <w:t xml:space="preserve">Servidores de elección popular: titularidad, sanción y revisión judicial (Protocolo 5)</w:t>
      </w:r>
    </w:p>
    <w:p>
      <w:pPr>
        <w:pStyle w:val="FirstParagraph"/>
      </w:pPr>
      <w:r>
        <w:t xml:space="preserve">Fuentes verificadas con el texto aportado por el usuario: Sentencia C-030 de 2023 (Corte Constitucional, Sala Plena, 16/feb/2023, Exp. D-14503) y auto de unificación de la Sala Plena de lo Contencioso Administrativo del Consejo de Estado (3/dic/2024, rad. 11001-03-15-000-2023-00871-00, M.P. Luis Alberto Álvarez Parra). Las aclaraciones y salvamentos de voto de ambas providencias NO fueron revisados. Verifica siempre si hay normativa o jurisprudencia posterior (en especial, el estatuto de servidores de elección popular exhortado por la Corte).</w:t>
      </w:r>
    </w:p>
    <w:bookmarkStart w:id="20" w:name="X39b5693c914ee2aaa9c85f050af95131def16bd"/>
    <w:p>
      <w:pPr>
        <w:pStyle w:val="Heading2"/>
      </w:pPr>
      <w:r>
        <w:t xml:space="preserve">1. Titularidad y naturaleza de la función (C-030 de 2023)</w:t>
      </w:r>
    </w:p>
    <w:p>
      <w:pPr>
        <w:pStyle w:val="FirstParagraph"/>
      </w:pPr>
      <w:r>
        <w:t xml:space="preserve">Parte resolutiva, en lo pertinente:</w:t>
      </w:r>
      <w:r>
        <w:t xml:space="preserve"> </w:t>
      </w:r>
      <w:r>
        <w:t xml:space="preserve">1. Inexequibles las expresiones «jurisdiccionales» y «jurisdiccional» de los arts. 1, 54, 73 y 74 de la Ley 2094 de 2021 (que modificaron los arts. 2, 238A y 265 CGD) y la expresión «ejecutoriadas» del art. 54 (art. 238A CGD).</w:t>
      </w:r>
      <w:r>
        <w:t xml:space="preserve"> </w:t>
      </w:r>
      <w:r>
        <w:t xml:space="preserve">2. Art. 1 de la Ley 2094 (art. 2 CGD): exequible condicionado — la determinación de las sanciones de destitución, suspensión e inhabilidad a servidores públicos de elección popular corresponde al juez contencioso administrativo, conforme al inciso cuarto del mismo artículo.</w:t>
      </w:r>
      <w:r>
        <w:t xml:space="preserve"> </w:t>
      </w:r>
      <w:r>
        <w:t xml:space="preserve">3. Arts. 13, 16 y 17 de la Ley 2094: exequibles condicionados — las funciones disciplinarias de la PGN son de naturaleza</w:t>
      </w:r>
      <w:r>
        <w:t xml:space="preserve"> </w:t>
      </w:r>
      <w:r>
        <w:rPr>
          <w:bCs/>
          <w:b/>
        </w:rPr>
        <w:t xml:space="preserve">administrativa y no jurisdiccional</w:t>
      </w:r>
      <w:r>
        <w:t xml:space="preserve">. (El Consejo de Estado relaciona los arts. 16 y 17 con la Sala Disciplinaria de Juzgamiento de Servidores Públicos de Elección Popular, en concordancia con el art. 11 del D.L. 1851 de 2021, que modificó el art. 22 del D.L. 262 de 2000.)</w:t>
      </w:r>
      <w:r>
        <w:t xml:space="preserve"> </w:t>
      </w:r>
      <w:r>
        <w:t xml:space="preserve">4. Art. 54 de la Ley 2094 (art. 238A): exequible condicionado — el recurso extraordinario de revisión opera solamente cuando se impongan destitución, suspensión e inhabilidad a servidores de elección popular, por ministerio de la ley, de manera automática e inmediata; el disciplinado puede ejercer las actividades de defensa propias de la nulidad y restablecimiento; las sanciones se suspenden en su ejecución durante el trámite judicial, que finaliza con sentencia que determina de manera definitiva la sanción.</w:t>
      </w:r>
      <w:r>
        <w:t xml:space="preserve"> </w:t>
      </w:r>
      <w:r>
        <w:t xml:space="preserve">5. Exhorto al Congreso: estatuto de los servidores de elección popular con régimen disciplinario especial.</w:t>
      </w:r>
    </w:p>
    <w:p>
      <w:pPr>
        <w:pStyle w:val="BodyText"/>
      </w:pPr>
      <w:r>
        <w:t xml:space="preserve">Consecuencias para la redacción:</w:t>
      </w:r>
      <w:r>
        <w:t xml:space="preserve"> </w:t>
      </w:r>
      <w:r>
        <w:t xml:space="preserve">- NO escribas que la PGN ejerce «funciones jurisdiccionales» ni «potestad jurisdiccional». Su función disciplinaria es administrativa; la acción</w:t>
      </w:r>
      <w:r>
        <w:t xml:space="preserve"> </w:t>
      </w:r>
      <w:r>
        <w:rPr>
          <w:bCs/>
          <w:b/>
        </w:rPr>
        <w:t xml:space="preserve">jurisdiccional</w:t>
      </w:r>
      <w:r>
        <w:t xml:space="preserve"> </w:t>
      </w:r>
      <w:r>
        <w:t xml:space="preserve">es la de la Comisión Nacional y las Comisiones Seccionales de Disciplina Judicial (art. 240 CGD, mod.).</w:t>
      </w:r>
      <w:r>
        <w:t xml:space="preserve"> </w:t>
      </w:r>
      <w:r>
        <w:t xml:space="preserve">- Titularidad: el Estado (art. 2); ejercen la acción la PGN, las comisiones de disciplina judicial, la Superintendencia de Notariado y Registro, las personerías, las oficinas de control disciplinario interno y los nominadores (art. 83). Competencia privativa de la PGN: servidores de elección popular y sus propios servidores, salvo fuero especial (art. 2). Las personerías no disciplinan al Alcalde ni a los Concejales (art. 83).</w:t>
      </w:r>
      <w:r>
        <w:t xml:space="preserve"> </w:t>
      </w:r>
      <w:r>
        <w:t xml:space="preserve">- Sanciones de destitución, suspensión e inhabilidad a servidores de elección popular en ejercicio de funciones: la decisión de la PGN no queda ejecutoriada ni es ejecutable hasta la sentencia del juez contencioso.</w:t>
      </w:r>
    </w:p>
    <w:bookmarkEnd w:id="20"/>
    <w:bookmarkStart w:id="21" w:name="Xe326e0e269855d12ec06eb2a4d18a93853abf7e"/>
    <w:p>
      <w:pPr>
        <w:pStyle w:val="Heading2"/>
      </w:pPr>
      <w:r>
        <w:t xml:space="preserve">2. Revisión judicial automática: reglas de unificación del Consejo de Estado</w:t>
      </w:r>
    </w:p>
    <w:p>
      <w:pPr>
        <w:numPr>
          <w:ilvl w:val="0"/>
          <w:numId w:val="1001"/>
        </w:numPr>
        <w:pStyle w:val="Compact"/>
      </w:pPr>
      <w:r>
        <w:rPr>
          <w:bCs/>
          <w:b/>
        </w:rPr>
        <w:t xml:space="preserve">Procedencia.</w:t>
      </w:r>
      <w:r>
        <w:t xml:space="preserve"> </w:t>
      </w:r>
      <w:r>
        <w:t xml:space="preserve">La revisión solo procede contra decisiones de segunda instancia o de doble conformidad de la PGN que impongan destitución, suspensión e inhabilidad a servidores de elección popular, siempre que el disciplinado esté en ejercicio de un cargo de elección popular al imponerse la sanción. También procede si la falta se cometió durante el mandato y la sanción se impone después, siempre que comporte inhabilidad para ocupar cargos o ejercer funciones públicas. No cobija multa ni amonestación. Una suspensión posterior al mandato sin inhabilidad (p. ej., conmutada por multa) queda fuera: la vía es la nulidad y restablecimiento (4 meses, art. 164 CPACA).</w:t>
      </w:r>
    </w:p>
    <w:p>
      <w:pPr>
        <w:numPr>
          <w:ilvl w:val="0"/>
          <w:numId w:val="1001"/>
        </w:numPr>
        <w:pStyle w:val="Compact"/>
      </w:pPr>
      <w:r>
        <w:rPr>
          <w:bCs/>
          <w:b/>
        </w:rPr>
        <w:t xml:space="preserve">Suspensión.</w:t>
      </w:r>
      <w:r>
        <w:t xml:space="preserve"> </w:t>
      </w:r>
      <w:r>
        <w:t xml:space="preserve">La ejecución queda suspendida hasta la ejecutoria de la sentencia que resuelve la revisión (art. 57 Ley 2094); puede prolongarse hasta resolver la doble conformidad.</w:t>
      </w:r>
    </w:p>
    <w:p>
      <w:pPr>
        <w:numPr>
          <w:ilvl w:val="0"/>
          <w:numId w:val="1001"/>
        </w:numPr>
        <w:pStyle w:val="Compact"/>
      </w:pPr>
      <w:r>
        <w:rPr>
          <w:bCs/>
          <w:b/>
        </w:rPr>
        <w:t xml:space="preserve">Intervención del sancionado.</w:t>
      </w:r>
      <w:r>
        <w:t xml:space="preserve"> </w:t>
      </w:r>
      <w:r>
        <w:t xml:space="preserve">Dentro de los 30 días siguientes a la notificación de la decisión sancionatoria puede formular cargos, argumentos, pruebas y contradicción, directamente o por apoderado. El trámite no está supeditado a las causales taxativas del art. 238C: caben vicios de validez y causales genéricas de nulidad (art. 137, inc. 2, CPACA).</w:t>
      </w:r>
    </w:p>
    <w:p>
      <w:pPr>
        <w:numPr>
          <w:ilvl w:val="0"/>
          <w:numId w:val="1001"/>
        </w:numPr>
        <w:pStyle w:val="Compact"/>
      </w:pPr>
      <w:r>
        <w:rPr>
          <w:bCs/>
          <w:b/>
        </w:rPr>
        <w:t xml:space="preserve">Auto que avoca.</w:t>
      </w:r>
      <w:r>
        <w:t xml:space="preserve"> </w:t>
      </w:r>
      <w:r>
        <w:t xml:space="preserve">Vencido el término, la PGN remite de oficio e inmediatamente el expediente administrativo; el magistrado avoca conocimiento (hasta 10 días, art. 59). No hay auto admisorio ni inadmisión. Se notifica a la PGN, que puede oponerse en 5 días.</w:t>
      </w:r>
    </w:p>
    <w:p>
      <w:pPr>
        <w:numPr>
          <w:ilvl w:val="0"/>
          <w:numId w:val="1001"/>
        </w:numPr>
        <w:pStyle w:val="Compact"/>
      </w:pPr>
      <w:r>
        <w:rPr>
          <w:bCs/>
          <w:b/>
        </w:rPr>
        <w:t xml:space="preserve">Pruebas y sentencia.</w:t>
      </w:r>
      <w:r>
        <w:t xml:space="preserve"> </w:t>
      </w:r>
      <w:r>
        <w:t xml:space="preserve">Pruebas hasta 20 días (documentales: traslado de 3 días, art. 110 CGP). La sentencia (art. 60) declara la legalidad o la invalidez; si invalida, dicta la decisión que corresponda y resuelve sobre perjuicios.</w:t>
      </w:r>
    </w:p>
    <w:p>
      <w:pPr>
        <w:numPr>
          <w:ilvl w:val="0"/>
          <w:numId w:val="1001"/>
        </w:numPr>
        <w:pStyle w:val="Compact"/>
      </w:pPr>
      <w:r>
        <w:rPr>
          <w:bCs/>
          <w:b/>
        </w:rPr>
        <w:t xml:space="preserve">Doble conformidad.</w:t>
      </w:r>
      <w:r>
        <w:t xml:space="preserve"> </w:t>
      </w:r>
      <w:r>
        <w:t xml:space="preserve">Si la sentencia confirma la sanción procede la doble conformidad, con el trámite del art. 247 CPACA (10 días); si invalida, no hay doble conformidad.</w:t>
      </w:r>
    </w:p>
    <w:p>
      <w:pPr>
        <w:numPr>
          <w:ilvl w:val="0"/>
          <w:numId w:val="1001"/>
        </w:numPr>
        <w:pStyle w:val="Compact"/>
      </w:pPr>
      <w:r>
        <w:rPr>
          <w:bCs/>
          <w:b/>
        </w:rPr>
        <w:t xml:space="preserve">Competencia.</w:t>
      </w:r>
      <w:r>
        <w:t xml:space="preserve"> </w:t>
      </w:r>
      <w:r>
        <w:t xml:space="preserve">El Consejo de Estado, Salas Especiales de Decisión, es la única autoridad competente (los arts. 20 y 22 del D.L. 1851 de 2021 excluyen a los servidores de elección popular de la competencia de los tribunales administrativos del art. 55 Ley 2094). La doble conformidad la resuelve la Sala Especial siguiente en orden numérico (se excluye al magistrado repetido en las Salas 1, 15, 17, 19, 21 y 23).</w:t>
      </w:r>
    </w:p>
    <w:p>
      <w:pPr>
        <w:numPr>
          <w:ilvl w:val="0"/>
          <w:numId w:val="1001"/>
        </w:numPr>
        <w:pStyle w:val="Compact"/>
      </w:pPr>
      <w:r>
        <w:rPr>
          <w:bCs/>
          <w:b/>
        </w:rPr>
        <w:t xml:space="preserve">Control integral</w:t>
      </w:r>
      <w:r>
        <w:t xml:space="preserve"> </w:t>
      </w:r>
      <w:r>
        <w:t xml:space="preserve">de constitucionalidad, convencionalidad y legalidad; puede variar la calificación de la falta y la sanción sin vulnerar la no reformatio in pejus.</w:t>
      </w:r>
    </w:p>
    <w:p>
      <w:pPr>
        <w:pStyle w:val="FirstParagraph"/>
      </w:pPr>
      <w:r>
        <w:t xml:space="preserve">Vigencia: las reglas son temporales hasta que el Congreso expida el estatuto exhortado; vinculan desde la ejecutoria del auto de unificación y no afectan decisiones anteriores; los trámites con auto admisorio o auto que avoca se adecúan.</w:t>
      </w:r>
    </w:p>
    <w:bookmarkEnd w:id="21"/>
    <w:bookmarkStart w:id="22" w:name="X74d3f9e021368cdc4c747264c969ddb5f0e8746"/>
    <w:p>
      <w:pPr>
        <w:pStyle w:val="Heading2"/>
      </w:pPr>
      <w:r>
        <w:t xml:space="preserve">3. Pendientes de verificar (no resueltos en las fuentes)</w:t>
      </w:r>
    </w:p>
    <w:p>
      <w:pPr>
        <w:numPr>
          <w:ilvl w:val="0"/>
          <w:numId w:val="1002"/>
        </w:numPr>
        <w:pStyle w:val="Compact"/>
      </w:pPr>
      <w:r>
        <w:t xml:space="preserve">El art. 236, par. CGD (certificación judicial sobre la «interposición» del recurso) no fue analizado por el auto.</w:t>
      </w:r>
    </w:p>
    <w:p>
      <w:pPr>
        <w:numPr>
          <w:ilvl w:val="0"/>
          <w:numId w:val="1002"/>
        </w:numPr>
        <w:pStyle w:val="Compact"/>
      </w:pPr>
      <w:r>
        <w:t xml:space="preserve">La revisión contra fallos absolutorios y archivos por DDHH/DIH y contra la doble conformidad del Procurador General: la regla 1 del auto («solo procede») parece excluirla, pero no la analiza expresamente.</w:t>
      </w:r>
    </w:p>
    <w:p>
      <w:pPr>
        <w:numPr>
          <w:ilvl w:val="0"/>
          <w:numId w:val="1002"/>
        </w:numPr>
        <w:pStyle w:val="Compact"/>
      </w:pPr>
      <w:r>
        <w:t xml:space="preserve">Existencia de normativa o jurisprudencia posterior al 3/dic/2024.</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2026-10-07T16:00:55Z</dcterms:created>
  <dcterms:modified xsi:type="dcterms:W3CDTF">2026-10-07T16:00:55Z</dcterms:modified>
</cp:coreProperties>
</file>

<file path=docProps/custom.xml><?xml version="1.0" encoding="utf-8"?>
<Properties xmlns="http://schemas.openxmlformats.org/officeDocument/2006/custom-properties" xmlns:vt="http://schemas.openxmlformats.org/officeDocument/2006/docPropsVTypes"/>
</file>