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008fa42e0a2e6a8c395bd890b4f137b2b14853e"/>
    <w:p>
      <w:pPr>
        <w:pStyle w:val="Heading1"/>
      </w:pPr>
      <w:r>
        <w:t xml:space="preserve">Formato institucional para autos disciplinarios (.docx) — Procuraduría Regional de Instrucción de Casanare</w:t>
      </w:r>
    </w:p>
    <w:p>
      <w:pPr>
        <w:pStyle w:val="BlockText"/>
      </w:pPr>
      <w:r>
        <w:rPr>
          <w:bCs/>
          <w:b/>
        </w:rPr>
        <w:t xml:space="preserve">Nota:</w:t>
      </w:r>
      <w:r>
        <w:t xml:space="preserve"> </w:t>
      </w:r>
      <w:r>
        <w:t xml:space="preserve">este archivo describe el formato original del auto en</w:t>
      </w:r>
      <w:r>
        <w:t xml:space="preserve"> </w:t>
      </w:r>
      <w:r>
        <w:rPr>
          <w:rStyle w:val="VerbatimChar"/>
        </w:rPr>
        <w:t xml:space="preserve">.docx</w:t>
      </w:r>
      <w:r>
        <w:t xml:space="preserve">. En este agente no se generan archivos ni se usan scripts, imágenes ni la habilidad</w:t>
      </w:r>
      <w:r>
        <w:t xml:space="preserve"> </w:t>
      </w:r>
      <w:r>
        <w:rPr>
          <w:rStyle w:val="VerbatimChar"/>
        </w:rPr>
        <w:t xml:space="preserve">docx</w:t>
      </w:r>
      <w:r>
        <w:t xml:space="preserve">: aplica la estructura (tabla de radicado, numeración multinivel, notas al pie, parte resolutiva, bloque de firma) como texto para pegar en Word e ignora lo relativo a</w:t>
      </w:r>
      <w:r>
        <w:t xml:space="preserve"> </w:t>
      </w:r>
      <w:r>
        <w:rPr>
          <w:rStyle w:val="VerbatimChar"/>
        </w:rPr>
        <w:t xml:space="preserve">docx-js</w:t>
      </w:r>
      <w:r>
        <w:t xml:space="preserve">,</w:t>
      </w:r>
      <w:r>
        <w:t xml:space="preserve"> </w:t>
      </w:r>
      <w:r>
        <w:rPr>
          <w:rStyle w:val="VerbatimChar"/>
        </w:rPr>
        <w:t xml:space="preserve">ImageRun</w:t>
      </w:r>
      <w:r>
        <w:t xml:space="preserve">,</w:t>
      </w:r>
      <w:r>
        <w:t xml:space="preserve"> </w:t>
      </w:r>
      <w:r>
        <w:rPr>
          <w:rStyle w:val="VerbatimChar"/>
        </w:rPr>
        <w:t xml:space="preserve">assets/</w:t>
      </w:r>
      <w:r>
        <w:t xml:space="preserve">,</w:t>
      </w:r>
      <w:r>
        <w:t xml:space="preserve"> </w:t>
      </w:r>
      <w:r>
        <w:rPr>
          <w:rStyle w:val="VerbatimChar"/>
        </w:rPr>
        <w:t xml:space="preserve">scripts/</w:t>
      </w:r>
      <w:r>
        <w:t xml:space="preserve"> </w:t>
      </w:r>
      <w:r>
        <w:t xml:space="preserve">y renderizado.</w:t>
      </w:r>
    </w:p>
    <w:p>
      <w:pPr>
        <w:pStyle w:val="FirstParagraph"/>
      </w:pPr>
      <w:r>
        <w:t xml:space="preserve">Este formato se extrajo de un auto real de la dependencia (radicado IUS-E-2025-050718 – IUC-D-2025-3930913,</w:t>
      </w:r>
      <w:r>
        <w:t xml:space="preserve"> </w:t>
      </w:r>
      <w:r>
        <w:t xml:space="preserve">“</w:t>
      </w:r>
      <w:r>
        <w:t xml:space="preserve">AUTO DE TERMINACIÓN PROCEDIMIENTO DISCIPLINARIO ART. 90 C.G.D.</w:t>
      </w:r>
      <w:r>
        <w:t xml:space="preserve">”</w:t>
      </w:r>
      <w:r>
        <w:t xml:space="preserve">, suscrito por la Procuradora Regional de Instrucción de Casanare) aportado por el usuario el 19 de agosto de 2026 como modelo institucional.</w:t>
      </w:r>
      <w:r>
        <w:t xml:space="preserve"> </w:t>
      </w:r>
      <w:r>
        <w:rPr>
          <w:bCs/>
          <w:b/>
        </w:rPr>
        <w:t xml:space="preserve">Úsalo como plantilla obligatoria</w:t>
      </w:r>
      <w:r>
        <w:t xml:space="preserve"> </w:t>
      </w:r>
      <w:r>
        <w:t xml:space="preserve">cada vez que se proyecte, como archivo</w:t>
      </w:r>
      <w:r>
        <w:t xml:space="preserve"> </w:t>
      </w:r>
      <w:r>
        <w:rPr>
          <w:rStyle w:val="VerbatimChar"/>
        </w:rPr>
        <w:t xml:space="preserve">.docx</w:t>
      </w:r>
      <w:r>
        <w:t xml:space="preserve">, un auto disciplinario de esta dependencia (archivo definitivo, terminación del procedimiento, pliego de cargos, apertura, prórroga, etc.), salvo que el usuario indique expresamente otro formato.</w:t>
      </w:r>
    </w:p>
    <w:p>
      <w:pPr>
        <w:pStyle w:val="BodyText"/>
      </w:pPr>
      <w:r>
        <w:t xml:space="preserve">Para la mecánica de generación en sí (docx-js, verificación por renderizado, gotchas de la librería</w:t>
      </w:r>
      <w:r>
        <w:t xml:space="preserve"> </w:t>
      </w:r>
      <w:r>
        <w:rPr>
          <w:rStyle w:val="VerbatimChar"/>
        </w:rPr>
        <w:t xml:space="preserve">docx</w:t>
      </w:r>
      <w:r>
        <w:t xml:space="preserve">), sigue siempre la skill</w:t>
      </w:r>
      <w:r>
        <w:t xml:space="preserve"> </w:t>
      </w:r>
      <w:r>
        <w:rPr>
          <w:rStyle w:val="VerbatimChar"/>
        </w:rPr>
        <w:t xml:space="preserve">docx</w:t>
      </w:r>
      <w:r>
        <w:t xml:space="preserve">. Este archivo documenta únicamente el</w:t>
      </w:r>
      <w:r>
        <w:t xml:space="preserve"> </w:t>
      </w:r>
      <w:r>
        <w:rPr>
          <w:bCs/>
          <w:b/>
        </w:rPr>
        <w:t xml:space="preserve">formato propio de la PGN — Regional Casanare</w:t>
      </w:r>
      <w:r>
        <w:t xml:space="preserve"> </w:t>
      </w:r>
      <w:r>
        <w:t xml:space="preserve">que debe reproducirse dentro de esa mecánica. El script</w:t>
      </w:r>
      <w:r>
        <w:t xml:space="preserve"> </w:t>
      </w:r>
      <w:r>
        <w:rPr>
          <w:rStyle w:val="VerbatimChar"/>
        </w:rPr>
        <w:t xml:space="preserve">scripts/plantilla_auto.js</w:t>
      </w:r>
      <w:r>
        <w:t xml:space="preserve"> </w:t>
      </w:r>
      <w:r>
        <w:t xml:space="preserve">(en este mismo skill) implementa ya todos los helpers descritos aquí — pártelo como base en vez de reconstruirlo desde cero.</w:t>
      </w:r>
    </w:p>
    <w:bookmarkStart w:id="20" w:name="página-y-márgenes"/>
    <w:p>
      <w:pPr>
        <w:pStyle w:val="Heading2"/>
      </w:pPr>
      <w:r>
        <w:t xml:space="preserve">1. Página y márgenes</w:t>
      </w:r>
    </w:p>
    <w:p>
      <w:pPr>
        <w:pStyle w:val="FirstParagraph"/>
      </w:pPr>
      <w:r>
        <w:t xml:space="preserve">Tamaño</w:t>
      </w:r>
      <w:r>
        <w:t xml:space="preserve"> </w:t>
      </w:r>
      <w:r>
        <w:rPr>
          <w:bCs/>
          <w:b/>
        </w:rPr>
        <w:t xml:space="preserve">Oficio</w:t>
      </w:r>
      <w:r>
        <w:t xml:space="preserve"> </w:t>
      </w:r>
      <w:r>
        <w:t xml:space="preserve">(carta larga), no A4 ni Carta estándar:</w:t>
      </w:r>
    </w:p>
    <w:p>
      <w:pPr>
        <w:pStyle w:val="SourceCode"/>
      </w:pPr>
      <w:r>
        <w:rPr>
          <w:rStyle w:val="NormalTok"/>
        </w:rPr>
        <w:t xml:space="preserve">page</w:t>
      </w:r>
      <w:r>
        <w:rPr>
          <w:rStyle w:val="OperatorTok"/>
        </w:rPr>
        <w:t xml:space="preserve">:</w:t>
      </w:r>
      <w:r>
        <w:rPr>
          <w:rStyle w:val="NormalTok"/>
        </w:rPr>
        <w:t xml:space="preserve"> {</w:t>
      </w:r>
      <w:r>
        <w:br/>
      </w:r>
      <w:r>
        <w:rPr>
          <w:rStyle w:val="NormalTok"/>
        </w:rPr>
        <w:t xml:space="preserve">  </w:t>
      </w:r>
      <w:r>
        <w:rPr>
          <w:rStyle w:val="DataTypeTok"/>
        </w:rPr>
        <w:t xml:space="preserve">size</w:t>
      </w:r>
      <w:r>
        <w:rPr>
          <w:rStyle w:val="OperatorTok"/>
        </w:rPr>
        <w:t xml:space="preserve">:</w:t>
      </w:r>
      <w:r>
        <w:rPr>
          <w:rStyle w:val="NormalTok"/>
        </w:rPr>
        <w:t xml:space="preserve"> { </w:t>
      </w:r>
      <w:r>
        <w:rPr>
          <w:rStyle w:val="DataTypeTok"/>
        </w:rPr>
        <w:t xml:space="preserve">width</w:t>
      </w:r>
      <w:r>
        <w:rPr>
          <w:rStyle w:val="OperatorTok"/>
        </w:rPr>
        <w:t xml:space="preserve">:</w:t>
      </w:r>
      <w:r>
        <w:rPr>
          <w:rStyle w:val="NormalTok"/>
        </w:rPr>
        <w:t xml:space="preserve"> </w:t>
      </w:r>
      <w:r>
        <w:rPr>
          <w:rStyle w:val="DecValTok"/>
        </w:rPr>
        <w:t xml:space="preserve">12240</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18720</w:t>
      </w:r>
      <w:r>
        <w:rPr>
          <w:rStyle w:val="NormalTok"/>
        </w:rPr>
        <w:t xml:space="preserve"> }</w:t>
      </w:r>
      <w:r>
        <w:rPr>
          <w:rStyle w:val="OperatorTok"/>
        </w:rPr>
        <w:t xml:space="preserve">,</w:t>
      </w:r>
      <w:r>
        <w:rPr>
          <w:rStyle w:val="NormalTok"/>
        </w:rPr>
        <w:t xml:space="preserve"> </w:t>
      </w:r>
      <w:r>
        <w:rPr>
          <w:rStyle w:val="CommentTok"/>
        </w:rPr>
        <w:t xml:space="preserve">// twips (dxa): 8.5in x 13in</w:t>
      </w:r>
      <w:r>
        <w:br/>
      </w:r>
      <w:r>
        <w:rPr>
          <w:rStyle w:val="NormalTok"/>
        </w:rPr>
        <w:t xml:space="preserve">  </w:t>
      </w:r>
      <w:r>
        <w:rPr>
          <w:rStyle w:val="DataTypeTok"/>
        </w:rPr>
        <w:t xml:space="preserve">margin</w:t>
      </w:r>
      <w:r>
        <w:rPr>
          <w:rStyle w:val="OperatorTok"/>
        </w:rPr>
        <w:t xml:space="preserve">:</w:t>
      </w:r>
      <w:r>
        <w:rPr>
          <w:rStyle w:val="NormalTok"/>
        </w:rPr>
        <w:t xml:space="preserve"> { </w:t>
      </w:r>
      <w:r>
        <w:rPr>
          <w:rStyle w:val="DataTypeTok"/>
        </w:rPr>
        <w:t xml:space="preserve">top</w:t>
      </w:r>
      <w:r>
        <w:rPr>
          <w:rStyle w:val="OperatorTok"/>
        </w:rPr>
        <w:t xml:space="preserve">:</w:t>
      </w:r>
      <w:r>
        <w:rPr>
          <w:rStyle w:val="NormalTok"/>
        </w:rPr>
        <w:t xml:space="preserve"> </w:t>
      </w:r>
      <w:r>
        <w:rPr>
          <w:rStyle w:val="DecValTok"/>
        </w:rPr>
        <w:t xml:space="preserve">1560</w:t>
      </w:r>
      <w:r>
        <w:rPr>
          <w:rStyle w:val="OperatorTok"/>
        </w:rPr>
        <w:t xml:space="preserve">,</w:t>
      </w:r>
      <w:r>
        <w:rPr>
          <w:rStyle w:val="NormalTok"/>
        </w:rPr>
        <w:t xml:space="preserve"> </w:t>
      </w:r>
      <w:r>
        <w:rPr>
          <w:rStyle w:val="DataTypeTok"/>
        </w:rPr>
        <w:t xml:space="preserve">bottom</w:t>
      </w:r>
      <w:r>
        <w:rPr>
          <w:rStyle w:val="OperatorTok"/>
        </w:rPr>
        <w:t xml:space="preserve">:</w:t>
      </w:r>
      <w:r>
        <w:rPr>
          <w:rStyle w:val="NormalTok"/>
        </w:rPr>
        <w:t xml:space="preserve"> </w:t>
      </w:r>
      <w:r>
        <w:rPr>
          <w:rStyle w:val="DecValTok"/>
        </w:rPr>
        <w:t xml:space="preserve">1418</w:t>
      </w:r>
      <w:r>
        <w:rPr>
          <w:rStyle w:val="OperatorTok"/>
        </w:rPr>
        <w:t xml:space="preserve">,</w:t>
      </w:r>
      <w:r>
        <w:rPr>
          <w:rStyle w:val="NormalTok"/>
        </w:rPr>
        <w:t xml:space="preserve"> </w:t>
      </w:r>
      <w:r>
        <w:rPr>
          <w:rStyle w:val="DataTypeTok"/>
        </w:rPr>
        <w:t xml:space="preserve">left</w:t>
      </w:r>
      <w:r>
        <w:rPr>
          <w:rStyle w:val="OperatorTok"/>
        </w:rPr>
        <w:t xml:space="preserve">:</w:t>
      </w:r>
      <w:r>
        <w:rPr>
          <w:rStyle w:val="NormalTok"/>
        </w:rPr>
        <w:t xml:space="preserve"> </w:t>
      </w:r>
      <w:r>
        <w:rPr>
          <w:rStyle w:val="DecValTok"/>
        </w:rPr>
        <w:t xml:space="preserve">1701</w:t>
      </w:r>
      <w:r>
        <w:rPr>
          <w:rStyle w:val="OperatorTok"/>
        </w:rPr>
        <w:t xml:space="preserve">,</w:t>
      </w:r>
      <w:r>
        <w:rPr>
          <w:rStyle w:val="NormalTok"/>
        </w:rPr>
        <w:t xml:space="preserve"> </w:t>
      </w:r>
      <w:r>
        <w:rPr>
          <w:rStyle w:val="DataTypeTok"/>
        </w:rPr>
        <w:t xml:space="preserve">right</w:t>
      </w:r>
      <w:r>
        <w:rPr>
          <w:rStyle w:val="OperatorTok"/>
        </w:rPr>
        <w:t xml:space="preserve">:</w:t>
      </w:r>
      <w:r>
        <w:rPr>
          <w:rStyle w:val="NormalTok"/>
        </w:rPr>
        <w:t xml:space="preserve"> </w:t>
      </w:r>
      <w:r>
        <w:rPr>
          <w:rStyle w:val="DecValTok"/>
        </w:rPr>
        <w:t xml:space="preserve">1750</w:t>
      </w:r>
      <w:r>
        <w:rPr>
          <w:rStyle w:val="OperatorTok"/>
        </w:rPr>
        <w:t xml:space="preserve">,</w:t>
      </w:r>
      <w:r>
        <w:rPr>
          <w:rStyle w:val="NormalTok"/>
        </w:rPr>
        <w:t xml:space="preserve"> </w:t>
      </w:r>
      <w:r>
        <w:rPr>
          <w:rStyle w:val="DataTypeTok"/>
        </w:rPr>
        <w:t xml:space="preserve">header</w:t>
      </w:r>
      <w:r>
        <w:rPr>
          <w:rStyle w:val="OperatorTok"/>
        </w:rPr>
        <w:t xml:space="preserve">:</w:t>
      </w:r>
      <w:r>
        <w:rPr>
          <w:rStyle w:val="NormalTok"/>
        </w:rPr>
        <w:t xml:space="preserve"> </w:t>
      </w:r>
      <w:r>
        <w:rPr>
          <w:rStyle w:val="DecValTok"/>
        </w:rPr>
        <w:t xml:space="preserve">284</w:t>
      </w:r>
      <w:r>
        <w:rPr>
          <w:rStyle w:val="OperatorTok"/>
        </w:rPr>
        <w:t xml:space="preserve">,</w:t>
      </w:r>
      <w:r>
        <w:rPr>
          <w:rStyle w:val="NormalTok"/>
        </w:rPr>
        <w:t xml:space="preserve"> </w:t>
      </w:r>
      <w:r>
        <w:rPr>
          <w:rStyle w:val="DataTypeTok"/>
        </w:rPr>
        <w:t xml:space="preserve">footer</w:t>
      </w:r>
      <w:r>
        <w:rPr>
          <w:rStyle w:val="OperatorTok"/>
        </w:rPr>
        <w:t xml:space="preserve">:</w:t>
      </w:r>
      <w:r>
        <w:rPr>
          <w:rStyle w:val="NormalTok"/>
        </w:rPr>
        <w:t xml:space="preserve"> </w:t>
      </w:r>
      <w:r>
        <w:rPr>
          <w:rStyle w:val="DecValTok"/>
        </w:rPr>
        <w:t xml:space="preserve">313</w:t>
      </w:r>
      <w:r>
        <w:rPr>
          <w:rStyle w:val="NormalTok"/>
        </w:rPr>
        <w:t xml:space="preserve"> }</w:t>
      </w:r>
      <w:r>
        <w:rPr>
          <w:rStyle w:val="OperatorTok"/>
        </w:rPr>
        <w:t xml:space="preserve">,</w:t>
      </w:r>
      <w:r>
        <w:br/>
      </w:r>
      <w:r>
        <w:rPr>
          <w:rStyle w:val="NormalTok"/>
        </w:rPr>
        <w:t xml:space="preserve">}</w:t>
      </w:r>
    </w:p>
    <w:bookmarkEnd w:id="20"/>
    <w:bookmarkStart w:id="21" w:name="encabezado-header-todas-las-páginas"/>
    <w:p>
      <w:pPr>
        <w:pStyle w:val="Heading2"/>
      </w:pPr>
      <w:r>
        <w:t xml:space="preserve">2. Encabezado (header, todas las páginas)</w:t>
      </w:r>
    </w:p>
    <w:p>
      <w:pPr>
        <w:pStyle w:val="FirstParagraph"/>
      </w:pPr>
      <w:r>
        <w:t xml:space="preserve">Tabla de 2 columnas sin bordes: celda izquierda con el logotipo institucional (</w:t>
      </w:r>
      <w:r>
        <w:rPr>
          <w:rStyle w:val="VerbatimChar"/>
        </w:rPr>
        <w:t xml:space="preserve">assets/logo_pgn.jpeg</w:t>
      </w:r>
      <w:r>
        <w:t xml:space="preserve"> </w:t>
      </w:r>
      <w:r>
        <w:t xml:space="preserve">en este skill), celda derecha con el número de radicado en dos líneas, alineado a la derecha, fuente 7pt (</w:t>
      </w:r>
      <w:r>
        <w:rPr>
          <w:rStyle w:val="VerbatimChar"/>
        </w:rPr>
        <w:t xml:space="preserve">size: 14</w:t>
      </w:r>
      <w:r>
        <w:t xml:space="preserve"> </w:t>
      </w:r>
      <w:r>
        <w:t xml:space="preserve">en medios-punto).</w:t>
      </w:r>
    </w:p>
    <w:p>
      <w:pPr>
        <w:pStyle w:val="SourceCode"/>
      </w:pPr>
      <w:r>
        <w:rPr>
          <w:rStyle w:val="KeywordTok"/>
        </w:rPr>
        <w:t xml:space="preserve">new</w:t>
      </w:r>
      <w:r>
        <w:rPr>
          <w:rStyle w:val="NormalTok"/>
        </w:rPr>
        <w:t xml:space="preserve"> </w:t>
      </w:r>
      <w:r>
        <w:rPr>
          <w:rStyle w:val="FunctionTok"/>
        </w:rPr>
        <w:t xml:space="preserve">ImageRun</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"jpg"</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logo</w:t>
      </w:r>
      <w:r>
        <w:rPr>
          <w:rStyle w:val="OperatorTok"/>
        </w:rPr>
        <w:t xml:space="preserve">,</w:t>
      </w:r>
      <w:r>
        <w:rPr>
          <w:rStyle w:val="NormalTok"/>
        </w:rPr>
        <w:t xml:space="preserve"> </w:t>
      </w:r>
      <w:r>
        <w:rPr>
          <w:rStyle w:val="DataTypeTok"/>
        </w:rPr>
        <w:t xml:space="preserve">transformation</w:t>
      </w:r>
      <w:r>
        <w:rPr>
          <w:rStyle w:val="OperatorTok"/>
        </w:rPr>
        <w:t xml:space="preserve">:</w:t>
      </w:r>
      <w:r>
        <w:rPr>
          <w:rStyle w:val="NormalTok"/>
        </w:rPr>
        <w:t xml:space="preserve"> { </w:t>
      </w:r>
      <w:r>
        <w:rPr>
          <w:rStyle w:val="DataTypeTok"/>
        </w:rPr>
        <w:t xml:space="preserve">width</w:t>
      </w:r>
      <w:r>
        <w:rPr>
          <w:rStyle w:val="OperatorTok"/>
        </w:rPr>
        <w:t xml:space="preserve">:</w:t>
      </w:r>
      <w:r>
        <w:rPr>
          <w:rStyle w:val="NormalTok"/>
        </w:rPr>
        <w:t xml:space="preserve"> </w:t>
      </w:r>
      <w:r>
        <w:rPr>
          <w:rStyle w:val="DecValTok"/>
        </w:rPr>
        <w:t xml:space="preserve">214</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60</w:t>
      </w:r>
      <w:r>
        <w:rPr>
          <w:rStyle w:val="NormalTok"/>
        </w:rPr>
        <w:t xml:space="preserve"> } })</w:t>
      </w:r>
    </w:p>
    <w:bookmarkEnd w:id="21"/>
    <w:bookmarkStart w:id="22" w:name="pie-de-página-footer-todas-las-páginas"/>
    <w:p>
      <w:pPr>
        <w:pStyle w:val="Heading2"/>
      </w:pPr>
      <w:r>
        <w:t xml:space="preserve">3. Pie de página (footer, todas las páginas)</w:t>
      </w:r>
    </w:p>
    <w:p>
      <w:pPr>
        <w:pStyle w:val="FirstParagraph"/>
      </w:pPr>
      <w:r>
        <w:t xml:space="preserve">Cinco párrafos centrados (el primero alineado a la derecha):</w:t>
      </w:r>
    </w:p>
    <w:p>
      <w:pPr>
        <w:numPr>
          <w:ilvl w:val="0"/>
          <w:numId w:val="1001"/>
        </w:numPr>
        <w:pStyle w:val="Compact"/>
      </w:pPr>
      <w:r>
        <w:rPr>
          <w:rStyle w:val="VerbatimChar"/>
        </w:rPr>
        <w:t xml:space="preserve">Página {CURRENT} de {TOTAL_PAGES}</w:t>
      </w:r>
      <w:r>
        <w:t xml:space="preserve"> </w:t>
      </w:r>
      <w:r>
        <w:t xml:space="preserve">— alineado a la derecha, con los números en negrita.</w:t>
      </w:r>
    </w:p>
    <w:p>
      <w:pPr>
        <w:numPr>
          <w:ilvl w:val="0"/>
          <w:numId w:val="1001"/>
        </w:numPr>
        <w:pStyle w:val="Compact"/>
      </w:pPr>
      <w:r>
        <w:t xml:space="preserve">Nombre de la dependencia en mayúsculas, negrita, centrado (p. ej.</w:t>
      </w:r>
      <w:r>
        <w:t xml:space="preserve"> </w:t>
      </w:r>
      <w:r>
        <w:rPr>
          <w:rStyle w:val="VerbatimChar"/>
        </w:rPr>
        <w:t xml:space="preserve">PROCURADURÍA REGIONAL DE INSTRUCCIÓN DE CASANARE</w:t>
      </w:r>
      <w:r>
        <w:t xml:space="preserve">).</w:t>
      </w:r>
      <w:r>
        <w:t xml:space="preserve"> </w:t>
      </w:r>
      <w:r>
        <w:rPr>
          <w:bCs/>
          <w:b/>
        </w:rPr>
        <w:t xml:space="preserve">Ajustar si el auto se proyecta para otra dependencia.</w:t>
      </w:r>
    </w:p>
    <w:p>
      <w:pPr>
        <w:numPr>
          <w:ilvl w:val="0"/>
          <w:numId w:val="1001"/>
        </w:numPr>
        <w:pStyle w:val="Compact"/>
      </w:pPr>
      <w:r>
        <w:t xml:space="preserve">Dirección y PBX, centrado (p. ej.</w:t>
      </w:r>
      <w:r>
        <w:t xml:space="preserve"> </w:t>
      </w:r>
      <w:r>
        <w:rPr>
          <w:rStyle w:val="VerbatimChar"/>
        </w:rPr>
        <w:t xml:space="preserve">Calle 7 N.° 22 – 85 Yopal, Casanare | PBX (601) 5878750 Ext.: 80101, 80112</w:t>
      </w:r>
      <w:r>
        <w:t xml:space="preserve">).</w:t>
      </w:r>
    </w:p>
    <w:p>
      <w:pPr>
        <w:numPr>
          <w:ilvl w:val="0"/>
          <w:numId w:val="1001"/>
        </w:numPr>
        <w:pStyle w:val="Compact"/>
      </w:pPr>
      <w:r>
        <w:t xml:space="preserve">Correo y sitio web, centrado.</w:t>
      </w:r>
    </w:p>
    <w:p>
      <w:pPr>
        <w:numPr>
          <w:ilvl w:val="0"/>
          <w:numId w:val="1001"/>
        </w:numPr>
        <w:pStyle w:val="Compact"/>
      </w:pPr>
      <w:r>
        <w:t xml:space="preserve">Línea diminuta de control documental:</w:t>
      </w:r>
      <w:r>
        <w:t xml:space="preserve"> </w:t>
      </w:r>
      <w:r>
        <w:rPr>
          <w:rStyle w:val="VerbatimChar"/>
        </w:rPr>
        <w:t xml:space="preserve">Proceso: Documental | Código: DO-F-23 | Versión: 3 | Fecha: 24/10/2025</w:t>
      </w:r>
      <w:r>
        <w:t xml:space="preserve"> </w:t>
      </w:r>
      <w:r>
        <w:t xml:space="preserve">(código de la dependencia; verificar si cambia).</w:t>
      </w:r>
    </w:p>
    <w:bookmarkEnd w:id="22"/>
    <w:bookmarkStart w:id="23" w:name="X37d3c23a46d2cfcafa649a8951729720b2614ef"/>
    <w:p>
      <w:pPr>
        <w:pStyle w:val="Heading2"/>
      </w:pPr>
      <w:r>
        <w:t xml:space="preserve">4. Tabla de datos del proceso (antes de</w:t>
      </w:r>
      <w:r>
        <w:t xml:space="preserve"> </w:t>
      </w:r>
      <w:r>
        <w:t xml:space="preserve">“</w:t>
      </w:r>
      <w:r>
        <w:t xml:space="preserve">Yopal, Casanare,</w:t>
      </w:r>
      <w:r>
        <w:t xml:space="preserve">”</w:t>
      </w:r>
      <w:r>
        <w:t xml:space="preserve">)</w:t>
      </w:r>
    </w:p>
    <w:p>
      <w:pPr>
        <w:pStyle w:val="FirstParagraph"/>
      </w:pPr>
      <w:r>
        <w:t xml:space="preserve">Tabla de 2 columnas (2263 / 6521 dxa),</w:t>
      </w:r>
      <w:r>
        <w:t xml:space="preserve"> </w:t>
      </w:r>
      <w:r>
        <w:rPr>
          <w:bCs/>
          <w:b/>
        </w:rPr>
        <w:t xml:space="preserve">borde exterior únicamente</w:t>
      </w:r>
      <w:r>
        <w:t xml:space="preserve"> </w:t>
      </w:r>
      <w:r>
        <w:t xml:space="preserve">(sin líneas horizontales internas), etiquetas y valores en</w:t>
      </w:r>
      <w:r>
        <w:t xml:space="preserve"> </w:t>
      </w:r>
      <w:r>
        <w:rPr>
          <w:bCs/>
          <w:b/>
        </w:rPr>
        <w:t xml:space="preserve">negrita</w:t>
      </w:r>
      <w:r>
        <w:t xml:space="preserve">, tamaño 24 (12pt), fuente Arial. Filas típicas:</w:t>
      </w:r>
      <w:r>
        <w:t xml:space="preserve"> </w:t>
      </w:r>
      <w:r>
        <w:rPr>
          <w:rStyle w:val="VerbatimChar"/>
        </w:rPr>
        <w:t xml:space="preserve">Dependencia</w:t>
      </w:r>
      <w:r>
        <w:t xml:space="preserve">,</w:t>
      </w:r>
      <w:r>
        <w:t xml:space="preserve"> </w:t>
      </w:r>
      <w:r>
        <w:rPr>
          <w:rStyle w:val="VerbatimChar"/>
        </w:rPr>
        <w:t xml:space="preserve">Radicación n.°</w:t>
      </w:r>
      <w:r>
        <w:t xml:space="preserve">,</w:t>
      </w:r>
      <w:r>
        <w:t xml:space="preserve"> </w:t>
      </w:r>
      <w:r>
        <w:rPr>
          <w:rStyle w:val="VerbatimChar"/>
        </w:rPr>
        <w:t xml:space="preserve">Disciplinado(s)</w:t>
      </w:r>
      <w:r>
        <w:t xml:space="preserve">,</w:t>
      </w:r>
      <w:r>
        <w:t xml:space="preserve"> </w:t>
      </w:r>
      <w:r>
        <w:rPr>
          <w:rStyle w:val="VerbatimChar"/>
        </w:rPr>
        <w:t xml:space="preserve">Cargo y Entidad</w:t>
      </w:r>
      <w:r>
        <w:t xml:space="preserve">,</w:t>
      </w:r>
      <w:r>
        <w:t xml:space="preserve"> </w:t>
      </w:r>
      <w:r>
        <w:rPr>
          <w:rStyle w:val="VerbatimChar"/>
        </w:rPr>
        <w:t xml:space="preserve">Origen</w:t>
      </w:r>
      <w:r>
        <w:t xml:space="preserve"> </w:t>
      </w:r>
      <w:r>
        <w:t xml:space="preserve">(o</w:t>
      </w:r>
      <w:r>
        <w:t xml:space="preserve"> </w:t>
      </w:r>
      <w:r>
        <w:rPr>
          <w:rStyle w:val="VerbatimChar"/>
        </w:rPr>
        <w:t xml:space="preserve">Quejoso</w:t>
      </w:r>
      <w:r>
        <w:t xml:space="preserve">),</w:t>
      </w:r>
      <w:r>
        <w:t xml:space="preserve"> </w:t>
      </w:r>
      <w:r>
        <w:rPr>
          <w:rStyle w:val="VerbatimChar"/>
        </w:rPr>
        <w:t xml:space="preserve">Fecha</w:t>
      </w:r>
      <w:r>
        <w:t xml:space="preserve"> </w:t>
      </w:r>
      <w:r>
        <w:t xml:space="preserve">(del informe/queja),</w:t>
      </w:r>
      <w:r>
        <w:t xml:space="preserve"> </w:t>
      </w:r>
      <w:r>
        <w:rPr>
          <w:rStyle w:val="VerbatimChar"/>
        </w:rPr>
        <w:t xml:space="preserve">Fecha hechos</w:t>
      </w:r>
      <w:r>
        <w:t xml:space="preserve">,</w:t>
      </w:r>
      <w:r>
        <w:t xml:space="preserve"> </w:t>
      </w:r>
      <w:r>
        <w:rPr>
          <w:rStyle w:val="VerbatimChar"/>
        </w:rPr>
        <w:t xml:space="preserve">Asunto</w:t>
      </w:r>
      <w:r>
        <w:t xml:space="preserve">.</w:t>
      </w:r>
    </w:p>
    <w:p>
      <w:pPr>
        <w:pStyle w:val="BodyText"/>
      </w:pPr>
      <w:r>
        <w:t xml:space="preserve">Después de la tabla:</w:t>
      </w:r>
      <w:r>
        <w:t xml:space="preserve"> </w:t>
      </w:r>
      <w:r>
        <w:rPr>
          <w:rStyle w:val="VerbatimChar"/>
        </w:rPr>
        <w:t xml:space="preserve">Yopal, Casanare, [fecha]</w:t>
      </w:r>
      <w:r>
        <w:t xml:space="preserve"> </w:t>
      </w:r>
      <w:r>
        <w:t xml:space="preserve">(sin numeral, texto libre) — en el modelo real la fecha se deja pendiente hasta el momento de la firma.</w:t>
      </w:r>
    </w:p>
    <w:bookmarkEnd w:id="23"/>
    <w:bookmarkStart w:id="24" w:name="tipografía-general-del-cuerpo"/>
    <w:p>
      <w:pPr>
        <w:pStyle w:val="Heading2"/>
      </w:pPr>
      <w:r>
        <w:t xml:space="preserve">5. Tipografía general del cuerpo</w:t>
      </w:r>
    </w:p>
    <w:p>
      <w:pPr>
        <w:pStyle w:val="FirstParagraph"/>
      </w:pPr>
      <w:r>
        <w:rPr>
          <w:bCs/>
          <w:b/>
        </w:rPr>
        <w:t xml:space="preserve">Arial</w:t>
      </w:r>
      <w:r>
        <w:t xml:space="preserve">, tamaño 24 (12pt) en medios-punto, párrafos justificados (</w:t>
      </w:r>
      <w:r>
        <w:rPr>
          <w:rStyle w:val="VerbatimChar"/>
        </w:rPr>
        <w:t xml:space="preserve">AlignmentType.JUSTIFIED</w:t>
      </w:r>
      <w:r>
        <w:t xml:space="preserve">), interlineado ~300 (1.25), espacio posterior 200 twips.</w:t>
      </w:r>
    </w:p>
    <w:bookmarkEnd w:id="24"/>
    <w:bookmarkStart w:id="25" w:name="X17c85cba6d1fb3b9bef17d0fac951a786f5b6ab"/>
    <w:p>
      <w:pPr>
        <w:pStyle w:val="Heading2"/>
      </w:pPr>
      <w:r>
        <w:t xml:space="preserve">6. Numeración de secciones — lista multinivel con reinicio automático</w:t>
      </w:r>
    </w:p>
    <w:p>
      <w:pPr>
        <w:pStyle w:val="FirstParagraph"/>
      </w:pPr>
      <w:r>
        <w:t xml:space="preserve">Los títulos NO se numeran a mano: se usa una lista multinivel de Word (</w:t>
      </w:r>
      <w:r>
        <w:rPr>
          <w:rStyle w:val="VerbatimChar"/>
        </w:rPr>
        <w:t xml:space="preserve">numbering.config</w:t>
      </w:r>
      <w:r>
        <w:t xml:space="preserve">) de 3 niveles que reinicia automáticamente el contador hijo cada vez que el padre avanza — así</w:t>
      </w:r>
      <w:r>
        <w:t xml:space="preserve"> </w:t>
      </w:r>
      <w:r>
        <w:t xml:space="preserve">“</w:t>
      </w:r>
      <w:r>
        <w:t xml:space="preserve">3.</w:t>
      </w:r>
      <w:r>
        <w:t xml:space="preserve">”</w:t>
      </w:r>
      <w:r>
        <w:t xml:space="preserve"> </w:t>
      </w:r>
      <w:r>
        <w:t xml:space="preserve">(CONSIDERACIONES) va seguido de</w:t>
      </w:r>
      <w:r>
        <w:t xml:space="preserve"> </w:t>
      </w:r>
      <w:r>
        <w:t xml:space="preserve">“</w:t>
      </w:r>
      <w:r>
        <w:t xml:space="preserve">3.1.</w:t>
      </w:r>
      <w:r>
        <w:t xml:space="preserve">”</w:t>
      </w:r>
      <w:r>
        <w:t xml:space="preserve">,</w:t>
      </w:r>
      <w:r>
        <w:t xml:space="preserve"> </w:t>
      </w:r>
      <w:r>
        <w:t xml:space="preserve">“</w:t>
      </w:r>
      <w:r>
        <w:t xml:space="preserve">3.2.</w:t>
      </w:r>
      <w:r>
        <w:t xml:space="preserve">”</w:t>
      </w:r>
      <w:r>
        <w:t xml:space="preserve"> </w:t>
      </w:r>
      <w:r>
        <w:t xml:space="preserve">y, dentro de</w:t>
      </w:r>
      <w:r>
        <w:t xml:space="preserve"> </w:t>
      </w:r>
      <w:r>
        <w:t xml:space="preserve">“</w:t>
      </w:r>
      <w:r>
        <w:t xml:space="preserve">3.2.</w:t>
      </w:r>
      <w:r>
        <w:t xml:space="preserve">”</w:t>
      </w:r>
      <w:r>
        <w:t xml:space="preserve">, de</w:t>
      </w:r>
      <w:r>
        <w:t xml:space="preserve"> </w:t>
      </w:r>
      <w:r>
        <w:t xml:space="preserve">“</w:t>
      </w:r>
      <w:r>
        <w:t xml:space="preserve">3.2.1.</w:t>
      </w:r>
      <w:r>
        <w:t xml:space="preserve">”</w:t>
      </w:r>
      <w:r>
        <w:t xml:space="preserve">,</w:t>
      </w:r>
      <w:r>
        <w:t xml:space="preserve"> </w:t>
      </w:r>
      <w:r>
        <w:t xml:space="preserve">“</w:t>
      </w:r>
      <w:r>
        <w:t xml:space="preserve">3.2.2.</w:t>
      </w:r>
      <w:r>
        <w:t xml:space="preserve">”</w:t>
      </w:r>
      <w:r>
        <w:t xml:space="preserve">, sin tocar contadores a mano.</w:t>
      </w:r>
    </w:p>
    <w:p>
      <w:pPr>
        <w:pStyle w:val="SourceCode"/>
      </w:pPr>
      <w:r>
        <w:rPr>
          <w:rStyle w:val="NormalTok"/>
        </w:rPr>
        <w:t xml:space="preserve">numbering</w:t>
      </w:r>
      <w:r>
        <w:rPr>
          <w:rStyle w:val="OperatorTok"/>
        </w:rPr>
        <w:t xml:space="preserve">:</w:t>
      </w:r>
      <w:r>
        <w:rPr>
          <w:rStyle w:val="NormalTok"/>
        </w:rPr>
        <w:t xml:space="preserve"> {</w:t>
      </w:r>
      <w:r>
        <w:br/>
      </w:r>
      <w:r>
        <w:rPr>
          <w:rStyle w:val="NormalTok"/>
        </w:rPr>
        <w:t xml:space="preserve">  </w:t>
      </w:r>
      <w:r>
        <w:rPr>
          <w:rStyle w:val="DataTypeTok"/>
        </w:rPr>
        <w:t xml:space="preserve">config</w:t>
      </w:r>
      <w:r>
        <w:rPr>
          <w:rStyle w:val="OperatorTok"/>
        </w:rPr>
        <w:t xml:space="preserve">:</w:t>
      </w:r>
      <w:r>
        <w:rPr>
          <w:rStyle w:val="NormalTok"/>
        </w:rPr>
        <w:t xml:space="preserve"> [{</w:t>
      </w:r>
      <w:r>
        <w:br/>
      </w:r>
      <w:r>
        <w:rPr>
          <w:rStyle w:val="NormalTok"/>
        </w:rPr>
        <w:t xml:space="preserve">    </w:t>
      </w:r>
      <w:r>
        <w:rPr>
          <w:rStyle w:val="DataTypeTok"/>
        </w:rPr>
        <w:t xml:space="preserve">reference</w:t>
      </w:r>
      <w:r>
        <w:rPr>
          <w:rStyle w:val="OperatorTok"/>
        </w:rPr>
        <w:t xml:space="preserve">:</w:t>
      </w:r>
      <w:r>
        <w:rPr>
          <w:rStyle w:val="NormalTok"/>
        </w:rPr>
        <w:t xml:space="preserve"> </w:t>
      </w:r>
      <w:r>
        <w:rPr>
          <w:rStyle w:val="StringTok"/>
        </w:rPr>
        <w:t xml:space="preserve">"legal"</w:t>
      </w:r>
      <w:r>
        <w:rPr>
          <w:rStyle w:val="OperatorTok"/>
        </w:rPr>
        <w:t xml:space="preserve">,</w:t>
      </w:r>
      <w:r>
        <w:br/>
      </w:r>
      <w:r>
        <w:rPr>
          <w:rStyle w:val="NormalTok"/>
        </w:rPr>
        <w:t xml:space="preserve">    </w:t>
      </w:r>
      <w:r>
        <w:rPr>
          <w:rStyle w:val="DataTypeTok"/>
        </w:rPr>
        <w:t xml:space="preserve">levels</w:t>
      </w:r>
      <w:r>
        <w:rPr>
          <w:rStyle w:val="OperatorTok"/>
        </w:rPr>
        <w:t xml:space="preserve">:</w:t>
      </w:r>
      <w:r>
        <w:rPr>
          <w:rStyle w:val="NormalTok"/>
        </w:rPr>
        <w:t xml:space="preserve"> [</w:t>
      </w:r>
      <w:r>
        <w:br/>
      </w:r>
      <w:r>
        <w:rPr>
          <w:rStyle w:val="NormalTok"/>
        </w:rPr>
        <w:t xml:space="preserve">      { </w:t>
      </w:r>
      <w:r>
        <w:rPr>
          <w:rStyle w:val="DataTypeTok"/>
        </w:rPr>
        <w:t xml:space="preserve">level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format</w:t>
      </w:r>
      <w:r>
        <w:rPr>
          <w:rStyle w:val="OperatorTok"/>
        </w:rPr>
        <w:t xml:space="preserve">:</w:t>
      </w:r>
      <w:r>
        <w:rPr>
          <w:rStyle w:val="NormalTok"/>
        </w:rPr>
        <w:t xml:space="preserve"> LevelFormat</w:t>
      </w:r>
      <w:r>
        <w:rPr>
          <w:rStyle w:val="OperatorTok"/>
        </w:rPr>
        <w:t xml:space="preserve">.</w:t>
      </w:r>
      <w:r>
        <w:rPr>
          <w:rStyle w:val="AttributeTok"/>
        </w:rPr>
        <w:t xml:space="preserve">DECIMAL</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DataTypeTok"/>
        </w:rPr>
        <w:t xml:space="preserve">alignment</w:t>
      </w:r>
      <w:r>
        <w:rPr>
          <w:rStyle w:val="OperatorTok"/>
        </w:rPr>
        <w:t xml:space="preserve">:</w:t>
      </w:r>
      <w:r>
        <w:rPr>
          <w:rStyle w:val="NormalTok"/>
        </w:rPr>
        <w:t xml:space="preserve"> AlignmentType</w:t>
      </w:r>
      <w:r>
        <w:rPr>
          <w:rStyle w:val="OperatorTok"/>
        </w:rPr>
        <w:t xml:space="preserve">.</w:t>
      </w:r>
      <w:r>
        <w:rPr>
          <w:rStyle w:val="AttributeTok"/>
        </w:rPr>
        <w:t xml:space="preserve">START</w:t>
      </w:r>
      <w:r>
        <w:rPr>
          <w:rStyle w:val="OperatorTok"/>
        </w:rPr>
        <w:t xml:space="preserve">,</w:t>
      </w:r>
      <w:r>
        <w:br/>
      </w:r>
      <w:r>
        <w:rPr>
          <w:rStyle w:val="NormalTok"/>
        </w:rPr>
        <w:t xml:space="preserve">        </w:t>
      </w:r>
      <w:r>
        <w:rPr>
          <w:rStyle w:val="DataTypeTok"/>
        </w:rPr>
        <w:t xml:space="preserve">suffix</w:t>
      </w:r>
      <w:r>
        <w:rPr>
          <w:rStyle w:val="OperatorTok"/>
        </w:rPr>
        <w:t xml:space="preserve">:</w:t>
      </w:r>
      <w:r>
        <w:rPr>
          <w:rStyle w:val="NormalTok"/>
        </w:rPr>
        <w:t xml:space="preserve"> LevelSuffix</w:t>
      </w:r>
      <w:r>
        <w:rPr>
          <w:rStyle w:val="OperatorTok"/>
        </w:rPr>
        <w:t xml:space="preserve">.</w:t>
      </w:r>
      <w:r>
        <w:rPr>
          <w:rStyle w:val="AttributeTok"/>
        </w:rPr>
        <w:t xml:space="preserve">SPACE</w:t>
      </w:r>
      <w:r>
        <w:rPr>
          <w:rStyle w:val="OperatorTok"/>
        </w:rPr>
        <w:t xml:space="preserve">,</w:t>
      </w:r>
      <w:r>
        <w:rPr>
          <w:rStyle w:val="NormalTok"/>
        </w:rPr>
        <w:t xml:space="preserve"> </w:t>
      </w:r>
      <w:r>
        <w:rPr>
          <w:rStyle w:val="DataTypeTok"/>
        </w:rPr>
        <w:t xml:space="preserve">style</w:t>
      </w:r>
      <w:r>
        <w:rPr>
          <w:rStyle w:val="OperatorTok"/>
        </w:rPr>
        <w:t xml:space="preserve">:</w:t>
      </w:r>
      <w:r>
        <w:rPr>
          <w:rStyle w:val="NormalTok"/>
        </w:rPr>
        <w:t xml:space="preserve"> { </w:t>
      </w:r>
      <w:r>
        <w:rPr>
          <w:rStyle w:val="DataTypeTok"/>
        </w:rPr>
        <w:t xml:space="preserve">paragraph</w:t>
      </w:r>
      <w:r>
        <w:rPr>
          <w:rStyle w:val="OperatorTok"/>
        </w:rPr>
        <w:t xml:space="preserve">:</w:t>
      </w:r>
      <w:r>
        <w:rPr>
          <w:rStyle w:val="NormalTok"/>
        </w:rPr>
        <w:t xml:space="preserve"> { </w:t>
      </w:r>
      <w:r>
        <w:rPr>
          <w:rStyle w:val="DataTypeTok"/>
        </w:rPr>
        <w:t xml:space="preserve">indent</w:t>
      </w:r>
      <w:r>
        <w:rPr>
          <w:rStyle w:val="OperatorTok"/>
        </w:rPr>
        <w:t xml:space="preserve">:</w:t>
      </w:r>
      <w:r>
        <w:rPr>
          <w:rStyle w:val="NormalTok"/>
        </w:rPr>
        <w:t xml:space="preserve"> { </w:t>
      </w:r>
      <w:r>
        <w:rPr>
          <w:rStyle w:val="DataTypeTok"/>
        </w:rPr>
        <w:t xml:space="preserve">left</w:t>
      </w:r>
      <w:r>
        <w:rPr>
          <w:rStyle w:val="OperatorTok"/>
        </w:rPr>
        <w:t xml:space="preserve">:</w:t>
      </w:r>
      <w:r>
        <w:rPr>
          <w:rStyle w:val="NormalTok"/>
        </w:rPr>
        <w:t xml:space="preserve"> </w:t>
      </w:r>
      <w:r>
        <w:rPr>
          <w:rStyle w:val="DecValTok"/>
        </w:rPr>
        <w:t xml:space="preserve">0</w:t>
      </w:r>
      <w:r>
        <w:rPr>
          <w:rStyle w:val="NormalTok"/>
        </w:rPr>
        <w:t xml:space="preserve"> } } } }</w:t>
      </w:r>
      <w:r>
        <w:rPr>
          <w:rStyle w:val="OperatorTok"/>
        </w:rPr>
        <w:t xml:space="preserve">,</w:t>
      </w:r>
      <w:r>
        <w:br/>
      </w:r>
      <w:r>
        <w:rPr>
          <w:rStyle w:val="NormalTok"/>
        </w:rPr>
        <w:t xml:space="preserve">      { </w:t>
      </w:r>
      <w:r>
        <w:rPr>
          <w:rStyle w:val="DataTypeTok"/>
        </w:rPr>
        <w:t xml:space="preserve">level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format</w:t>
      </w:r>
      <w:r>
        <w:rPr>
          <w:rStyle w:val="OperatorTok"/>
        </w:rPr>
        <w:t xml:space="preserve">:</w:t>
      </w:r>
      <w:r>
        <w:rPr>
          <w:rStyle w:val="NormalTok"/>
        </w:rPr>
        <w:t xml:space="preserve"> LevelFormat</w:t>
      </w:r>
      <w:r>
        <w:rPr>
          <w:rStyle w:val="OperatorTok"/>
        </w:rPr>
        <w:t xml:space="preserve">.</w:t>
      </w:r>
      <w:r>
        <w:rPr>
          <w:rStyle w:val="AttributeTok"/>
        </w:rPr>
        <w:t xml:space="preserve">DECIMAL</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"%1.%2."</w:t>
      </w:r>
      <w:r>
        <w:rPr>
          <w:rStyle w:val="OperatorTok"/>
        </w:rPr>
        <w:t xml:space="preserve">,</w:t>
      </w:r>
      <w:r>
        <w:rPr>
          <w:rStyle w:val="NormalTok"/>
        </w:rPr>
        <w:t xml:space="preserve"> </w:t>
      </w:r>
      <w:r>
        <w:rPr>
          <w:rStyle w:val="DataTypeTok"/>
        </w:rPr>
        <w:t xml:space="preserve">alignment</w:t>
      </w:r>
      <w:r>
        <w:rPr>
          <w:rStyle w:val="OperatorTok"/>
        </w:rPr>
        <w:t xml:space="preserve">:</w:t>
      </w:r>
      <w:r>
        <w:rPr>
          <w:rStyle w:val="NormalTok"/>
        </w:rPr>
        <w:t xml:space="preserve"> AlignmentType</w:t>
      </w:r>
      <w:r>
        <w:rPr>
          <w:rStyle w:val="OperatorTok"/>
        </w:rPr>
        <w:t xml:space="preserve">.</w:t>
      </w:r>
      <w:r>
        <w:rPr>
          <w:rStyle w:val="AttributeTok"/>
        </w:rPr>
        <w:t xml:space="preserve">START</w:t>
      </w:r>
      <w:r>
        <w:rPr>
          <w:rStyle w:val="OperatorTok"/>
        </w:rPr>
        <w:t xml:space="preserve">,</w:t>
      </w:r>
      <w:r>
        <w:br/>
      </w:r>
      <w:r>
        <w:rPr>
          <w:rStyle w:val="NormalTok"/>
        </w:rPr>
        <w:t xml:space="preserve">        </w:t>
      </w:r>
      <w:r>
        <w:rPr>
          <w:rStyle w:val="DataTypeTok"/>
        </w:rPr>
        <w:t xml:space="preserve">suffix</w:t>
      </w:r>
      <w:r>
        <w:rPr>
          <w:rStyle w:val="OperatorTok"/>
        </w:rPr>
        <w:t xml:space="preserve">:</w:t>
      </w:r>
      <w:r>
        <w:rPr>
          <w:rStyle w:val="NormalTok"/>
        </w:rPr>
        <w:t xml:space="preserve"> LevelSuffix</w:t>
      </w:r>
      <w:r>
        <w:rPr>
          <w:rStyle w:val="OperatorTok"/>
        </w:rPr>
        <w:t xml:space="preserve">.</w:t>
      </w:r>
      <w:r>
        <w:rPr>
          <w:rStyle w:val="AttributeTok"/>
        </w:rPr>
        <w:t xml:space="preserve">SPACE</w:t>
      </w:r>
      <w:r>
        <w:rPr>
          <w:rStyle w:val="OperatorTok"/>
        </w:rPr>
        <w:t xml:space="preserve">,</w:t>
      </w:r>
      <w:r>
        <w:rPr>
          <w:rStyle w:val="NormalTok"/>
        </w:rPr>
        <w:t xml:space="preserve"> </w:t>
      </w:r>
      <w:r>
        <w:rPr>
          <w:rStyle w:val="DataTypeTok"/>
        </w:rPr>
        <w:t xml:space="preserve">style</w:t>
      </w:r>
      <w:r>
        <w:rPr>
          <w:rStyle w:val="OperatorTok"/>
        </w:rPr>
        <w:t xml:space="preserve">:</w:t>
      </w:r>
      <w:r>
        <w:rPr>
          <w:rStyle w:val="NormalTok"/>
        </w:rPr>
        <w:t xml:space="preserve"> { </w:t>
      </w:r>
      <w:r>
        <w:rPr>
          <w:rStyle w:val="DataTypeTok"/>
        </w:rPr>
        <w:t xml:space="preserve">paragraph</w:t>
      </w:r>
      <w:r>
        <w:rPr>
          <w:rStyle w:val="OperatorTok"/>
        </w:rPr>
        <w:t xml:space="preserve">:</w:t>
      </w:r>
      <w:r>
        <w:rPr>
          <w:rStyle w:val="NormalTok"/>
        </w:rPr>
        <w:t xml:space="preserve"> { </w:t>
      </w:r>
      <w:r>
        <w:rPr>
          <w:rStyle w:val="DataTypeTok"/>
        </w:rPr>
        <w:t xml:space="preserve">indent</w:t>
      </w:r>
      <w:r>
        <w:rPr>
          <w:rStyle w:val="OperatorTok"/>
        </w:rPr>
        <w:t xml:space="preserve">:</w:t>
      </w:r>
      <w:r>
        <w:rPr>
          <w:rStyle w:val="NormalTok"/>
        </w:rPr>
        <w:t xml:space="preserve"> { </w:t>
      </w:r>
      <w:r>
        <w:rPr>
          <w:rStyle w:val="DataTypeTok"/>
        </w:rPr>
        <w:t xml:space="preserve">left</w:t>
      </w:r>
      <w:r>
        <w:rPr>
          <w:rStyle w:val="OperatorTok"/>
        </w:rPr>
        <w:t xml:space="preserve">:</w:t>
      </w:r>
      <w:r>
        <w:rPr>
          <w:rStyle w:val="NormalTok"/>
        </w:rPr>
        <w:t xml:space="preserve"> </w:t>
      </w:r>
      <w:r>
        <w:rPr>
          <w:rStyle w:val="DecValTok"/>
        </w:rPr>
        <w:t xml:space="preserve">460</w:t>
      </w:r>
      <w:r>
        <w:rPr>
          <w:rStyle w:val="OperatorTok"/>
        </w:rPr>
        <w:t xml:space="preserve">,</w:t>
      </w:r>
      <w:r>
        <w:rPr>
          <w:rStyle w:val="NormalTok"/>
        </w:rPr>
        <w:t xml:space="preserve"> </w:t>
      </w:r>
      <w:r>
        <w:rPr>
          <w:rStyle w:val="DataTypeTok"/>
        </w:rPr>
        <w:t xml:space="preserve">hanging</w:t>
      </w:r>
      <w:r>
        <w:rPr>
          <w:rStyle w:val="OperatorTok"/>
        </w:rPr>
        <w:t xml:space="preserve">:</w:t>
      </w:r>
      <w:r>
        <w:rPr>
          <w:rStyle w:val="NormalTok"/>
        </w:rPr>
        <w:t xml:space="preserve"> </w:t>
      </w:r>
      <w:r>
        <w:rPr>
          <w:rStyle w:val="DecValTok"/>
        </w:rPr>
        <w:t xml:space="preserve">460</w:t>
      </w:r>
      <w:r>
        <w:rPr>
          <w:rStyle w:val="NormalTok"/>
        </w:rPr>
        <w:t xml:space="preserve"> } } } }</w:t>
      </w:r>
      <w:r>
        <w:rPr>
          <w:rStyle w:val="OperatorTok"/>
        </w:rPr>
        <w:t xml:space="preserve">,</w:t>
      </w:r>
      <w:r>
        <w:br/>
      </w:r>
      <w:r>
        <w:rPr>
          <w:rStyle w:val="NormalTok"/>
        </w:rPr>
        <w:t xml:space="preserve">      { </w:t>
      </w:r>
      <w:r>
        <w:rPr>
          <w:rStyle w:val="DataTypeTok"/>
        </w:rPr>
        <w:t xml:space="preserve">level</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format</w:t>
      </w:r>
      <w:r>
        <w:rPr>
          <w:rStyle w:val="OperatorTok"/>
        </w:rPr>
        <w:t xml:space="preserve">:</w:t>
      </w:r>
      <w:r>
        <w:rPr>
          <w:rStyle w:val="NormalTok"/>
        </w:rPr>
        <w:t xml:space="preserve"> LevelFormat</w:t>
      </w:r>
      <w:r>
        <w:rPr>
          <w:rStyle w:val="OperatorTok"/>
        </w:rPr>
        <w:t xml:space="preserve">.</w:t>
      </w:r>
      <w:r>
        <w:rPr>
          <w:rStyle w:val="AttributeTok"/>
        </w:rPr>
        <w:t xml:space="preserve">DECIMAL</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"%1.%2.%3."</w:t>
      </w:r>
      <w:r>
        <w:rPr>
          <w:rStyle w:val="OperatorTok"/>
        </w:rPr>
        <w:t xml:space="preserve">,</w:t>
      </w:r>
      <w:r>
        <w:rPr>
          <w:rStyle w:val="NormalTok"/>
        </w:rPr>
        <w:t xml:space="preserve"> </w:t>
      </w:r>
      <w:r>
        <w:rPr>
          <w:rStyle w:val="DataTypeTok"/>
        </w:rPr>
        <w:t xml:space="preserve">alignment</w:t>
      </w:r>
      <w:r>
        <w:rPr>
          <w:rStyle w:val="OperatorTok"/>
        </w:rPr>
        <w:t xml:space="preserve">:</w:t>
      </w:r>
      <w:r>
        <w:rPr>
          <w:rStyle w:val="NormalTok"/>
        </w:rPr>
        <w:t xml:space="preserve"> AlignmentType</w:t>
      </w:r>
      <w:r>
        <w:rPr>
          <w:rStyle w:val="OperatorTok"/>
        </w:rPr>
        <w:t xml:space="preserve">.</w:t>
      </w:r>
      <w:r>
        <w:rPr>
          <w:rStyle w:val="AttributeTok"/>
        </w:rPr>
        <w:t xml:space="preserve">START</w:t>
      </w:r>
      <w:r>
        <w:rPr>
          <w:rStyle w:val="OperatorTok"/>
        </w:rPr>
        <w:t xml:space="preserve">,</w:t>
      </w:r>
      <w:r>
        <w:br/>
      </w:r>
      <w:r>
        <w:rPr>
          <w:rStyle w:val="NormalTok"/>
        </w:rPr>
        <w:t xml:space="preserve">        </w:t>
      </w:r>
      <w:r>
        <w:rPr>
          <w:rStyle w:val="DataTypeTok"/>
        </w:rPr>
        <w:t xml:space="preserve">suffix</w:t>
      </w:r>
      <w:r>
        <w:rPr>
          <w:rStyle w:val="OperatorTok"/>
        </w:rPr>
        <w:t xml:space="preserve">:</w:t>
      </w:r>
      <w:r>
        <w:rPr>
          <w:rStyle w:val="NormalTok"/>
        </w:rPr>
        <w:t xml:space="preserve"> LevelSuffix</w:t>
      </w:r>
      <w:r>
        <w:rPr>
          <w:rStyle w:val="OperatorTok"/>
        </w:rPr>
        <w:t xml:space="preserve">.</w:t>
      </w:r>
      <w:r>
        <w:rPr>
          <w:rStyle w:val="AttributeTok"/>
        </w:rPr>
        <w:t xml:space="preserve">SPACE</w:t>
      </w:r>
      <w:r>
        <w:rPr>
          <w:rStyle w:val="OperatorTok"/>
        </w:rPr>
        <w:t xml:space="preserve">,</w:t>
      </w:r>
      <w:r>
        <w:rPr>
          <w:rStyle w:val="NormalTok"/>
        </w:rPr>
        <w:t xml:space="preserve"> </w:t>
      </w:r>
      <w:r>
        <w:rPr>
          <w:rStyle w:val="DataTypeTok"/>
        </w:rPr>
        <w:t xml:space="preserve">style</w:t>
      </w:r>
      <w:r>
        <w:rPr>
          <w:rStyle w:val="OperatorTok"/>
        </w:rPr>
        <w:t xml:space="preserve">:</w:t>
      </w:r>
      <w:r>
        <w:rPr>
          <w:rStyle w:val="NormalTok"/>
        </w:rPr>
        <w:t xml:space="preserve"> { </w:t>
      </w:r>
      <w:r>
        <w:rPr>
          <w:rStyle w:val="DataTypeTok"/>
        </w:rPr>
        <w:t xml:space="preserve">paragraph</w:t>
      </w:r>
      <w:r>
        <w:rPr>
          <w:rStyle w:val="OperatorTok"/>
        </w:rPr>
        <w:t xml:space="preserve">:</w:t>
      </w:r>
      <w:r>
        <w:rPr>
          <w:rStyle w:val="NormalTok"/>
        </w:rPr>
        <w:t xml:space="preserve"> { </w:t>
      </w:r>
      <w:r>
        <w:rPr>
          <w:rStyle w:val="DataTypeTok"/>
        </w:rPr>
        <w:t xml:space="preserve">indent</w:t>
      </w:r>
      <w:r>
        <w:rPr>
          <w:rStyle w:val="OperatorTok"/>
        </w:rPr>
        <w:t xml:space="preserve">:</w:t>
      </w:r>
      <w:r>
        <w:rPr>
          <w:rStyle w:val="NormalTok"/>
        </w:rPr>
        <w:t xml:space="preserve"> { </w:t>
      </w:r>
      <w:r>
        <w:rPr>
          <w:rStyle w:val="DataTypeTok"/>
        </w:rPr>
        <w:t xml:space="preserve">left</w:t>
      </w:r>
      <w:r>
        <w:rPr>
          <w:rStyle w:val="OperatorTok"/>
        </w:rPr>
        <w:t xml:space="preserve">:</w:t>
      </w:r>
      <w:r>
        <w:rPr>
          <w:rStyle w:val="NormalTok"/>
        </w:rPr>
        <w:t xml:space="preserve"> </w:t>
      </w:r>
      <w:r>
        <w:rPr>
          <w:rStyle w:val="DecValTok"/>
        </w:rPr>
        <w:t xml:space="preserve">640</w:t>
      </w:r>
      <w:r>
        <w:rPr>
          <w:rStyle w:val="OperatorTok"/>
        </w:rPr>
        <w:t xml:space="preserve">,</w:t>
      </w:r>
      <w:r>
        <w:rPr>
          <w:rStyle w:val="NormalTok"/>
        </w:rPr>
        <w:t xml:space="preserve"> </w:t>
      </w:r>
      <w:r>
        <w:rPr>
          <w:rStyle w:val="DataTypeTok"/>
        </w:rPr>
        <w:t xml:space="preserve">hanging</w:t>
      </w:r>
      <w:r>
        <w:rPr>
          <w:rStyle w:val="OperatorTok"/>
        </w:rPr>
        <w:t xml:space="preserve">:</w:t>
      </w:r>
      <w:r>
        <w:rPr>
          <w:rStyle w:val="NormalTok"/>
        </w:rPr>
        <w:t xml:space="preserve"> </w:t>
      </w:r>
      <w:r>
        <w:rPr>
          <w:rStyle w:val="DecValTok"/>
        </w:rPr>
        <w:t xml:space="preserve">640</w:t>
      </w:r>
      <w:r>
        <w:rPr>
          <w:rStyle w:val="NormalTok"/>
        </w:rPr>
        <w:t xml:space="preserve"> } }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Nivel 0 → títulos principales,</w:t>
      </w:r>
      <w:r>
        <w:t xml:space="preserve"> </w:t>
      </w:r>
      <w:r>
        <w:rPr>
          <w:bCs/>
          <w:b/>
        </w:rPr>
        <w:t xml:space="preserve">centrados</w:t>
      </w:r>
      <w:r>
        <w:t xml:space="preserve">, negrita, mayúsculas (</w:t>
      </w:r>
      <w:r>
        <w:rPr>
          <w:rStyle w:val="VerbatimChar"/>
        </w:rPr>
        <w:t xml:space="preserve">1. ASUNTO POR TRATAR</w:t>
      </w:r>
      <w:r>
        <w:t xml:space="preserve">,</w:t>
      </w:r>
      <w:r>
        <w:t xml:space="preserve"> </w:t>
      </w:r>
      <w:r>
        <w:rPr>
          <w:rStyle w:val="VerbatimChar"/>
        </w:rPr>
        <w:t xml:space="preserve">2. ANTECEDENTES Y TRÁMITE PROCESAL</w:t>
      </w:r>
      <w:r>
        <w:t xml:space="preserve">,</w:t>
      </w:r>
      <w:r>
        <w:t xml:space="preserve"> </w:t>
      </w:r>
      <w:r>
        <w:rPr>
          <w:rStyle w:val="VerbatimChar"/>
        </w:rPr>
        <w:t xml:space="preserve">3. CONSIDERACIONES DEL DESPACHO</w:t>
      </w:r>
      <w:r>
        <w:t xml:space="preserve">,</w:t>
      </w:r>
      <w:r>
        <w:t xml:space="preserve"> </w:t>
      </w:r>
      <w:r>
        <w:rPr>
          <w:rStyle w:val="VerbatimChar"/>
        </w:rPr>
        <w:t xml:space="preserve">4. RESUELVE</w:t>
      </w:r>
      <w:r>
        <w:t xml:space="preserve">). El contador de nivel 0 se comparte con</w:t>
      </w:r>
      <w:r>
        <w:t xml:space="preserve"> </w:t>
      </w:r>
      <w:r>
        <w:t xml:space="preserve">“</w:t>
      </w:r>
      <w:r>
        <w:t xml:space="preserve">RESUELVE</w:t>
      </w:r>
      <w:r>
        <w:t xml:space="preserve">”</w:t>
      </w:r>
      <w:r>
        <w:t xml:space="preserve"> </w:t>
      </w:r>
      <w:r>
        <w:t xml:space="preserve">y con</w:t>
      </w:r>
      <w:r>
        <w:t xml:space="preserve"> </w:t>
      </w:r>
      <w:r>
        <w:t xml:space="preserve">“</w:t>
      </w:r>
      <w:r>
        <w:t xml:space="preserve">NOTIFÍQUESE, COMUNÍQUESE Y CÚMPLASE</w:t>
      </w:r>
      <w:r>
        <w:t xml:space="preserve">”</w:t>
      </w:r>
      <w:r>
        <w:t xml:space="preserve"> </w:t>
      </w:r>
      <w:r>
        <w:rPr>
          <w:bCs/>
          <w:b/>
        </w:rPr>
        <w:t xml:space="preserve">no lleva numeral</w:t>
      </w:r>
      <w:r>
        <w:t xml:space="preserve"> </w:t>
      </w:r>
      <w:r>
        <w:t xml:space="preserve">(es un párrafo centrado aparte, sin</w:t>
      </w:r>
      <w:r>
        <w:t xml:space="preserve"> </w:t>
      </w:r>
      <w:r>
        <w:rPr>
          <w:rStyle w:val="VerbatimChar"/>
        </w:rPr>
        <w:t xml:space="preserve">numPr</w:t>
      </w:r>
      <w:r>
        <w:t xml:space="preserve">).</w:t>
      </w:r>
    </w:p>
    <w:p>
      <w:pPr>
        <w:pStyle w:val="BodyText"/>
      </w:pPr>
      <w:r>
        <w:t xml:space="preserve">Nivel 1 → subtítulos temáticos dentro de cada sección (</w:t>
      </w:r>
      <w:r>
        <w:rPr>
          <w:rStyle w:val="VerbatimChar"/>
        </w:rPr>
        <w:t xml:space="preserve">2.1. Origen de la investigación disciplinaria</w:t>
      </w:r>
      <w:r>
        <w:t xml:space="preserve">,</w:t>
      </w:r>
      <w:r>
        <w:t xml:space="preserve"> </w:t>
      </w:r>
      <w:r>
        <w:rPr>
          <w:rStyle w:val="VerbatimChar"/>
        </w:rPr>
        <w:t xml:space="preserve">3.1. Competencia</w:t>
      </w:r>
      <w:r>
        <w:t xml:space="preserve">), alineados a la izquierda, negrita, con sangría francesa.</w:t>
      </w:r>
    </w:p>
    <w:p>
      <w:pPr>
        <w:pStyle w:val="BodyText"/>
      </w:pPr>
      <w:r>
        <w:t xml:space="preserve">Nivel 2 → solo cuando se requiere un tercer nivel (p. ej. dentro de</w:t>
      </w:r>
      <w:r>
        <w:t xml:space="preserve"> </w:t>
      </w:r>
      <w:r>
        <w:t xml:space="preserve">“</w:t>
      </w:r>
      <w:r>
        <w:t xml:space="preserve">Valoración probatoria</w:t>
      </w:r>
      <w:r>
        <w:t xml:space="preserve">”</w:t>
      </w:r>
      <w:r>
        <w:t xml:space="preserve">:</w:t>
      </w:r>
      <w:r>
        <w:t xml:space="preserve"> </w:t>
      </w:r>
      <w:r>
        <w:rPr>
          <w:rStyle w:val="VerbatimChar"/>
        </w:rPr>
        <w:t xml:space="preserve">3.5.1. Hechos acreditados</w:t>
      </w:r>
      <w:r>
        <w:t xml:space="preserve">,</w:t>
      </w:r>
      <w:r>
        <w:t xml:space="preserve"> </w:t>
      </w:r>
      <w:r>
        <w:rPr>
          <w:rStyle w:val="VerbatimChar"/>
        </w:rPr>
        <w:t xml:space="preserve">3.5.2. Hechos no acreditados</w:t>
      </w:r>
      <w:r>
        <w:t xml:space="preserve">,</w:t>
      </w:r>
      <w:r>
        <w:t xml:space="preserve"> </w:t>
      </w:r>
      <w:r>
        <w:rPr>
          <w:rStyle w:val="VerbatimChar"/>
        </w:rPr>
        <w:t xml:space="preserve">3.5.3. Interpretaciones e hipótesis</w:t>
      </w:r>
      <w:r>
        <w:t xml:space="preserve">).</w:t>
      </w:r>
    </w:p>
    <w:p>
      <w:pPr>
        <w:pStyle w:val="BodyText"/>
      </w:pPr>
      <w:r>
        <w:rPr>
          <w:bCs/>
          <w:b/>
        </w:rPr>
        <w:t xml:space="preserve">Importante (gotcha de LibreOffice/Word):</w:t>
      </w:r>
      <w:r>
        <w:t xml:space="preserve"> </w:t>
      </w:r>
      <w:r>
        <w:t xml:space="preserve">si el párrafo de nivel 0 se centra con</w:t>
      </w:r>
      <w:r>
        <w:t xml:space="preserve"> </w:t>
      </w:r>
      <w:r>
        <w:rPr>
          <w:rStyle w:val="VerbatimChar"/>
        </w:rPr>
        <w:t xml:space="preserve">alignment: CENTER</w:t>
      </w:r>
      <w:r>
        <w:t xml:space="preserve"> </w:t>
      </w:r>
      <w:r>
        <w:t xml:space="preserve">pero el nivel usa el</w:t>
      </w:r>
      <w:r>
        <w:t xml:space="preserve"> </w:t>
      </w:r>
      <w:r>
        <w:rPr>
          <w:rStyle w:val="VerbatimChar"/>
        </w:rPr>
        <w:t xml:space="preserve">suffix</w:t>
      </w:r>
      <w:r>
        <w:t xml:space="preserve"> </w:t>
      </w:r>
      <w:r>
        <w:t xml:space="preserve">por defecto (</w:t>
      </w:r>
      <w:r>
        <w:rPr>
          <w:rStyle w:val="VerbatimChar"/>
        </w:rPr>
        <w:t xml:space="preserve">tab</w:t>
      </w:r>
      <w:r>
        <w:t xml:space="preserve">), el número queda separado del título por un salto de tabulación grande y el conjunto no se ve centrado como bloque. Usa siempre</w:t>
      </w:r>
      <w:r>
        <w:t xml:space="preserve"> </w:t>
      </w:r>
      <w:r>
        <w:rPr>
          <w:rStyle w:val="VerbatimChar"/>
        </w:rPr>
        <w:t xml:space="preserve">suffix: LevelSuffix.SPACE</w:t>
      </w:r>
      <w:r>
        <w:t xml:space="preserve"> </w:t>
      </w:r>
      <w:r>
        <w:t xml:space="preserve">en los tres niveles para que el numeral quede pegado al título por un simple espacio.</w:t>
      </w:r>
    </w:p>
    <w:p>
      <w:pPr>
        <w:pStyle w:val="BodyText"/>
      </w:pPr>
      <w:r>
        <w:t xml:space="preserve">Antecedentes: en vez de una lista plana de fechas (2.1, 2.2, 2.3 sin título propio), agrupa los hechos procesales en subtítulos temáticos de nivel 1 (p. ej.</w:t>
      </w:r>
      <w:r>
        <w:t xml:space="preserve"> </w:t>
      </w:r>
      <w:r>
        <w:t xml:space="preserve">“</w:t>
      </w:r>
      <w:r>
        <w:t xml:space="preserve">Origen de la investigación</w:t>
      </w:r>
      <w:r>
        <w:t xml:space="preserve">”</w:t>
      </w:r>
      <w:r>
        <w:t xml:space="preserve">,</w:t>
      </w:r>
      <w:r>
        <w:t xml:space="preserve"> </w:t>
      </w:r>
      <w:r>
        <w:t xml:space="preserve">“</w:t>
      </w:r>
      <w:r>
        <w:t xml:space="preserve">Apertura de la investigación</w:t>
      </w:r>
      <w:r>
        <w:t xml:space="preserve">”</w:t>
      </w:r>
      <w:r>
        <w:t xml:space="preserve">,</w:t>
      </w:r>
      <w:r>
        <w:t xml:space="preserve"> </w:t>
      </w:r>
      <w:r>
        <w:t xml:space="preserve">“</w:t>
      </w:r>
      <w:r>
        <w:t xml:space="preserve">Nulidad y prórroga</w:t>
      </w:r>
      <w:r>
        <w:t xml:space="preserve">”</w:t>
      </w:r>
      <w:r>
        <w:t xml:space="preserve">,</w:t>
      </w:r>
      <w:r>
        <w:t xml:space="preserve"> </w:t>
      </w:r>
      <w:r>
        <w:t xml:space="preserve">“</w:t>
      </w:r>
      <w:r>
        <w:t xml:space="preserve">Pruebas testimoniales practicadas</w:t>
      </w:r>
      <w:r>
        <w:t xml:space="preserve">”</w:t>
      </w:r>
      <w:r>
        <w:t xml:space="preserve">, etc.), cada uno con uno o varios párrafos narrativos — así se ve en el modelo real.</w:t>
      </w:r>
    </w:p>
    <w:bookmarkEnd w:id="25"/>
    <w:bookmarkStart w:id="27" w:name="X0097c3627f92fc847753976c12ccb80eb8ae0a4"/>
    <w:p>
      <w:pPr>
        <w:pStyle w:val="Heading2"/>
      </w:pPr>
      <w:r>
        <w:t xml:space="preserve">7. Notas al pie reales (no citas entre paréntesis)</w:t>
      </w:r>
    </w:p>
    <w:p>
      <w:pPr>
        <w:pStyle w:val="FirstParagraph"/>
      </w:pPr>
      <w:r>
        <w:t xml:space="preserve">Las referencias a piezas del expediente (autos, certificaciones, actas de testimonio, oficios) van en</w:t>
      </w:r>
      <w:r>
        <w:t xml:space="preserve"> </w:t>
      </w:r>
      <w:r>
        <w:rPr>
          <w:bCs/>
          <w:b/>
        </w:rPr>
        <w:t xml:space="preserve">notas al pie de Word auténticas</w:t>
      </w:r>
      <w:r>
        <w:t xml:space="preserve"> </w:t>
      </w:r>
      <w:r>
        <w:t xml:space="preserve">(</w:t>
      </w:r>
      <w:r>
        <w:rPr>
          <w:rStyle w:val="VerbatimChar"/>
        </w:rPr>
        <w:t xml:space="preserve">FootnoteReferenceRun</w:t>
      </w:r>
      <w:r>
        <w:t xml:space="preserve">), no como texto entre paréntesis dentro del párrafo. El modelo real cita además folios (</w:t>
      </w:r>
      <w:r>
        <w:rPr>
          <w:rStyle w:val="VerbatimChar"/>
        </w:rPr>
        <w:t xml:space="preserve">Fl. X a Y</w:t>
      </w:r>
      <w:r>
        <w:t xml:space="preserve">) cuando el expediente físico foliado está a la vista —</w:t>
      </w:r>
      <w:r>
        <w:t xml:space="preserve"> </w:t>
      </w:r>
      <w:r>
        <w:rPr>
          <w:bCs/>
          <w:b/>
        </w:rPr>
        <w:t xml:space="preserve">solo inclúyelos si efectivamente se cuenta con la foliación</w:t>
      </w:r>
      <w:r>
        <w:t xml:space="preserve">; si no se tiene certeza del folio exacto, cita el acto procesal por número y fecha únicamente y no inventes el folio.</w:t>
      </w:r>
    </w:p>
    <w:bookmarkStart w:id="26" w:name="Xeabc3ce157ab369200491f77e16deee437f1669"/>
    <w:p>
      <w:pPr>
        <w:pStyle w:val="Heading3"/>
      </w:pPr>
      <w:r>
        <w:t xml:space="preserve">7.1 Jerarquía de confiabilidad del folio (aplícala siempre que cites folios)</w:t>
      </w:r>
    </w:p>
    <w:p>
      <w:pPr>
        <w:pStyle w:val="FirstParagraph"/>
      </w:pPr>
      <w:r>
        <w:t xml:space="preserve">No todas las fuentes de un número de folio tienen el mismo valor para incluirlo en una providencia. Al construir las notas al pie de la valoración probatoria (o de cualquier acápite), clasifica cada folio disponible en una de estas categorías y trátalo en consecuencia:</w:t>
      </w:r>
    </w:p>
    <w:p>
      <w:pPr>
        <w:numPr>
          <w:ilvl w:val="0"/>
          <w:numId w:val="1002"/>
        </w:numPr>
        <w:pStyle w:val="Compact"/>
      </w:pPr>
      <w:r>
        <w:rPr>
          <w:bCs/>
          <w:b/>
        </w:rPr>
        <w:t xml:space="preserve">Confiable — autocita del propio despacho, ya impresa con OCR limpio.</w:t>
      </w:r>
      <w:r>
        <w:t xml:space="preserve"> </w:t>
      </w:r>
      <w:r>
        <w:t xml:space="preserve">Cuando un auto anterior del mismo expediente, ya firmado e impreso, cita en su propio texto (no manuscrito) el folio de un acto anterior (p. ej., un auto de nulidad que al referirse al auto de apertura pone en nota al pie</w:t>
      </w:r>
      <w:r>
        <w:t xml:space="preserve"> </w:t>
      </w:r>
      <w:r>
        <w:t xml:space="preserve">“</w:t>
      </w:r>
      <w:r>
        <w:t xml:space="preserve">Fl. 9 a 13</w:t>
      </w:r>
      <w:r>
        <w:t xml:space="preserve">”</w:t>
      </w:r>
      <w:r>
        <w:t xml:space="preserve">), ese dato es fiable: proviene del propio despacho, fue tipografiado y su OCR no admite ambigüedad. Cítalo con seguridad, indicando entre paréntesis el auto del que se tomó (p. ej.</w:t>
      </w:r>
      <w:r>
        <w:t xml:space="preserve"> </w:t>
      </w:r>
      <w:r>
        <w:t xml:space="preserve">“</w:t>
      </w:r>
      <w:r>
        <w:t xml:space="preserve">según se indica en el Auto N.° 00152 de 17 de febrero de 2025</w:t>
      </w:r>
      <w:r>
        <w:t xml:space="preserve">”</w:t>
      </w:r>
      <w:r>
        <w:t xml:space="preserve">).</w:t>
      </w:r>
    </w:p>
    <w:p>
      <w:pPr>
        <w:numPr>
          <w:ilvl w:val="0"/>
          <w:numId w:val="1002"/>
        </w:numPr>
        <w:pStyle w:val="Compact"/>
      </w:pPr>
      <w:r>
        <w:rPr>
          <w:bCs/>
          <w:b/>
        </w:rPr>
        <w:t xml:space="preserve">Razonablemente confiable — organización física/documental hecha por la propia dependencia, no una lectura de sello manuscrito.</w:t>
      </w:r>
      <w:r>
        <w:t xml:space="preserve"> </w:t>
      </w:r>
      <w:r>
        <w:t xml:space="preserve">P. ej., si un CD o medio digital fue guardado por la dependencia en una carpeta rotulada</w:t>
      </w:r>
      <w:r>
        <w:t xml:space="preserve"> </w:t>
      </w:r>
      <w:r>
        <w:t xml:space="preserve">“</w:t>
      </w:r>
      <w:r>
        <w:t xml:space="preserve">CD FL 81</w:t>
      </w:r>
      <w:r>
        <w:t xml:space="preserve">”</w:t>
      </w:r>
      <w:r>
        <w:t xml:space="preserve">, ese rótulo es un dato organizacional fiable (no requiere que tú</w:t>
      </w:r>
      <w:r>
        <w:t xml:space="preserve"> </w:t>
      </w:r>
      <w:r>
        <w:t xml:space="preserve">“</w:t>
      </w:r>
      <w:r>
        <w:t xml:space="preserve">leas</w:t>
      </w:r>
      <w:r>
        <w:t xml:space="preserve">”</w:t>
      </w:r>
      <w:r>
        <w:t xml:space="preserve"> </w:t>
      </w:r>
      <w:r>
        <w:t xml:space="preserve">un sello), pero adviértelo como tal en la nota (de dónde proviene la inferencia) y déjalo sujeto a confirmación del despacho antes de la firma.</w:t>
      </w:r>
    </w:p>
    <w:p>
      <w:pPr>
        <w:numPr>
          <w:ilvl w:val="0"/>
          <w:numId w:val="1002"/>
        </w:numPr>
        <w:pStyle w:val="Compact"/>
      </w:pPr>
      <w:r>
        <w:rPr>
          <w:bCs/>
          <w:b/>
        </w:rPr>
        <w:t xml:space="preserve">NO confiable — lectura propia de un sello de foliación manuscrito sobre el PDF escaneado.</w:t>
      </w:r>
      <w:r>
        <w:t xml:space="preserve"> </w:t>
      </w:r>
      <w:r>
        <w:t xml:space="preserve">Nunca cites como cierto un folio que obtuviste leyendo tú mismo (por recorte de imagen u OCR) un sello o número manuscrito en la esquina de una página escaneada. Esta lectura es propensa a error (un mismo sello puede leerse de dos formas distintas en dos intentos) y no debe presentarse como dato cierto en un documento con valor jurídico. Si es la única fuente disponible,</w:t>
      </w:r>
      <w:r>
        <w:t xml:space="preserve"> </w:t>
      </w:r>
      <w:r>
        <w:rPr>
          <w:bCs/>
          <w:b/>
        </w:rPr>
        <w:t xml:space="preserve">omite el folio</w:t>
      </w:r>
      <w:r>
        <w:t xml:space="preserve"> </w:t>
      </w:r>
      <w:r>
        <w:t xml:space="preserve">y cita el documento por su identidad cierta (tipo, autor, fecha, nombre de archivo), dejando constancia expresa de que el folio está</w:t>
      </w:r>
      <w:r>
        <w:t xml:space="preserve"> </w:t>
      </w:r>
      <w:r>
        <w:t xml:space="preserve">“</w:t>
      </w:r>
      <w:r>
        <w:t xml:space="preserve">pendiente de verificación/asignación</w:t>
      </w:r>
      <w:r>
        <w:t xml:space="preserve">”</w:t>
      </w:r>
      <w:r>
        <w:t xml:space="preserve"> </w:t>
      </w:r>
      <w:r>
        <w:t xml:space="preserve">— nunca inventes el número ni lo redondees</w:t>
      </w:r>
      <w:r>
        <w:t xml:space="preserve"> </w:t>
      </w:r>
      <w:r>
        <w:t xml:space="preserve">“</w:t>
      </w:r>
      <w:r>
        <w:t xml:space="preserve">a ojo</w:t>
      </w:r>
      <w:r>
        <w:t xml:space="preserve">”</w:t>
      </w:r>
      <w:r>
        <w:t xml:space="preserve">.</w:t>
      </w:r>
    </w:p>
    <w:p>
      <w:pPr>
        <w:pStyle w:val="FirstParagraph"/>
      </w:pPr>
      <w:r>
        <w:t xml:space="preserve">Para archivos aportados como piezas sueltas fuera del cuaderno foliado (transcripciones de declaraciones, certificaciones, registros, actas) — que normalmente no tienen folio hasta que se incorporan físicamente al expediente — cítalos siempre por su identificación completa (tipo de documento, declarante o expedidor, fecha, nombre exacto del archivo fuente) y señala expresamente que el folio queda pendiente de asignación en el cuaderno físico.</w:t>
      </w:r>
    </w:p>
    <w:p>
      <w:pPr>
        <w:pStyle w:val="SourceCode"/>
      </w:pPr>
      <w:r>
        <w:rPr>
          <w:rStyle w:val="CommentTok"/>
        </w:rPr>
        <w:t xml:space="preserve">// registro de notas al pie</w:t>
      </w:r>
      <w:r>
        <w:br/>
      </w:r>
      <w:r>
        <w:rPr>
          <w:rStyle w:val="KeywordTok"/>
        </w:rPr>
        <w:t xml:space="preserve">let</w:t>
      </w:r>
      <w:r>
        <w:rPr>
          <w:rStyle w:val="NormalTok"/>
        </w:rPr>
        <w:t xml:space="preserve"> fnCounter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const</w:t>
      </w:r>
      <w:r>
        <w:rPr>
          <w:rStyle w:val="NormalTok"/>
        </w:rPr>
        <w:t xml:space="preserve"> footnotes </w:t>
      </w:r>
      <w:r>
        <w:rPr>
          <w:rStyle w:val="OperatorTok"/>
        </w:rPr>
        <w:t xml:space="preserve">=</w:t>
      </w:r>
      <w:r>
        <w:rPr>
          <w:rStyle w:val="NormalTok"/>
        </w:rPr>
        <w:t xml:space="preserve"> {}</w:t>
      </w:r>
      <w:r>
        <w:rPr>
          <w:rStyle w:val="OperatorTok"/>
        </w:rPr>
        <w:t xml:space="preserve">;</w:t>
      </w:r>
      <w:r>
        <w:br/>
      </w:r>
      <w:r>
        <w:rPr>
          <w:rStyle w:val="KeywordTok"/>
        </w:rPr>
        <w:t xml:space="preserve">function</w:t>
      </w:r>
      <w:r>
        <w:rPr>
          <w:rStyle w:val="NormalTok"/>
        </w:rPr>
        <w:t xml:space="preserve"> </w:t>
      </w:r>
      <w:r>
        <w:rPr>
          <w:rStyle w:val="FunctionTok"/>
        </w:rPr>
        <w:t xml:space="preserve">addFootnote</w:t>
      </w:r>
      <w:r>
        <w:rPr>
          <w:rStyle w:val="NormalTok"/>
        </w:rPr>
        <w:t xml:space="preserve">(text) {</w:t>
      </w:r>
      <w:r>
        <w:br/>
      </w:r>
      <w:r>
        <w:rPr>
          <w:rStyle w:val="NormalTok"/>
        </w:rPr>
        <w:t xml:space="preserve">  fnCounter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footnotes[fnCounter] </w:t>
      </w:r>
      <w:r>
        <w:rPr>
          <w:rStyle w:val="OperatorTok"/>
        </w:rPr>
        <w:t xml:space="preserve">=</w:t>
      </w:r>
      <w:r>
        <w:rPr>
          <w:rStyle w:val="NormalTok"/>
        </w:rPr>
        <w:t xml:space="preserve"> { </w:t>
      </w:r>
      <w:r>
        <w:rPr>
          <w:rStyle w:val="DataTypeTok"/>
        </w:rPr>
        <w:t xml:space="preserve">children</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Paragraph</w:t>
      </w:r>
      <w:r>
        <w:rPr>
          <w:rStyle w:val="NormalTok"/>
        </w:rPr>
        <w:t xml:space="preserve">({ </w:t>
      </w:r>
      <w:r>
        <w:rPr>
          <w:rStyle w:val="DataTypeTok"/>
        </w:rPr>
        <w:t xml:space="preserve">children</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TextRun</w:t>
      </w:r>
      <w:r>
        <w:rPr>
          <w:rStyle w:val="NormalTok"/>
        </w:rPr>
        <w:t xml:space="preserve">({ text</w:t>
      </w:r>
      <w:r>
        <w:rPr>
          <w:rStyle w:val="OperatorTok"/>
        </w:rPr>
        <w:t xml:space="preserve">,</w:t>
      </w:r>
      <w:r>
        <w:rPr>
          <w:rStyle w:val="NormalTok"/>
        </w:rPr>
        <w:t xml:space="preserve"> </w:t>
      </w:r>
      <w:r>
        <w:rPr>
          <w:rStyle w:val="DataTypeTok"/>
        </w:rPr>
        <w:t xml:space="preserve">size</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DataTypeTok"/>
        </w:rPr>
        <w:t xml:space="preserve">font</w:t>
      </w:r>
      <w:r>
        <w:rPr>
          <w:rStyle w:val="OperatorTok"/>
        </w:rPr>
        <w:t xml:space="preserve">:</w:t>
      </w:r>
      <w:r>
        <w:rPr>
          <w:rStyle w:val="NormalTok"/>
        </w:rPr>
        <w:t xml:space="preserve"> FONT })] })] }</w:t>
      </w:r>
      <w:r>
        <w:rPr>
          <w:rStyle w:val="OperatorTok"/>
        </w:rPr>
        <w:t xml:space="preserve">;</w:t>
      </w:r>
      <w:r>
        <w:br/>
      </w:r>
      <w:r>
        <w:rPr>
          <w:rStyle w:val="NormalTok"/>
        </w:rPr>
        <w:t xml:space="preserve">  </w:t>
      </w:r>
      <w:r>
        <w:rPr>
          <w:rStyle w:val="ControlFlowTok"/>
        </w:rPr>
        <w:t xml:space="preserve">return</w:t>
      </w:r>
      <w:r>
        <w:rPr>
          <w:rStyle w:val="NormalTok"/>
        </w:rPr>
        <w:t xml:space="preserve"> fnCounter</w:t>
      </w:r>
      <w:r>
        <w:rPr>
          <w:rStyle w:val="OperatorTok"/>
        </w:rPr>
        <w:t xml:space="preserve">;</w:t>
      </w:r>
      <w:r>
        <w:br/>
      </w:r>
      <w:r>
        <w:rPr>
          <w:rStyle w:val="NormalTok"/>
        </w:rPr>
        <w:t xml:space="preserve">}</w:t>
      </w:r>
      <w:r>
        <w:br/>
      </w:r>
      <w:r>
        <w:rPr>
          <w:rStyle w:val="CommentTok"/>
        </w:rPr>
        <w:t xml:space="preserve">// ... new Document({ footnotes, sections: [...] })</w:t>
      </w:r>
    </w:p>
    <w:p>
      <w:pPr>
        <w:pStyle w:val="FirstParagraph"/>
      </w:pPr>
      <w:r>
        <w:t xml:space="preserve">La marca de nota va pegada al carácter anterior (sin espacio antes) y seguida de un espacio antes de continuar el texto — cuidado con no invertir ese espaciado (ver helper</w:t>
      </w:r>
      <w:r>
        <w:t xml:space="preserve"> </w:t>
      </w:r>
      <w:r>
        <w:rPr>
          <w:rStyle w:val="VerbatimChar"/>
        </w:rPr>
        <w:t xml:space="preserve">runsFor</w:t>
      </w:r>
      <w:r>
        <w:t xml:space="preserve"> </w:t>
      </w:r>
      <w:r>
        <w:t xml:space="preserve">en</w:t>
      </w:r>
      <w:r>
        <w:t xml:space="preserve"> </w:t>
      </w:r>
      <w:r>
        <w:rPr>
          <w:rStyle w:val="VerbatimChar"/>
        </w:rPr>
        <w:t xml:space="preserve">scripts/plantilla_auto.js</w:t>
      </w:r>
      <w:r>
        <w:t xml:space="preserve">, que ya resuelve esto automáticamente).</w:t>
      </w:r>
    </w:p>
    <w:bookmarkEnd w:id="26"/>
    <w:bookmarkEnd w:id="27"/>
    <w:bookmarkStart w:id="28" w:name="Xae34c67dce9b1fa0c5f44b249d6ecfe06bad995"/>
    <w:p>
      <w:pPr>
        <w:pStyle w:val="Heading2"/>
      </w:pPr>
      <w:r>
        <w:t xml:space="preserve">8. Parte resolutiva — sangría francesa con rótulo en negrita</w:t>
      </w:r>
    </w:p>
    <w:p>
      <w:pPr>
        <w:pStyle w:val="FirstParagraph"/>
      </w:pPr>
      <w:r>
        <w:t xml:space="preserve">Cada numeral del</w:t>
      </w:r>
      <w:r>
        <w:t xml:space="preserve"> </w:t>
      </w:r>
      <w:r>
        <w:t xml:space="preserve">“</w:t>
      </w:r>
      <w:r>
        <w:t xml:space="preserve">RESUELVE</w:t>
      </w:r>
      <w:r>
        <w:t xml:space="preserve">”</w:t>
      </w:r>
      <w:r>
        <w:t xml:space="preserve"> </w:t>
      </w:r>
      <w:r>
        <w:t xml:space="preserve">(</w:t>
      </w:r>
      <w:r>
        <w:rPr>
          <w:rStyle w:val="VerbatimChar"/>
        </w:rPr>
        <w:t xml:space="preserve">PRIMERO</w:t>
      </w:r>
      <w:r>
        <w:t xml:space="preserve">,</w:t>
      </w:r>
      <w:r>
        <w:t xml:space="preserve"> </w:t>
      </w:r>
      <w:r>
        <w:rPr>
          <w:rStyle w:val="VerbatimChar"/>
        </w:rPr>
        <w:t xml:space="preserve">SEGUNDO</w:t>
      </w:r>
      <w:r>
        <w:t xml:space="preserve">,</w:t>
      </w:r>
      <w:r>
        <w:t xml:space="preserve"> </w:t>
      </w:r>
      <w:r>
        <w:rPr>
          <w:rStyle w:val="VerbatimChar"/>
        </w:rPr>
        <w:t xml:space="preserve">TERCERO</w:t>
      </w:r>
      <w:r>
        <w:t xml:space="preserve">…) es un párrafo con sangría francesa (</w:t>
      </w:r>
      <w:r>
        <w:rPr>
          <w:rStyle w:val="VerbatimChar"/>
        </w:rPr>
        <w:t xml:space="preserve">indent: { left: 1410, hanging: 1410 }</w:t>
      </w:r>
      <w:r>
        <w:t xml:space="preserve">), rótulo en negrita seguido de tabulación:</w:t>
      </w:r>
    </w:p>
    <w:p>
      <w:pPr>
        <w:pStyle w:val="SourceCode"/>
      </w:pPr>
      <w:r>
        <w:rPr>
          <w:rStyle w:val="KeywordTok"/>
        </w:rPr>
        <w:t xml:space="preserve">function</w:t>
      </w:r>
      <w:r>
        <w:rPr>
          <w:rStyle w:val="NormalTok"/>
        </w:rPr>
        <w:t xml:space="preserve"> </w:t>
      </w:r>
      <w:r>
        <w:rPr>
          <w:rStyle w:val="FunctionTok"/>
        </w:rPr>
        <w:t xml:space="preserve">resuelveItem</w:t>
      </w:r>
      <w:r>
        <w:rPr>
          <w:rStyle w:val="NormalTok"/>
        </w:rPr>
        <w:t xml:space="preserve">(label</w:t>
      </w:r>
      <w:r>
        <w:rPr>
          <w:rStyle w:val="OperatorTok"/>
        </w:rPr>
        <w:t xml:space="preserve">,</w:t>
      </w:r>
      <w:r>
        <w:rPr>
          <w:rStyle w:val="NormalTok"/>
        </w:rPr>
        <w:t xml:space="preserve"> parts)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Paragraph</w:t>
      </w:r>
      <w:r>
        <w:rPr>
          <w:rStyle w:val="NormalTok"/>
        </w:rPr>
        <w:t xml:space="preserve">({</w:t>
      </w:r>
      <w:r>
        <w:br/>
      </w:r>
      <w:r>
        <w:rPr>
          <w:rStyle w:val="NormalTok"/>
        </w:rPr>
        <w:t xml:space="preserve">    </w:t>
      </w:r>
      <w:r>
        <w:rPr>
          <w:rStyle w:val="DataTypeTok"/>
        </w:rPr>
        <w:t xml:space="preserve">indent</w:t>
      </w:r>
      <w:r>
        <w:rPr>
          <w:rStyle w:val="OperatorTok"/>
        </w:rPr>
        <w:t xml:space="preserve">:</w:t>
      </w:r>
      <w:r>
        <w:rPr>
          <w:rStyle w:val="NormalTok"/>
        </w:rPr>
        <w:t xml:space="preserve"> { </w:t>
      </w:r>
      <w:r>
        <w:rPr>
          <w:rStyle w:val="DataTypeTok"/>
        </w:rPr>
        <w:t xml:space="preserve">left</w:t>
      </w:r>
      <w:r>
        <w:rPr>
          <w:rStyle w:val="OperatorTok"/>
        </w:rPr>
        <w:t xml:space="preserve">:</w:t>
      </w:r>
      <w:r>
        <w:rPr>
          <w:rStyle w:val="NormalTok"/>
        </w:rPr>
        <w:t xml:space="preserve"> </w:t>
      </w:r>
      <w:r>
        <w:rPr>
          <w:rStyle w:val="DecValTok"/>
        </w:rPr>
        <w:t xml:space="preserve">1410</w:t>
      </w:r>
      <w:r>
        <w:rPr>
          <w:rStyle w:val="OperatorTok"/>
        </w:rPr>
        <w:t xml:space="preserve">,</w:t>
      </w:r>
      <w:r>
        <w:rPr>
          <w:rStyle w:val="NormalTok"/>
        </w:rPr>
        <w:t xml:space="preserve"> </w:t>
      </w:r>
      <w:r>
        <w:rPr>
          <w:rStyle w:val="DataTypeTok"/>
        </w:rPr>
        <w:t xml:space="preserve">hanging</w:t>
      </w:r>
      <w:r>
        <w:rPr>
          <w:rStyle w:val="OperatorTok"/>
        </w:rPr>
        <w:t xml:space="preserve">:</w:t>
      </w:r>
      <w:r>
        <w:rPr>
          <w:rStyle w:val="NormalTok"/>
        </w:rPr>
        <w:t xml:space="preserve"> </w:t>
      </w:r>
      <w:r>
        <w:rPr>
          <w:rStyle w:val="DecValTok"/>
        </w:rPr>
        <w:t xml:space="preserve">1410</w:t>
      </w:r>
      <w:r>
        <w:rPr>
          <w:rStyle w:val="NormalTok"/>
        </w:rPr>
        <w:t xml:space="preserve"> }</w:t>
      </w:r>
      <w:r>
        <w:rPr>
          <w:rStyle w:val="OperatorTok"/>
        </w:rPr>
        <w:t xml:space="preserve">,</w:t>
      </w:r>
      <w:r>
        <w:br/>
      </w:r>
      <w:r>
        <w:rPr>
          <w:rStyle w:val="NormalTok"/>
        </w:rPr>
        <w:t xml:space="preserve">    </w:t>
      </w:r>
      <w:r>
        <w:rPr>
          <w:rStyle w:val="DataTypeTok"/>
        </w:rPr>
        <w:t xml:space="preserve">alignment</w:t>
      </w:r>
      <w:r>
        <w:rPr>
          <w:rStyle w:val="OperatorTok"/>
        </w:rPr>
        <w:t xml:space="preserve">:</w:t>
      </w:r>
      <w:r>
        <w:rPr>
          <w:rStyle w:val="NormalTok"/>
        </w:rPr>
        <w:t xml:space="preserve"> AlignmentType</w:t>
      </w:r>
      <w:r>
        <w:rPr>
          <w:rStyle w:val="OperatorTok"/>
        </w:rPr>
        <w:t xml:space="preserve">.</w:t>
      </w:r>
      <w:r>
        <w:rPr>
          <w:rStyle w:val="AttributeTok"/>
        </w:rPr>
        <w:t xml:space="preserve">JUSTIFIED</w:t>
      </w:r>
      <w:r>
        <w:rPr>
          <w:rStyle w:val="OperatorTok"/>
        </w:rPr>
        <w:t xml:space="preserve">,</w:t>
      </w:r>
      <w:r>
        <w:br/>
      </w:r>
      <w:r>
        <w:rPr>
          <w:rStyle w:val="NormalTok"/>
        </w:rPr>
        <w:t xml:space="preserve">    </w:t>
      </w:r>
      <w:r>
        <w:rPr>
          <w:rStyle w:val="DataTypeTok"/>
        </w:rPr>
        <w:t xml:space="preserve">tabStops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DecValTok"/>
        </w:rPr>
        <w:t xml:space="preserve">1410</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TextRun</w:t>
      </w:r>
      <w:r>
        <w:rPr>
          <w:rStyle w:val="NormalTok"/>
        </w:rPr>
        <w:t xml:space="preserve">({ </w:t>
      </w:r>
      <w:r>
        <w:rPr>
          <w:rStyle w:val="DataTypeTok"/>
        </w:rPr>
        <w:t xml:space="preserve">text</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bold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size</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ataTypeTok"/>
        </w:rPr>
        <w:t xml:space="preserve">font</w:t>
      </w:r>
      <w:r>
        <w:rPr>
          <w:rStyle w:val="OperatorTok"/>
        </w:rPr>
        <w:t xml:space="preserve">:</w:t>
      </w:r>
      <w:r>
        <w:rPr>
          <w:rStyle w:val="NormalTok"/>
        </w:rPr>
        <w:t xml:space="preserve"> FONT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TextRun</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w:t>
      </w:r>
      <w:r>
        <w:rPr>
          <w:rStyle w:val="SpecialCharTok"/>
        </w:rPr>
        <w:t xml:space="preserve">\t</w:t>
      </w:r>
      <w:r>
        <w:rPr>
          <w:rStyle w:val="StringTok"/>
        </w:rPr>
        <w:t xml:space="preserve">"</w:t>
      </w:r>
      <w:r>
        <w:rPr>
          <w:rStyle w:val="OperatorTok"/>
        </w:rPr>
        <w:t xml:space="preserve">,</w:t>
      </w:r>
      <w:r>
        <w:rPr>
          <w:rStyle w:val="NormalTok"/>
        </w:rPr>
        <w:t xml:space="preserve"> </w:t>
      </w:r>
      <w:r>
        <w:rPr>
          <w:rStyle w:val="DataTypeTok"/>
        </w:rPr>
        <w:t xml:space="preserve">size</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ataTypeTok"/>
        </w:rPr>
        <w:t xml:space="preserve">font</w:t>
      </w:r>
      <w:r>
        <w:rPr>
          <w:rStyle w:val="OperatorTok"/>
        </w:rPr>
        <w:t xml:space="preserve">:</w:t>
      </w:r>
      <w:r>
        <w:rPr>
          <w:rStyle w:val="NormalTok"/>
        </w:rPr>
        <w:t xml:space="preserve"> FONT })</w:t>
      </w:r>
      <w:r>
        <w:rPr>
          <w:rStyle w:val="OperatorTok"/>
        </w:rPr>
        <w:t xml:space="preserve">,</w:t>
      </w:r>
      <w:r>
        <w:br/>
      </w:r>
      <w:r>
        <w:rPr>
          <w:rStyle w:val="NormalTok"/>
        </w:rPr>
        <w:t xml:space="preserve">      </w:t>
      </w:r>
      <w:r>
        <w:rPr>
          <w:rStyle w:val="OperatorTok"/>
        </w:rPr>
        <w:t xml:space="preserve">...</w:t>
      </w:r>
      <w:r>
        <w:rPr>
          <w:rStyle w:val="FunctionTok"/>
        </w:rPr>
        <w:t xml:space="preserve">runsFor</w:t>
      </w:r>
      <w:r>
        <w:rPr>
          <w:rStyle w:val="NormalTok"/>
        </w:rPr>
        <w:t xml:space="preserve">(parts)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Cuando un numeral requiere tabla de notificación (sujeto procesal / datos de notificación), la tabla se inserta</w:t>
      </w:r>
      <w:r>
        <w:t xml:space="preserve"> </w:t>
      </w:r>
      <w:r>
        <w:rPr>
          <w:bCs/>
          <w:b/>
        </w:rPr>
        <w:t xml:space="preserve">con sangría izquierda igual a la del numeral</w:t>
      </w:r>
      <w:r>
        <w:t xml:space="preserve"> </w:t>
      </w:r>
      <w:r>
        <w:t xml:space="preserve">(</w:t>
      </w:r>
      <w:r>
        <w:rPr>
          <w:rStyle w:val="VerbatimChar"/>
        </w:rPr>
        <w:t xml:space="preserve">indent: { size: 1410, type: WidthType.DXA }</w:t>
      </w:r>
      <w:r>
        <w:t xml:space="preserve"> </w:t>
      </w:r>
      <w:r>
        <w:t xml:space="preserve">en</w:t>
      </w:r>
      <w:r>
        <w:t xml:space="preserve"> </w:t>
      </w:r>
      <w:r>
        <w:rPr>
          <w:rStyle w:val="VerbatimChar"/>
        </w:rPr>
        <w:t xml:space="preserve">Table</w:t>
      </w:r>
      <w:r>
        <w:t xml:space="preserve">), 2 columnas, con bordes completos (a diferencia de la tabla de datos del proceso, que solo lleva borde exterior), encabezado centrado en negrita.</w:t>
      </w:r>
    </w:p>
    <w:bookmarkEnd w:id="28"/>
    <w:bookmarkStart w:id="29" w:name="cierre-y-bloque-de-firma"/>
    <w:p>
      <w:pPr>
        <w:pStyle w:val="Heading2"/>
      </w:pPr>
      <w:r>
        <w:t xml:space="preserve">9. Cierre y bloque de firma</w:t>
      </w:r>
    </w:p>
    <w:p>
      <w:pPr>
        <w:numPr>
          <w:ilvl w:val="0"/>
          <w:numId w:val="1003"/>
        </w:numPr>
        <w:pStyle w:val="Compact"/>
      </w:pPr>
      <w:r>
        <w:rPr>
          <w:rStyle w:val="VerbatimChar"/>
        </w:rPr>
        <w:t xml:space="preserve">NOTIFÍQUESE, COMUNÍQUESE Y CÚMPLASE</w:t>
      </w:r>
      <w:r>
        <w:t xml:space="preserve"> </w:t>
      </w:r>
      <w:r>
        <w:t xml:space="preserve">— centrado, negrita, sin numeral.</w:t>
      </w:r>
    </w:p>
    <w:p>
      <w:pPr>
        <w:numPr>
          <w:ilvl w:val="0"/>
          <w:numId w:val="1003"/>
        </w:numPr>
        <w:pStyle w:val="Compact"/>
      </w:pPr>
      <w:r>
        <w:t xml:space="preserve">Nombre del procurador/a que suscribe — centrado, negrita.</w:t>
      </w:r>
    </w:p>
    <w:p>
      <w:pPr>
        <w:numPr>
          <w:ilvl w:val="0"/>
          <w:numId w:val="1003"/>
        </w:numPr>
        <w:pStyle w:val="Compact"/>
      </w:pPr>
      <w:r>
        <w:t xml:space="preserve">Cargo — centrado, tamaño normal.</w:t>
      </w:r>
    </w:p>
    <w:p>
      <w:pPr>
        <w:numPr>
          <w:ilvl w:val="0"/>
          <w:numId w:val="1003"/>
        </w:numPr>
        <w:pStyle w:val="Compact"/>
      </w:pPr>
      <w:r>
        <w:t xml:space="preserve">Bloque final en fuente</w:t>
      </w:r>
      <w:r>
        <w:t xml:space="preserve"> </w:t>
      </w:r>
      <w:r>
        <w:rPr>
          <w:bCs/>
          <w:b/>
        </w:rPr>
        <w:t xml:space="preserve">muy pequeña</w:t>
      </w:r>
      <w:r>
        <w:t xml:space="preserve"> </w:t>
      </w:r>
      <w:r>
        <w:t xml:space="preserve">(tamaño 16 en medios-punto = 8pt), alineado a la izquierda, con tabulación entre el rótulo y el valor:</w:t>
      </w:r>
    </w:p>
    <w:p>
      <w:pPr>
        <w:pStyle w:val="SourceCode"/>
      </w:pPr>
      <w:r>
        <w:rPr>
          <w:rStyle w:val="VerbatimChar"/>
        </w:rPr>
        <w:t xml:space="preserve">Proyecto: &lt;nombre de quien proyecta&gt; / &lt;cargo&gt;</w:t>
      </w:r>
      <w:r>
        <w:br/>
      </w:r>
      <w:r>
        <w:rPr>
          <w:rStyle w:val="VerbatimChar"/>
        </w:rPr>
        <w:t xml:space="preserve">Reviso:   &lt;nombre de quien revisa, si ya se conoce&gt;</w:t>
      </w:r>
      <w:r>
        <w:br/>
      </w:r>
      <w:r>
        <w:rPr>
          <w:rStyle w:val="VerbatimChar"/>
        </w:rPr>
        <w:t xml:space="preserve">Aprobó:   &lt;nombre de quien aprueba, si ya se conoce&gt;</w:t>
      </w:r>
    </w:p>
    <w:bookmarkEnd w:id="29"/>
    <w:bookmarkStart w:id="30" w:name="X5b875ddfccf512ac904a61114234f0e0e3dfa7c"/>
    <w:p>
      <w:pPr>
        <w:pStyle w:val="Heading2"/>
      </w:pPr>
      <w:r>
        <w:t xml:space="preserve">10. Convención propia para minutas de trabajo (no está en el modelo institucional)</w:t>
      </w:r>
    </w:p>
    <w:p>
      <w:pPr>
        <w:pStyle w:val="FirstParagraph"/>
      </w:pPr>
      <w:r>
        <w:t xml:space="preserve">Cuando el auto se entrega como</w:t>
      </w:r>
      <w:r>
        <w:t xml:space="preserve"> </w:t>
      </w:r>
      <w:r>
        <w:rPr>
          <w:bCs/>
          <w:b/>
        </w:rPr>
        <w:t xml:space="preserve">proyecto</w:t>
      </w:r>
      <w:r>
        <w:t xml:space="preserve"> </w:t>
      </w:r>
      <w:r>
        <w:t xml:space="preserve">(borrador pendiente de verificación por el titular del despacho, no listo para firma), resalta en naranja los datos que aún deben confirmarse directamente en el expediente físico, con un párrafo de borde izquierdo naranja y fondo claro:</w:t>
      </w:r>
    </w:p>
    <w:p>
      <w:pPr>
        <w:pStyle w:val="SourceCode"/>
      </w:pPr>
      <w:r>
        <w:rPr>
          <w:rStyle w:val="KeywordTok"/>
        </w:rPr>
        <w:t xml:space="preserve">function</w:t>
      </w:r>
      <w:r>
        <w:rPr>
          <w:rStyle w:val="NormalTok"/>
        </w:rPr>
        <w:t xml:space="preserve"> </w:t>
      </w:r>
      <w:r>
        <w:rPr>
          <w:rStyle w:val="FunctionTok"/>
        </w:rPr>
        <w:t xml:space="preserve">bracket</w:t>
      </w:r>
      <w:r>
        <w:rPr>
          <w:rStyle w:val="NormalTok"/>
        </w:rPr>
        <w:t xml:space="preserve">(text)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Paragraph</w:t>
      </w:r>
      <w:r>
        <w:rPr>
          <w:rStyle w:val="NormalTok"/>
        </w:rPr>
        <w:t xml:space="preserve">({</w:t>
      </w:r>
      <w:r>
        <w:br/>
      </w:r>
      <w:r>
        <w:rPr>
          <w:rStyle w:val="NormalTok"/>
        </w:rPr>
        <w:t xml:space="preserve">    </w:t>
      </w:r>
      <w:r>
        <w:rPr>
          <w:rStyle w:val="DataTypeTok"/>
        </w:rPr>
        <w:t xml:space="preserve">shading</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ShadingType</w:t>
      </w:r>
      <w:r>
        <w:rPr>
          <w:rStyle w:val="OperatorTok"/>
        </w:rPr>
        <w:t xml:space="preserve">.</w:t>
      </w:r>
      <w:r>
        <w:rPr>
          <w:rStyle w:val="AttributeTok"/>
        </w:rPr>
        <w:t xml:space="preserve">CLEAR</w:t>
      </w:r>
      <w:r>
        <w:rPr>
          <w:rStyle w:val="OperatorTok"/>
        </w:rPr>
        <w:t xml:space="preserve">,</w:t>
      </w:r>
      <w:r>
        <w:rPr>
          <w:rStyle w:val="NormalTok"/>
        </w:rPr>
        <w:t xml:space="preserve"> </w:t>
      </w:r>
      <w:r>
        <w:rPr>
          <w:rStyle w:val="DataTypeTok"/>
        </w:rPr>
        <w:t xml:space="preserve">fill</w:t>
      </w:r>
      <w:r>
        <w:rPr>
          <w:rStyle w:val="OperatorTok"/>
        </w:rPr>
        <w:t xml:space="preserve">:</w:t>
      </w:r>
      <w:r>
        <w:rPr>
          <w:rStyle w:val="NormalTok"/>
        </w:rPr>
        <w:t xml:space="preserve"> </w:t>
      </w:r>
      <w:r>
        <w:rPr>
          <w:rStyle w:val="StringTok"/>
        </w:rPr>
        <w:t xml:space="preserve">"FCE4D6"</w:t>
      </w:r>
      <w:r>
        <w:rPr>
          <w:rStyle w:val="NormalTok"/>
        </w:rPr>
        <w:t xml:space="preserve"> }</w:t>
      </w:r>
      <w:r>
        <w:rPr>
          <w:rStyle w:val="OperatorTok"/>
        </w:rPr>
        <w:t xml:space="preserve">,</w:t>
      </w:r>
      <w:r>
        <w:br/>
      </w:r>
      <w:r>
        <w:rPr>
          <w:rStyle w:val="NormalTok"/>
        </w:rPr>
        <w:t xml:space="preserve">    </w:t>
      </w:r>
      <w:r>
        <w:rPr>
          <w:rStyle w:val="DataTypeTok"/>
        </w:rPr>
        <w:t xml:space="preserve">border</w:t>
      </w:r>
      <w:r>
        <w:rPr>
          <w:rStyle w:val="OperatorTok"/>
        </w:rPr>
        <w:t xml:space="preserve">:</w:t>
      </w:r>
      <w:r>
        <w:rPr>
          <w:rStyle w:val="NormalTok"/>
        </w:rPr>
        <w:t xml:space="preserve"> { </w:t>
      </w:r>
      <w:r>
        <w:rPr>
          <w:rStyle w:val="DataTypeTok"/>
        </w:rPr>
        <w:t xml:space="preserve">left</w:t>
      </w:r>
      <w:r>
        <w:rPr>
          <w:rStyle w:val="OperatorTok"/>
        </w:rPr>
        <w:t xml:space="preserve">:</w:t>
      </w:r>
      <w:r>
        <w:rPr>
          <w:rStyle w:val="NormalTok"/>
        </w:rPr>
        <w:t xml:space="preserve"> { </w:t>
      </w:r>
      <w:r>
        <w:rPr>
          <w:rStyle w:val="DataTypeTok"/>
        </w:rPr>
        <w:t xml:space="preserve">style</w:t>
      </w:r>
      <w:r>
        <w:rPr>
          <w:rStyle w:val="OperatorTok"/>
        </w:rPr>
        <w:t xml:space="preserve">:</w:t>
      </w:r>
      <w:r>
        <w:rPr>
          <w:rStyle w:val="NormalTok"/>
        </w:rPr>
        <w:t xml:space="preserve"> BorderStyle</w:t>
      </w:r>
      <w:r>
        <w:rPr>
          <w:rStyle w:val="OperatorTok"/>
        </w:rPr>
        <w:t xml:space="preserve">.</w:t>
      </w:r>
      <w:r>
        <w:rPr>
          <w:rStyle w:val="AttributeTok"/>
        </w:rPr>
        <w:t xml:space="preserve">SINGLE</w:t>
      </w:r>
      <w:r>
        <w:rPr>
          <w:rStyle w:val="OperatorTok"/>
        </w:rPr>
        <w:t xml:space="preserve">,</w:t>
      </w:r>
      <w:r>
        <w:rPr>
          <w:rStyle w:val="NormalTok"/>
        </w:rPr>
        <w:t xml:space="preserve"> </w:t>
      </w:r>
      <w:r>
        <w:rPr>
          <w:rStyle w:val="DataTypeTok"/>
        </w:rPr>
        <w:t xml:space="preserve">size</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"C55A11"</w:t>
      </w:r>
      <w:r>
        <w:rPr>
          <w:rStyle w:val="NormalTok"/>
        </w:rPr>
        <w:t xml:space="preserve"> }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TextRun</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"[VERIFICAR ANTES DE FIRMAR] "</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size</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DataTypeTok"/>
        </w:rPr>
        <w:t xml:space="preserve">font</w:t>
      </w:r>
      <w:r>
        <w:rPr>
          <w:rStyle w:val="OperatorTok"/>
        </w:rPr>
        <w:t xml:space="preserve">:</w:t>
      </w:r>
      <w:r>
        <w:rPr>
          <w:rStyle w:val="NormalTok"/>
        </w:rPr>
        <w:t xml:space="preserve"> FONT</w:t>
      </w:r>
      <w:r>
        <w:rPr>
          <w:rStyle w:val="OperatorTok"/>
        </w:rPr>
        <w:t xml:space="preserve">,</w:t>
      </w:r>
      <w:r>
        <w:rPr>
          <w:rStyle w:val="NormalTok"/>
        </w:rPr>
        <w:t xml:space="preserve"> </w:t>
      </w:r>
      <w:r>
        <w:rPr>
          <w:rStyle w:val="DataTypeTok"/>
        </w:rPr>
        <w:t xml:space="preserve">italics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"833C00"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Esta convención no proviene del modelo institucional (que es un documento ya suscrito, sin pendientes) — es una capa de anotación propia para el proceso de proyección. Elimínala (o resuelve cada corchete) antes de considerar el documento listo para la firma del procurador/a.</w:t>
      </w:r>
    </w:p>
    <w:bookmarkEnd w:id="30"/>
    <w:bookmarkStart w:id="31" w:name="verificación-obligatoria"/>
    <w:p>
      <w:pPr>
        <w:pStyle w:val="Heading2"/>
      </w:pPr>
      <w:r>
        <w:t xml:space="preserve">11. Verificación obligatoria</w:t>
      </w:r>
    </w:p>
    <w:p>
      <w:pPr>
        <w:pStyle w:val="FirstParagraph"/>
      </w:pPr>
      <w:r>
        <w:t xml:space="preserve">Tras generar el</w:t>
      </w:r>
      <w:r>
        <w:t xml:space="preserve"> </w:t>
      </w:r>
      <w:r>
        <w:rPr>
          <w:rStyle w:val="VerbatimChar"/>
        </w:rPr>
        <w:t xml:space="preserve">.docx</w:t>
      </w:r>
      <w:r>
        <w:t xml:space="preserve">, conviértelo a PDF y revisa</w:t>
      </w:r>
      <w:r>
        <w:t xml:space="preserve"> </w:t>
      </w:r>
      <w:r>
        <w:rPr>
          <w:bCs/>
          <w:b/>
        </w:rPr>
        <w:t xml:space="preserve">todas</w:t>
      </w:r>
      <w:r>
        <w:t xml:space="preserve"> </w:t>
      </w:r>
      <w:r>
        <w:t xml:space="preserve">las páginas como imágenes (protocolo estándar de la skill</w:t>
      </w:r>
      <w:r>
        <w:t xml:space="preserve"> </w:t>
      </w:r>
      <w:r>
        <w:rPr>
          <w:rStyle w:val="VerbatimChar"/>
        </w:rPr>
        <w:t xml:space="preserve">docx</w:t>
      </w:r>
      <w:r>
        <w:t xml:space="preserve">). Presta atención particular a: que los numerales de nivel 0 queden pegados al título como un bloque centrado (no separados por un salto grande), que las notas al pie aparezcan en la página correcta con el separador estándar, y que la tabla de notificación conserve la sangría del numeral</w:t>
      </w:r>
      <w:r>
        <w:t xml:space="preserve"> </w:t>
      </w:r>
      <w:r>
        <w:t xml:space="preserve">“</w:t>
      </w:r>
      <w:r>
        <w:t xml:space="preserve">SEGUNDO</w:t>
      </w:r>
      <w:r>
        <w:t xml:space="preserve">”</w:t>
      </w:r>
      <w:r>
        <w:t xml:space="preserv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2026-10-07T16:00:55Z</dcterms:created>
  <dcterms:modified xsi:type="dcterms:W3CDTF">2026-10-07T16:00:55Z</dcterms:modified>
</cp:coreProperties>
</file>

<file path=docProps/custom.xml><?xml version="1.0" encoding="utf-8"?>
<Properties xmlns="http://schemas.openxmlformats.org/officeDocument/2006/custom-properties" xmlns:vt="http://schemas.openxmlformats.org/officeDocument/2006/docPropsVTypes"/>
</file>