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cc980b0f71e7fcfefd3f0cc71f9012b559e895"/>
    <w:p>
      <w:pPr>
        <w:pStyle w:val="Heading1"/>
      </w:pPr>
      <w:r>
        <w:t xml:space="preserve">Impedimentos y recusaciones (arts. 44 y 104-108 CGD) — Protocolo 6</w:t>
      </w:r>
    </w:p>
    <w:p>
      <w:pPr>
        <w:pStyle w:val="FirstParagraph"/>
      </w:pPr>
      <w:r>
        <w:t xml:space="preserve">Fuente: texto consolidado de la Ley 1952 de 2019 (Secretaría Jurídica Distrital). En ese consolidado los arts. 104-108 NO figuran como modificados por la Ley 2094 de 2021 (un auto de impedimento aportado por el usuario los cita como «modificados por la Ley 2094»: verifica en el texto oficial). El consolidado tiene omisiones evidentes de transcripción en los numerales 7, 8 y 10 del art. 104 y en el inciso 1.º del art. 107; por eso las causales se parafrasean. Confróntalas con el texto oficial antes de transcribirlas en un auto.</w:t>
      </w:r>
    </w:p>
    <w:bookmarkStart w:id="20" w:name="causales-art.-104"/>
    <w:p>
      <w:pPr>
        <w:pStyle w:val="Heading2"/>
      </w:pPr>
      <w:r>
        <w:t xml:space="preserve">1. Causales (art. 104)</w:t>
      </w:r>
    </w:p>
    <w:p>
      <w:pPr>
        <w:pStyle w:val="FirstParagraph"/>
      </w:pPr>
      <w:r>
        <w:t xml:space="preserve">Aplican a los servidores públicos que ejercen la acción disciplinaria. Para impedimento y para recusación.</w:t>
      </w:r>
      <w:r>
        <w:t xml:space="preserve"> </w:t>
      </w:r>
      <w:r>
        <w:t xml:space="preserve">1. Interés directo en la actuación (propio, del cónyuge, compañero permanente o parientes hasta cuarto grado de consanguinidad, segundo de afinidad o primero civil).</w:t>
      </w:r>
      <w:r>
        <w:t xml:space="preserve"> </w:t>
      </w:r>
      <w:r>
        <w:t xml:space="preserve">2. Haber proferido la decisión cuya revisión se trata, o ser cónyuge, compañero o pariente (mismos grados) del inferior que la dictó.</w:t>
      </w:r>
      <w:r>
        <w:t xml:space="preserve"> </w:t>
      </w:r>
      <w:r>
        <w:t xml:space="preserve">3. Ser cónyuge, compañero o pariente (mismos grados) de cualquiera de los sujetos procesales.</w:t>
      </w:r>
      <w:r>
        <w:t xml:space="preserve"> </w:t>
      </w:r>
      <w:r>
        <w:t xml:space="preserve">4. Haber sido apoderado o defensor de un sujeto procesal o su contraparte, o haber dado consejo o manifestado opinión sobre el asunto.</w:t>
      </w:r>
      <w:r>
        <w:t xml:space="preserve"> </w:t>
      </w:r>
      <w:r>
        <w:t xml:space="preserve">5. Amistad íntima o enemistad grave con cualquiera de los sujetos procesales.</w:t>
      </w:r>
      <w:r>
        <w:t xml:space="preserve"> </w:t>
      </w:r>
      <w:r>
        <w:t xml:space="preserve">6. Ser o haber sido socio de un sujeto procesal (sociedad colectiva, de responsabilidad limitada, en comandita simple o de hecho), o serlo el cónyuge, compañero o pariente (mismos grados).</w:t>
      </w:r>
      <w:r>
        <w:t xml:space="preserve"> </w:t>
      </w:r>
      <w:r>
        <w:t xml:space="preserve">7. Ser o haber sido heredero, legatario o guardador de un sujeto procesal, o serlo el cónyuge o compañero. [Texto con omisión en el consolidado: verificar.]</w:t>
      </w:r>
      <w:r>
        <w:t xml:space="preserve"> </w:t>
      </w:r>
      <w:r>
        <w:t xml:space="preserve">8. Haber estado vinculado a una investigación penal o disciplinaria con acusación o formulación de cargos, por denuncia o queja de un sujeto procesal. [Verificar texto.]</w:t>
      </w:r>
      <w:r>
        <w:t xml:space="preserve"> </w:t>
      </w:r>
      <w:r>
        <w:t xml:space="preserve">9. Ser o haber sido acreedor o deudor de un sujeto procesal, salvo sociedad anónima (o serlo el cónyuge, compañero o pariente en los mismos grados).</w:t>
      </w:r>
      <w:r>
        <w:t xml:space="preserve"> </w:t>
      </w:r>
      <w:r>
        <w:t xml:space="preserve">10. Haber dejado vencer sin actuar los términos de ley, salvo demora justificada. [Verificar texto.]</w:t>
      </w:r>
    </w:p>
    <w:p>
      <w:pPr>
        <w:pStyle w:val="BodyText"/>
      </w:pPr>
      <w:r>
        <w:rPr>
          <w:bCs/>
          <w:b/>
        </w:rPr>
        <w:t xml:space="preserve">Conflicto de intereses (art. 44):</w:t>
      </w:r>
      <w:r>
        <w:t xml:space="preserve"> </w:t>
      </w:r>
      <w:r>
        <w:t xml:space="preserve">deber de declararse impedido ante un interés particular y directo en la regulación, gestión, control o decisión del asunto (propio, del cónyuge, compañero, parientes en los grados indicados, o de los socios de hecho o de derecho), o cuando el interés general propio de la función pública entre en conflicto con un interés particular y directo.</w:t>
      </w:r>
    </w:p>
    <w:bookmarkEnd w:id="20"/>
    <w:bookmarkStart w:id="21" w:name="procedimiento-arts.-105-108"/>
    <w:p>
      <w:pPr>
        <w:pStyle w:val="Heading2"/>
      </w:pPr>
      <w:r>
        <w:t xml:space="preserve">2. Procedimiento (arts. 105-108)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Impedimento (art. 105):</w:t>
      </w:r>
      <w:r>
        <w:t xml:space="preserve"> </w:t>
      </w:r>
      <w:r>
        <w:t xml:space="preserve">el servidor se declara impedido</w:t>
      </w:r>
      <w:r>
        <w:t xml:space="preserve"> </w:t>
      </w:r>
      <w:r>
        <w:rPr>
          <w:bCs/>
          <w:b/>
        </w:rPr>
        <w:t xml:space="preserve">inmediatamente</w:t>
      </w:r>
      <w:r>
        <w:t xml:space="preserve"> </w:t>
      </w:r>
      <w:r>
        <w:t xml:space="preserve">al advertir la causal, por escrito: razones,</w:t>
      </w:r>
      <w:r>
        <w:t xml:space="preserve"> </w:t>
      </w:r>
      <w:r>
        <w:rPr>
          <w:bCs/>
          <w:b/>
        </w:rPr>
        <w:t xml:space="preserve">causal</w:t>
      </w:r>
      <w:r>
        <w:t xml:space="preserve"> </w:t>
      </w:r>
      <w:r>
        <w:t xml:space="preserve">y, si es posible, pruebas.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Recusación (art. 106):</w:t>
      </w:r>
      <w:r>
        <w:t xml:space="preserve"> </w:t>
      </w:r>
      <w:r>
        <w:t xml:space="preserve">la formula cualquiera de los</w:t>
      </w:r>
      <w:r>
        <w:t xml:space="preserve"> </w:t>
      </w:r>
      <w:r>
        <w:rPr>
          <w:bCs/>
          <w:b/>
        </w:rPr>
        <w:t xml:space="preserve">sujetos procesales</w:t>
      </w:r>
      <w:r>
        <w:t xml:space="preserve"> </w:t>
      </w:r>
      <w:r>
        <w:t xml:space="preserve">con base en el art. 104, con la prueba en que se funda.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Trámite (art. 107):</w:t>
      </w:r>
      <w:r>
        <w:t xml:space="preserve"> </w:t>
      </w:r>
      <w:r>
        <w:t xml:space="preserve">en impedimento, el servidor envía inmediatamente la actuación al superior, que decide</w:t>
      </w:r>
      <w:r>
        <w:t xml:space="preserve"> </w:t>
      </w:r>
      <w:r>
        <w:rPr>
          <w:bCs/>
          <w:b/>
        </w:rPr>
        <w:t xml:space="preserve">de plano en 3 días</w:t>
      </w:r>
      <w:r>
        <w:t xml:space="preserve">; si lo acepta, determina a quién corresponde el conocimiento. En recusación, el servidor manifiesta en 2 días si acepta o no; vencido el término se sigue el trámite del impedimento. La actuación</w:t>
      </w:r>
      <w:r>
        <w:t xml:space="preserve"> </w:t>
      </w:r>
      <w:r>
        <w:rPr>
          <w:bCs/>
          <w:b/>
        </w:rPr>
        <w:t xml:space="preserve">se suspende</w:t>
      </w:r>
      <w:r>
        <w:t xml:space="preserve"> </w:t>
      </w:r>
      <w:r>
        <w:t xml:space="preserve">desde la manifestación o la recusación hasta la decisión.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Procurador General (art. 108):</w:t>
      </w:r>
      <w:r>
        <w:t xml:space="preserve"> </w:t>
      </w:r>
      <w:r>
        <w:t xml:space="preserve">si se declara impedido o es recusado y acepta, asume el Viceprocurador General. Si no acepta la recusación, remite la actuación en 5 días hábiles a la Sala de Consulta y Servicio Civil del Consejo de Estado, que decide: si declara infundada la causal, la devuelve al Procurador General; en caso contrario, la envía al Viceprocurador.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Recursos:</w:t>
      </w:r>
      <w:r>
        <w:t xml:space="preserve"> </w:t>
      </w:r>
      <w:r>
        <w:t xml:space="preserve">el texto no consagra recurso contra la decisión del superior; los recursos de reposición (art. 133) y apelación (art. 134) se enumeran de forma limitada y no la incluyen. Es una lectura de la enumeración, no una norma expresa.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regulado expresamente:</w:t>
      </w:r>
      <w:r>
        <w:t xml:space="preserve"> </w:t>
      </w:r>
      <w:r>
        <w:t xml:space="preserve">qué ocurre cuando el superior no acepta el impedimento.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Superior:</w:t>
      </w:r>
      <w:r>
        <w:t xml:space="preserve"> </w:t>
      </w:r>
      <w:r>
        <w:t xml:space="preserve">el funcional. Para identificarlo, consulta «competencia» (delegadas respecto de regionales de instrucción; regional como segunda instancia de provinciales y distritales) y confronta el D.L. 262 de 2000; no afirmes la competencia sin verificarla.</w:t>
      </w:r>
    </w:p>
    <w:bookmarkEnd w:id="21"/>
    <w:bookmarkStart w:id="22" w:name="X2e0ba063c1e6ccbb36825abbc089cf8ddd4911a"/>
    <w:p>
      <w:pPr>
        <w:pStyle w:val="Heading2"/>
      </w:pPr>
      <w:r>
        <w:t xml:space="preserve">3. Lista de control de una manifestación de impedimento</w:t>
      </w:r>
    </w:p>
    <w:p>
      <w:pPr>
        <w:numPr>
          <w:ilvl w:val="0"/>
          <w:numId w:val="1002"/>
        </w:numPr>
        <w:pStyle w:val="Compact"/>
      </w:pPr>
      <w:r>
        <w:t xml:space="preserve">¿Señala la causal (numeral del art. 104) o el interés particular y directo del art. 44? El art. 105 lo exige.</w:t>
      </w:r>
    </w:p>
    <w:p>
      <w:pPr>
        <w:numPr>
          <w:ilvl w:val="0"/>
          <w:numId w:val="1002"/>
        </w:numPr>
        <w:pStyle w:val="Compact"/>
      </w:pPr>
      <w:r>
        <w:t xml:space="preserve">¿La circunstancia encaja en una causal? Las relaciones laborales o jerárquicas no figuran expresamente en el art. 104; si se invocan, hay que encuadrarlas (p. ej., num. 1 o 5, o art. 44) y justificar la subsunción. Verifica la jurisprudencia sobre taxatividad antes de afirmarla; el texto no autoriza una causal abierta.</w:t>
      </w:r>
    </w:p>
    <w:p>
      <w:pPr>
        <w:numPr>
          <w:ilvl w:val="0"/>
          <w:numId w:val="1002"/>
        </w:numPr>
        <w:pStyle w:val="Compact"/>
      </w:pPr>
      <w:r>
        <w:t xml:space="preserve">Los numerales 3 a 9 se predican de «sujetos procesales». La calidad de disciplinado se adquiere con la apertura (art. 111): en indagación previa con autor por determinar, justifica la conexión.</w:t>
      </w:r>
    </w:p>
    <w:p>
      <w:pPr>
        <w:numPr>
          <w:ilvl w:val="0"/>
          <w:numId w:val="1002"/>
        </w:numPr>
        <w:pStyle w:val="Compact"/>
      </w:pPr>
      <w:r>
        <w:t xml:space="preserve">¿Hay razones, pruebas (si es posible), remisión inmediata al superior y suspensión de la actuación (arts. 105 y 107)?</w:t>
      </w:r>
    </w:p>
    <w:p>
      <w:pPr>
        <w:numPr>
          <w:ilvl w:val="0"/>
          <w:numId w:val="1002"/>
        </w:numPr>
        <w:pStyle w:val="Compact"/>
      </w:pPr>
      <w:r>
        <w:t xml:space="preserve">¿Identificó correctamente al superior funcional?</w:t>
      </w:r>
    </w:p>
    <w:p>
      <w:pPr>
        <w:numPr>
          <w:ilvl w:val="0"/>
          <w:numId w:val="1002"/>
        </w:numPr>
        <w:pStyle w:val="Compact"/>
      </w:pPr>
      <w:r>
        <w:t xml:space="preserve">La manifestación no implica valoración sobre la responsabilidad de nadie: evita afirmarlo o negarlo.</w:t>
      </w:r>
    </w:p>
    <w:p>
      <w:pPr>
        <w:numPr>
          <w:ilvl w:val="0"/>
          <w:numId w:val="1002"/>
        </w:numPr>
        <w:pStyle w:val="Compact"/>
      </w:pPr>
      <w:r>
        <w:t xml:space="preserve">Si la jurisprudencia citada proviene de otro régimen (p. ej., pérdida de investidura de congresistas), indica que se invoca por analogía y verifica su pertinencia.</w:t>
      </w:r>
    </w:p>
    <w:p>
      <w:pPr>
        <w:numPr>
          <w:ilvl w:val="0"/>
          <w:numId w:val="1002"/>
        </w:numPr>
        <w:pStyle w:val="Compact"/>
      </w:pPr>
      <w:r>
        <w:t xml:space="preserve">Cuida la redacción: evita repeticiones en el resolutivo y cita las normas con el texto vigente.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2026-10-07T16:00:56Z</dcterms:created>
  <dcterms:modified xsi:type="dcterms:W3CDTF">2026-10-07T16:00:56Z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