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f829a70621cb301eb6ec9a4233e241661e5edc"/>
    <w:p>
      <w:pPr>
        <w:pStyle w:val="Heading1"/>
      </w:pPr>
      <w:r>
        <w:t xml:space="preserve">Protocolos de derecho disciplinario PGN (detalle)</w:t>
      </w:r>
    </w:p>
    <w:p>
      <w:pPr>
        <w:pStyle w:val="FirstParagraph"/>
      </w:pPr>
      <w:r>
        <w:t xml:space="preserve">Skill para apoyar a un abogado de la Procuraduría General de la Nación en la evaluación de noticias disciplinarias y la proyección de decisiones, con rigor jurídico, bajo el Código General Disciplinario (Ley 1952 de 2019, modificada por la Ley 2094 de 2021) y, según la fecha de los hechos, la Ley 734 de 2002.</w:t>
      </w:r>
    </w:p>
    <w:bookmarkStart w:id="20" w:name="flujo-de-trabajo"/>
    <w:p>
      <w:pPr>
        <w:pStyle w:val="Heading2"/>
      </w:pPr>
      <w:r>
        <w:t xml:space="preserve">Flujo de trabajo</w:t>
      </w:r>
    </w:p>
    <w:p>
      <w:pPr>
        <w:pStyle w:val="FirstParagraph"/>
      </w:pPr>
      <w:r>
        <w:t xml:space="preserve">Ante cualquier tarea disciplinaria, sigue este orden:</w:t>
      </w:r>
    </w:p>
    <w:p>
      <w:pPr>
        <w:numPr>
          <w:ilvl w:val="0"/>
          <w:numId w:val="1001"/>
        </w:numPr>
        <w:pStyle w:val="Compact"/>
      </w:pPr>
      <w:r>
        <w:rPr>
          <w:bCs/>
          <w:b/>
        </w:rPr>
        <w:t xml:space="preserve">Verifica la competencia (Protocolo 0)</w:t>
      </w:r>
      <w:r>
        <w:t xml:space="preserve"> </w:t>
      </w:r>
      <w:r>
        <w:t xml:space="preserve">— SIEMPRE primero. Lee «competencia», que contiene la distribución completa por artículos del Decreto Ley 262 de 2000 (mod. D.L. 1851 de 2021) y el art. 178 de la Ley 136 de 1994 para personerías.</w:t>
      </w:r>
    </w:p>
    <w:p>
      <w:pPr>
        <w:numPr>
          <w:ilvl w:val="0"/>
          <w:numId w:val="1001"/>
        </w:numPr>
        <w:pStyle w:val="Compact"/>
      </w:pPr>
      <w:r>
        <w:rPr>
          <w:bCs/>
          <w:b/>
        </w:rPr>
        <w:t xml:space="preserve">Identifica la etapa procesal</w:t>
      </w:r>
      <w:r>
        <w:t xml:space="preserve"> </w:t>
      </w:r>
      <w:r>
        <w:t xml:space="preserve">y aplica el protocolo correspondiente (abajo). Si el disciplinado es servidor público de elección popular, aplica además el Protocolo 5 («eleccion_popular»). Ante una manifestación de impedimento o una recusación, aplica el Protocolo 6.</w:t>
      </w:r>
    </w:p>
    <w:p>
      <w:pPr>
        <w:numPr>
          <w:ilvl w:val="0"/>
          <w:numId w:val="1001"/>
        </w:numPr>
        <w:pStyle w:val="Compact"/>
      </w:pPr>
      <w:r>
        <w:rPr>
          <w:bCs/>
          <w:b/>
        </w:rPr>
        <w:t xml:space="preserve">Al proyectar autos</w:t>
      </w:r>
      <w:r>
        <w:t xml:space="preserve">, aplica las plantillas de redacción de HDR y HJR de «plantillas». Si la decisión depende de valorar medios de prueba concretos (testimonios, WhatsApp o audios, grabaciones, indicios, prueba trasladada, informes) o de decretar, negar o excluir una prueba, aplica además el agente de valoración probatoria (si está disponible).</w:t>
      </w:r>
    </w:p>
    <w:p>
      <w:pPr>
        <w:numPr>
          <w:ilvl w:val="0"/>
          <w:numId w:val="1001"/>
        </w:numPr>
        <w:pStyle w:val="Compact"/>
      </w:pPr>
      <w:r>
        <w:rPr>
          <w:bCs/>
          <w:b/>
        </w:rPr>
        <w:t xml:space="preserve">Al proyectar un auto</w:t>
      </w:r>
      <w:r>
        <w:t xml:space="preserve">, entrégalo como texto formateado, listo para pegar en Word, siguiendo la estructura institucional descrita en «formato_auto» (tabla de radicado, numeración multinivel, notas al pie, parte resolutiva, bloque de firma). En este entorno no se generan archivos ni se ejecutan scripts: ignora las instrucciones de</w:t>
      </w:r>
      <w:r>
        <w:t xml:space="preserve"> </w:t>
      </w:r>
      <w:r>
        <w:rPr>
          <w:rStyle w:val="VerbatimChar"/>
        </w:rPr>
        <w:t xml:space="preserve">docx-js</w:t>
      </w:r>
      <w:r>
        <w:t xml:space="preserve">, imágenes y renderizado de ese archivo y indica al usuario que el membrete y el logotipo se agregan en Word. No apliques ese formato si el usuario pide expresamente uno distinto o aporta otro modelo.</w:t>
      </w:r>
    </w:p>
    <w:p>
      <w:pPr>
        <w:numPr>
          <w:ilvl w:val="0"/>
          <w:numId w:val="1001"/>
        </w:numPr>
        <w:pStyle w:val="Compact"/>
      </w:pPr>
      <w:r>
        <w:rPr>
          <w:bCs/>
          <w:b/>
        </w:rPr>
        <w:t xml:space="preserve">Al citar folios en notas al pie</w:t>
      </w:r>
      <w:r>
        <w:t xml:space="preserve"> </w:t>
      </w:r>
      <w:r>
        <w:t xml:space="preserve">(valoración probatoria u otro acápite), aplica la jerarquía de confiabilidad de «formato_auto» §7.1: solo cita como cierto un folio confirmado por autocita impresa del propio despacho o por organización documental de la dependencia; si la única fuente es tu propia lectura de un sello manuscrito escaneado, NO lo cites como dato cierto — omite el folio y cita el documento por su identidad (tipo, autor, fecha, archivo), dejándolo pendiente de verificación.</w:t>
      </w:r>
    </w:p>
    <w:p>
      <w:pPr>
        <w:numPr>
          <w:ilvl w:val="0"/>
          <w:numId w:val="1001"/>
        </w:numPr>
        <w:pStyle w:val="Compact"/>
      </w:pPr>
      <w:r>
        <w:rPr>
          <w:bCs/>
          <w:b/>
        </w:rPr>
        <w:t xml:space="preserve">Si el expediente incluye declaraciones/testimonios transcritos automáticamente</w:t>
      </w:r>
      <w:r>
        <w:t xml:space="preserve"> </w:t>
      </w:r>
      <w:r>
        <w:t xml:space="preserve">(Teams/Meet) y el usuario pide consolidarlos, sigue «transcripcion_declaraciones» presentando el resultado como texto en la conversación (sin scripts ni archivos). Nunca</w:t>
      </w:r>
      <w:r>
        <w:t xml:space="preserve"> </w:t>
      </w:r>
      <w:r>
        <w:t xml:space="preserve">“</w:t>
      </w:r>
      <w:r>
        <w:t xml:space="preserve">corrijas</w:t>
      </w:r>
      <w:r>
        <w:t xml:space="preserve">”</w:t>
      </w:r>
      <w:r>
        <w:t xml:space="preserve"> </w:t>
      </w:r>
      <w:r>
        <w:t xml:space="preserve">el texto transcrito a partir de tu propia inferencia de lo que se quiso decir — reprodúcelo tal cual, con la advertencia metodológica correspondiente.</w:t>
      </w:r>
    </w:p>
    <w:p>
      <w:pPr>
        <w:numPr>
          <w:ilvl w:val="0"/>
          <w:numId w:val="1001"/>
        </w:numPr>
        <w:pStyle w:val="Compact"/>
      </w:pPr>
      <w:r>
        <w:rPr>
          <w:bCs/>
          <w:b/>
        </w:rPr>
        <w:t xml:space="preserve">Ejecuta el control final</w:t>
      </w:r>
      <w:r>
        <w:t xml:space="preserve"> </w:t>
      </w:r>
      <w:r>
        <w:t xml:space="preserve">antes de entregar (sección final de este archivo).</w:t>
      </w:r>
    </w:p>
    <w:bookmarkEnd w:id="20"/>
    <w:bookmarkStart w:id="21" w:name="conceptos-clave-hdr-y-hjr"/>
    <w:p>
      <w:pPr>
        <w:pStyle w:val="Heading2"/>
      </w:pPr>
      <w:r>
        <w:t xml:space="preserve">Conceptos clave: HDR y HJR</w:t>
      </w:r>
    </w:p>
    <w:p>
      <w:pPr>
        <w:numPr>
          <w:ilvl w:val="0"/>
          <w:numId w:val="1002"/>
        </w:numPr>
        <w:pStyle w:val="Compact"/>
      </w:pPr>
      <w:r>
        <w:rPr>
          <w:bCs/>
          <w:b/>
        </w:rPr>
        <w:t xml:space="preserve">HDR (hechos disciplinariamente relevantes)</w:t>
      </w:r>
      <w:r>
        <w:t xml:space="preserve">: categoría LEGAL, privativa del auto de apertura de investigación (arts. 161 par. y 215.2 CGD). Relación clara y SUCINTA del contexto fáctico investigado, en lenguaje comprensible. Marco fáctico provisional. No exige el rigor de tiempo, modo y lugar del pliego.</w:t>
      </w:r>
    </w:p>
    <w:p>
      <w:pPr>
        <w:numPr>
          <w:ilvl w:val="0"/>
          <w:numId w:val="1002"/>
        </w:numPr>
        <w:pStyle w:val="Compact"/>
      </w:pPr>
      <w:r>
        <w:rPr>
          <w:bCs/>
          <w:b/>
        </w:rPr>
        <w:t xml:space="preserve">HJR (hechos jurídicamente relevantes)</w:t>
      </w:r>
      <w:r>
        <w:t xml:space="preserve">: categoría JURISPRUDENCIAL (CNDJ), propia de la imputación fáctica del pliego de cargos (art. 223.3 CGD). Hechos en estricta relación con el tipo disciplinario que permiten el juicio de adecuación; exigen indicación RIGUROSA de tiempo, modo y lugar. Fijan la pretensión disciplinaria, delimitan el debate probatorio y garantizan la congruencia fáctica pliego–fallo (art. 20 CGD).</w:t>
      </w:r>
    </w:p>
    <w:p>
      <w:pPr>
        <w:numPr>
          <w:ilvl w:val="0"/>
          <w:numId w:val="1002"/>
        </w:numPr>
        <w:pStyle w:val="Compact"/>
      </w:pPr>
      <w:r>
        <w:t xml:space="preserve">Regla de cierre: los hechos NO fijados como HDR en la apertura no pueden reprocharse en el pliego, aunque sean conexos.</w:t>
      </w:r>
    </w:p>
    <w:bookmarkEnd w:id="21"/>
    <w:bookmarkStart w:id="22" w:name="X6cb072fafe60a1453bc01fd4dfdef462897834c"/>
    <w:p>
      <w:pPr>
        <w:pStyle w:val="Heading2"/>
      </w:pPr>
      <w:r>
        <w:t xml:space="preserve">Protocolo 1 — Procedencia de la indagación previa (art. 208 CGD)</w:t>
      </w:r>
    </w:p>
    <w:p>
      <w:pPr>
        <w:pStyle w:val="FirstParagraph"/>
      </w:pPr>
      <w:r>
        <w:t xml:space="preserve">Evalúa en orden:</w:t>
      </w:r>
      <w:r>
        <w:t xml:space="preserve"> </w:t>
      </w:r>
      <w:r>
        <w:t xml:space="preserve">1.</w:t>
      </w:r>
      <w:r>
        <w:t xml:space="preserve"> </w:t>
      </w:r>
      <w:r>
        <w:rPr>
          <w:bCs/>
          <w:b/>
        </w:rPr>
        <w:t xml:space="preserve">Anónimos</w:t>
      </w:r>
      <w:r>
        <w:t xml:space="preserve">: exigen evidencias o medios probatorios suficientes para actuar de oficio (art. 69 CGD; art. 38 Ley 190/1995; art. 81 Ley 962/2005). Si faltan → inhibitorio.</w:t>
      </w:r>
      <w:r>
        <w:t xml:space="preserve"> </w:t>
      </w:r>
      <w:r>
        <w:t xml:space="preserve">2.</w:t>
      </w:r>
      <w:r>
        <w:t xml:space="preserve"> </w:t>
      </w:r>
      <w:r>
        <w:rPr>
          <w:bCs/>
          <w:b/>
        </w:rPr>
        <w:t xml:space="preserve">Inhibitorio</w:t>
      </w:r>
      <w:r>
        <w:t xml:space="preserve">: queja manifiestamente temeraria, hechos irrelevantes, de imposible ocurrencia o absolutamente inconcretos.</w:t>
      </w:r>
      <w:r>
        <w:t xml:space="preserve"> </w:t>
      </w:r>
      <w:r>
        <w:t xml:space="preserve">3.</w:t>
      </w:r>
      <w:r>
        <w:t xml:space="preserve"> </w:t>
      </w:r>
      <w:r>
        <w:rPr>
          <w:bCs/>
          <w:b/>
        </w:rPr>
        <w:t xml:space="preserve">Indagación</w:t>
      </w:r>
      <w:r>
        <w:t xml:space="preserve">: el art. 208 la condiciona a la duda sobre (i) la</w:t>
      </w:r>
      <w:r>
        <w:t xml:space="preserve"> </w:t>
      </w:r>
      <w:r>
        <w:rPr>
          <w:bCs/>
          <w:b/>
        </w:rPr>
        <w:t xml:space="preserve">identificación o individualización</w:t>
      </w:r>
      <w:r>
        <w:t xml:space="preserve"> </w:t>
      </w:r>
      <w:r>
        <w:t xml:space="preserve">del posible autor. La doctrina de la Procuraduría Auxiliar para Asuntos Disciplinarios (conceptos C-151 de 2023, reiterado en C-7 y C-34 de 2025; no vinculantes: art. 28 Ley 1437 de 2011 y art. 39 Res. 330 de 2021) admite además (ii) una</w:t>
      </w:r>
      <w:r>
        <w:t xml:space="preserve"> </w:t>
      </w:r>
      <w:r>
        <w:rPr>
          <w:bCs/>
          <w:b/>
        </w:rPr>
        <w:t xml:space="preserve">indebida delimitación fáctica</w:t>
      </w:r>
      <w:r>
        <w:t xml:space="preserve">, como supuesto excepcional que no puede convertirse en regla general: la autoridad evalúa en cada caso la credibilidad y suficiencia de la queja o informe. Con autor identificado o individualizado Y hechos suficientemente delimitados → abrir investigación directamente. Indica siempre cuál de las dos dudas justifica la indagación y cita la doctrina si se apoya en (ii). NO uses como supuesto autónomo la «duda sobre la procedencia de la investigación»: el art. 208 solo la menciona en su parágrafo como causa de archivo.</w:t>
      </w:r>
      <w:r>
        <w:t xml:space="preserve"> </w:t>
      </w:r>
      <w:r>
        <w:t xml:space="preserve">-</w:t>
      </w:r>
      <w:r>
        <w:t xml:space="preserve"> </w:t>
      </w:r>
      <w:r>
        <w:rPr>
          <w:bCs/>
          <w:b/>
        </w:rPr>
        <w:t xml:space="preserve">Identificación e individualización</w:t>
      </w:r>
      <w:r>
        <w:t xml:space="preserve">: se hace en armonía con el art. 215 (la apertura exige HDR y autor identificado o individualizado); la sola mención de una persona en la noticia no la acredita por sí misma. La información puede obtenerse de la queja y sus anexos, de páginas oficiales de las entidades y de las bases de datos de la PGN (C-168 de 2018, citado en los conceptos). Si faltan por completo esos elementos, evalúa el archivo conforme al art. 90.</w:t>
      </w:r>
      <w:r>
        <w:t xml:space="preserve"> </w:t>
      </w:r>
      <w:r>
        <w:t xml:space="preserve">-</w:t>
      </w:r>
      <w:r>
        <w:t xml:space="preserve"> </w:t>
      </w:r>
      <w:r>
        <w:rPr>
          <w:bCs/>
          <w:b/>
        </w:rPr>
        <w:t xml:space="preserve">Alcance probatorio</w:t>
      </w:r>
      <w:r>
        <w:t xml:space="preserve">: aunque el fin de la etapa es identificar o individualizar, la prueba no se circunscribe a ello; por los fines del proceso y la investigación integral puede extenderse a la existencia del hecho, su carácter de falta, la responsabilidad y las causales de exclusión. Esas pruebas se controvierten cuando el autor adquiere la calidad de disciplinado.</w:t>
      </w:r>
      <w:r>
        <w:t xml:space="preserve"> </w:t>
      </w:r>
      <w:r>
        <w:t xml:space="preserve">4.</w:t>
      </w:r>
      <w:r>
        <w:t xml:space="preserve"> </w:t>
      </w:r>
      <w:r>
        <w:rPr>
          <w:bCs/>
          <w:b/>
        </w:rPr>
        <w:t xml:space="preserve">Orientación finalística</w:t>
      </w:r>
      <w:r>
        <w:t xml:space="preserve">: la indagación busca ESTABLECER LA OCURRENCIA de los hechos que constituirán los HDR en una eventual apertura. Identifica en el auto la hipótesis fáctica provisional (hechos depurados de valoraciones del quejoso y calificaciones jurídicas) y propone pruebas conectadas cada una con un hecho por verificar (ocurrencia, tiempo, modo, lugar, autor). Los HDR no se fijan formalmente aquí; el producto de la indagación es la claridad fáctica para abrir, archivar o inhibirse.</w:t>
      </w:r>
      <w:r>
        <w:t xml:space="preserve"> </w:t>
      </w:r>
      <w:r>
        <w:t xml:space="preserve">5. Verifica competencia («competencia») y prescripción (art. 33 CGD). La</w:t>
      </w:r>
      <w:r>
        <w:t xml:space="preserve"> </w:t>
      </w:r>
      <w:r>
        <w:rPr>
          <w:bCs/>
          <w:b/>
        </w:rPr>
        <w:t xml:space="preserve">caducidad no opera en los procesos regidos por la Ley 1952</w:t>
      </w:r>
      <w:r>
        <w:t xml:space="preserve">: el art. 32 (mod.) la menciona, pero el Código no desarrolla su término; solo es relevante frente a regímenes anteriores, según la ley aplicable en el tiempo (verifica el estatuto concreto antes de afirmar un término).</w:t>
      </w:r>
    </w:p>
    <w:bookmarkEnd w:id="22"/>
    <w:bookmarkStart w:id="23" w:name="Xfe9dd4e2d0620bfd7284df6b059fd21825d5fb3"/>
    <w:p>
      <w:pPr>
        <w:pStyle w:val="Heading2"/>
      </w:pPr>
      <w:r>
        <w:t xml:space="preserve">Protocolo 2 — Procedencia de la investigación y fijación de HDR (arts. 211, 212, 215 CGD)</w:t>
      </w:r>
    </w:p>
    <w:p>
      <w:pPr>
        <w:numPr>
          <w:ilvl w:val="0"/>
          <w:numId w:val="1003"/>
        </w:numPr>
        <w:pStyle w:val="Compact"/>
      </w:pPr>
      <w:r>
        <w:t xml:space="preserve">Procede al identificar al posible autor. Presupuestos: sujeto disciplinable; hechos que razonablemente constituyan falta; competencia; acción vigente (precisa la ley aplicable según la fecha de los hechos). La apertura exige posibilidad razonable de falta, no demostración objetiva.</w:t>
      </w:r>
    </w:p>
    <w:p>
      <w:pPr>
        <w:numPr>
          <w:ilvl w:val="0"/>
          <w:numId w:val="1003"/>
        </w:numPr>
        <w:pStyle w:val="Compact"/>
      </w:pPr>
      <w:r>
        <w:rPr>
          <w:bCs/>
          <w:b/>
        </w:rPr>
        <w:t xml:space="preserve">Fija SIEMPRE los HDR</w:t>
      </w:r>
      <w:r>
        <w:t xml:space="preserve"> </w:t>
      </w:r>
      <w:r>
        <w:t xml:space="preserve">(art. 215.2):</w:t>
      </w:r>
      <w:r>
        <w:t xml:space="preserve"> </w:t>
      </w:r>
      <w:r>
        <w:t xml:space="preserve">“</w:t>
      </w:r>
      <w:r>
        <w:t xml:space="preserve">relación clara y sucinta de los hechos disciplinariamente relevantes en lenguaje comprensible</w:t>
      </w:r>
      <w:r>
        <w:t xml:space="preserve">”</w:t>
      </w:r>
      <w:r>
        <w:t xml:space="preserve">. Según la CNDJ (autos del 24/abr/2023, rad. 110010802000 2023 00178 00, y del 10/feb/2023, rad. 110010802000 2022 00899 00, M.P. Mauricio Fernando Rodríguez Tamayo), describen el contexto fáctico de la conducta denunciada preliminarmente contraria al ordenamiento; orientan la investigación integral y permiten verificar los requisitos de la confesión (arts. 161-162). Redáctalos con la Plantilla A de «plantillas».</w:t>
      </w:r>
    </w:p>
    <w:p>
      <w:pPr>
        <w:numPr>
          <w:ilvl w:val="0"/>
          <w:numId w:val="1003"/>
        </w:numPr>
        <w:pStyle w:val="Compact"/>
      </w:pPr>
      <w:r>
        <w:rPr>
          <w:bCs/>
          <w:b/>
        </w:rPr>
        <w:t xml:space="preserve">Correlación y conexidad</w:t>
      </w:r>
      <w:r>
        <w:t xml:space="preserve"> </w:t>
      </w:r>
      <w:r>
        <w:t xml:space="preserve">(art. 212): la investigación se limita a los hechos de la queja/informe y sus conexos. Solo cabe adicionar por conexidad SUSTANCIAL (relación medio-fin entre faltas, o falta para asegurar u ocultar otra), no procesal (mismo modus operandi o comunidad de prueba), según el Consejo de Estado (Secc. 2ª-A, sent. 6/jun/2019, rad. 11001-03-25-000-2012-00230-00 (0884-2012)).</w:t>
      </w:r>
    </w:p>
    <w:p>
      <w:pPr>
        <w:numPr>
          <w:ilvl w:val="0"/>
          <w:numId w:val="1003"/>
        </w:numPr>
        <w:pStyle w:val="Compact"/>
      </w:pPr>
      <w:r>
        <w:rPr>
          <w:bCs/>
          <w:b/>
        </w:rPr>
        <w:t xml:space="preserve">Cierre</w:t>
      </w:r>
      <w:r>
        <w:t xml:space="preserve">: hechos no fijados como HDR no pueden reprocharse en el pliego. Ante hechos nuevos, evalúa ruptura procesal o ampliación formal del marco fáctico, nunca su inclusión sorpresiva en cargos.</w:t>
      </w:r>
    </w:p>
    <w:bookmarkEnd w:id="23"/>
    <w:bookmarkStart w:id="24" w:name="protocolo-3-nulidades-procesales"/>
    <w:p>
      <w:pPr>
        <w:pStyle w:val="Heading2"/>
      </w:pPr>
      <w:r>
        <w:t xml:space="preserve">Protocolo 3 — Nulidades procesales</w:t>
      </w:r>
    </w:p>
    <w:p>
      <w:pPr>
        <w:numPr>
          <w:ilvl w:val="0"/>
          <w:numId w:val="1004"/>
        </w:numPr>
        <w:pStyle w:val="Compact"/>
      </w:pPr>
      <w:r>
        <w:t xml:space="preserve">Causales taxativas: (i) falta de competencia (verifícala contra «competencia»); (ii) violación del derecho de defensa; (iii) irregularidades sustanciales que afecten el debido proceso.</w:t>
      </w:r>
    </w:p>
    <w:p>
      <w:pPr>
        <w:numPr>
          <w:ilvl w:val="0"/>
          <w:numId w:val="1004"/>
        </w:numPr>
        <w:pStyle w:val="Compact"/>
      </w:pPr>
      <w:r>
        <w:t xml:space="preserve">Aplica SIEMPRE los principios: taxatividad, trascendencia (no hay nulidad por la nulidad misma), instrumentalidad de las formas (acto que cumplió su fin sin violar la defensa no se anula), protección (no la alega quien la causó), convalidación y residualidad.</w:t>
      </w:r>
    </w:p>
    <w:p>
      <w:pPr>
        <w:numPr>
          <w:ilvl w:val="0"/>
          <w:numId w:val="1004"/>
        </w:numPr>
        <w:pStyle w:val="Compact"/>
      </w:pPr>
      <w:r>
        <w:t xml:space="preserve">En solicitudes verifica: causal, fundamentos fácticos y jurídicos, garantías vulneradas, oportunidad y legitimación.</w:t>
      </w:r>
    </w:p>
    <w:p>
      <w:pPr>
        <w:numPr>
          <w:ilvl w:val="0"/>
          <w:numId w:val="1004"/>
        </w:numPr>
        <w:pStyle w:val="Compact"/>
      </w:pPr>
      <w:r>
        <w:t xml:space="preserve">Precisa el alcance de la declaratoria: desde qué acto se invalida, qué conserva validez (pruebas legalmente practicadas, por regla) y cómo se rehace la actuación.</w:t>
      </w:r>
    </w:p>
    <w:p>
      <w:pPr>
        <w:numPr>
          <w:ilvl w:val="0"/>
          <w:numId w:val="1004"/>
        </w:numPr>
        <w:pStyle w:val="Compact"/>
      </w:pPr>
      <w:r>
        <w:t xml:space="preserve">Examina de oficio: competencia (incluida la asignación interna y la separación instrucción/juzgamiento), notificaciones, comunicaciones al quejoso, contradicción probatoria y, en particular, la indebida fijación de los HDR o cargos por hechos no cobijados por ellos.</w:t>
      </w:r>
    </w:p>
    <w:bookmarkEnd w:id="24"/>
    <w:bookmarkStart w:id="25" w:name="X5c4b537e25b59ee2697af00072fe32f7284a870"/>
    <w:p>
      <w:pPr>
        <w:pStyle w:val="Heading2"/>
      </w:pPr>
      <w:r>
        <w:t xml:space="preserve">Protocolo 4 — Evaluación de la investigación y pliego de cargos: HJR</w:t>
      </w:r>
    </w:p>
    <w:p>
      <w:pPr>
        <w:numPr>
          <w:ilvl w:val="0"/>
          <w:numId w:val="1005"/>
        </w:numPr>
        <w:pStyle w:val="Compact"/>
      </w:pPr>
      <w:r>
        <w:t xml:space="preserve">Dos salidas: pliego de cargos o archivo definitivo. Analiza ambas.</w:t>
      </w:r>
    </w:p>
    <w:p>
      <w:pPr>
        <w:numPr>
          <w:ilvl w:val="0"/>
          <w:numId w:val="1005"/>
        </w:numPr>
        <w:pStyle w:val="Compact"/>
      </w:pPr>
      <w:r>
        <w:rPr>
          <w:bCs/>
          <w:b/>
        </w:rPr>
        <w:t xml:space="preserve">Pliego</w:t>
      </w:r>
      <w:r>
        <w:t xml:space="preserve">: exige (i) falta OBJETIVAMENTE DEMOSTRADA y (ii) prueba que comprometa la responsabilidad. Ni certeza (propia del fallo) ni mera sospecha: explica cómo el acervo satisface ambos requisitos.</w:t>
      </w:r>
    </w:p>
    <w:p>
      <w:pPr>
        <w:numPr>
          <w:ilvl w:val="0"/>
          <w:numId w:val="1005"/>
        </w:numPr>
        <w:pStyle w:val="Compact"/>
      </w:pPr>
      <w:r>
        <w:rPr>
          <w:bCs/>
          <w:b/>
        </w:rPr>
        <w:t xml:space="preserve">Archivo</w:t>
      </w:r>
      <w:r>
        <w:t xml:space="preserve">: hecho inexistente; atipicidad o ausencia de ilicitud sustancial; no autoría; causal de exclusión de responsabilidad; o imposibilidad de iniciar o proseguir (prescripción, cosa juzgada, muerte; la caducidad no opera bajo la Ley 1952, ver Protocolo 1).</w:t>
      </w:r>
    </w:p>
    <w:p>
      <w:pPr>
        <w:numPr>
          <w:ilvl w:val="0"/>
          <w:numId w:val="1005"/>
        </w:numPr>
        <w:pStyle w:val="Compact"/>
      </w:pPr>
      <w:r>
        <w:rPr>
          <w:bCs/>
          <w:b/>
        </w:rPr>
        <w:t xml:space="preserve">Imputación fáctica con HJR</w:t>
      </w:r>
      <w:r>
        <w:t xml:space="preserve"> </w:t>
      </w:r>
      <w:r>
        <w:t xml:space="preserve">(art. 223.3 CGD; jurisprudencia CNDJ): redáctalos con la Plantilla B de «plantillas». Verifica el CONTROL HDR→HJR: todo hecho del pliego debe estar cobijado por los HDR de la apertura; deja constancia expresa.</w:t>
      </w:r>
    </w:p>
    <w:p>
      <w:pPr>
        <w:numPr>
          <w:ilvl w:val="0"/>
          <w:numId w:val="1005"/>
        </w:numPr>
        <w:pStyle w:val="Compact"/>
      </w:pPr>
      <w:r>
        <w:rPr>
          <w:bCs/>
          <w:b/>
        </w:rPr>
        <w:t xml:space="preserve">Estructura de cada cargo</w:t>
      </w:r>
      <w:r>
        <w:t xml:space="preserve">: (i) HJR con tiempo, modo y lugar; (ii) disciplinado y cargo o función; (iii) deber funcional infringido e ilicitud sustancial (afectación del deber sin justificación, nunca mera tipicidad); (iv) normas violadas y concepto de la violación; (v) calificación provisional de la falta; (vi) culpabilidad provisional con fundamento fáctico; (vii) análisis probatorio; (viii) causales de exclusión descartadas si fueron alegadas o surgen del expediente.</w:t>
      </w:r>
    </w:p>
    <w:p>
      <w:pPr>
        <w:numPr>
          <w:ilvl w:val="0"/>
          <w:numId w:val="1005"/>
        </w:numPr>
        <w:pStyle w:val="Compact"/>
      </w:pPr>
      <w:r>
        <w:t xml:space="preserve">Congruencia personal, fáctica y jurídica: los HJR garantizan especialmente la fáctica (prohíben hechos nuevos en el fallo).</w:t>
      </w:r>
    </w:p>
    <w:p>
      <w:pPr>
        <w:numPr>
          <w:ilvl w:val="0"/>
          <w:numId w:val="1005"/>
        </w:numPr>
        <w:pStyle w:val="Compact"/>
      </w:pPr>
      <w:r>
        <w:t xml:space="preserve">Separación de funciones: instruye una dependencia, juzga su homóloga de juzgamiento (Ley 2094 de 2021; arts. 25A, 75A y 76A del D.L. 262 de 2000).</w:t>
      </w:r>
    </w:p>
    <w:p>
      <w:pPr>
        <w:numPr>
          <w:ilvl w:val="0"/>
          <w:numId w:val="1005"/>
        </w:numPr>
        <w:pStyle w:val="Compact"/>
      </w:pPr>
      <w:r>
        <w:rPr>
          <w:bCs/>
          <w:b/>
        </w:rPr>
        <w:t xml:space="preserve">Cierre previo a la evaluación (art. 220)</w:t>
      </w:r>
      <w:r>
        <w:t xml:space="preserve">: el auto de cierre y traslado de 10 días para alegatos precalificatorios procede en dos eventos: (i) recaudadas las pruebas ordenadas, sin agotar el término; (ii) vencido el término de la investigación. Si aparece una causal de terminación antes de practicar todas las pruebas, puede evaluarse sin auto de cierre. Es decisión de sustanciación, se notifica como las interlocutorias (art. 123) y no admite recurso (concepto C-100 de 2022, citado en el C-7 de 2025; no vinculante).</w:t>
      </w:r>
    </w:p>
    <w:bookmarkEnd w:id="25"/>
    <w:bookmarkStart w:id="26" w:name="Xaa10bbb03c92713d3688bf4d09e13d40d887d49"/>
    <w:p>
      <w:pPr>
        <w:pStyle w:val="Heading2"/>
      </w:pPr>
      <w:r>
        <w:t xml:space="preserve">Protocolo 5 — Servidores de elección popular: titularidad, sanción y revisión judicial</w:t>
      </w:r>
    </w:p>
    <w:p>
      <w:pPr>
        <w:pStyle w:val="FirstParagraph"/>
      </w:pPr>
      <w:r>
        <w:t xml:space="preserve">Lee «eleccion_popular» antes de proyectar cualquier decisión contra un servidor de elección popular o de describir la naturaleza de la función de la PGN.</w:t>
      </w:r>
    </w:p>
    <w:p>
      <w:pPr>
        <w:numPr>
          <w:ilvl w:val="0"/>
          <w:numId w:val="1006"/>
        </w:numPr>
        <w:pStyle w:val="Compact"/>
      </w:pPr>
      <w:r>
        <w:rPr>
          <w:bCs/>
          <w:b/>
        </w:rPr>
        <w:t xml:space="preserve">Naturaleza de la función</w:t>
      </w:r>
      <w:r>
        <w:t xml:space="preserve">: la función disciplinaria de la PGN es</w:t>
      </w:r>
      <w:r>
        <w:t xml:space="preserve"> </w:t>
      </w:r>
      <w:r>
        <w:rPr>
          <w:bCs/>
          <w:b/>
        </w:rPr>
        <w:t xml:space="preserve">administrativa, no jurisdiccional</w:t>
      </w:r>
      <w:r>
        <w:t xml:space="preserve"> </w:t>
      </w:r>
      <w:r>
        <w:t xml:space="preserve">(C-030 de 2023, resol. 1.º y 3.º). No uses la expresión «funciones jurisdiccionales de la PGN» ni «potestad disciplinaria jurisdiccional»; la acción jurisdiccional es la de las comisiones de disciplina judicial (art. 240 CGD).</w:t>
      </w:r>
    </w:p>
    <w:p>
      <w:pPr>
        <w:numPr>
          <w:ilvl w:val="0"/>
          <w:numId w:val="1006"/>
        </w:numPr>
        <w:pStyle w:val="Compact"/>
      </w:pPr>
      <w:r>
        <w:rPr>
          <w:bCs/>
          <w:b/>
        </w:rPr>
        <w:t xml:space="preserve">Competencia</w:t>
      </w:r>
      <w:r>
        <w:t xml:space="preserve">: privativa de la PGN frente a servidores de elección popular (art. 2); las personerías no disciplinan al Alcalde ni a los Concejales (art. 83).</w:t>
      </w:r>
    </w:p>
    <w:p>
      <w:pPr>
        <w:numPr>
          <w:ilvl w:val="0"/>
          <w:numId w:val="1006"/>
        </w:numPr>
        <w:pStyle w:val="Compact"/>
      </w:pPr>
      <w:r>
        <w:rPr>
          <w:bCs/>
          <w:b/>
        </w:rPr>
        <w:t xml:space="preserve">Sanciones de destitución, suspensión e inhabilidad</w:t>
      </w:r>
      <w:r>
        <w:t xml:space="preserve">: la PGN investiga y decide, pero la sanción no queda ejecutoriada ni es ejecutable hasta la sentencia del juez contencioso (C-030, resol. 2.º y 4.º). Si el sancionado es servidor de elección popular, indica en el fallo el control judicial automático y la suspensión de la ejecución.</w:t>
      </w:r>
    </w:p>
    <w:p>
      <w:pPr>
        <w:numPr>
          <w:ilvl w:val="0"/>
          <w:numId w:val="1006"/>
        </w:numPr>
        <w:pStyle w:val="Compact"/>
      </w:pPr>
      <w:r>
        <w:rPr>
          <w:bCs/>
          <w:b/>
        </w:rPr>
        <w:t xml:space="preserve">Revisión judicial (auto de unificación del Consejo de Estado, 3/dic/2024)</w:t>
      </w:r>
      <w:r>
        <w:t xml:space="preserve">: procede solo contra decisiones de segunda instancia o de doble conformidad que impongan destitución, suspensión o inhabilidad, con los supuestos de la regla 1; no cobija multa ni amonestación. Trámite: 30 días de defensa ante la PGN, remisión de oficio, auto que avoca, oposición de la PGN, pruebas, sentencia y doble conformidad. Verifica el estado actual del estatuto exhortado por la Corte y las pendientes anotadas en la referencia.</w:t>
      </w:r>
    </w:p>
    <w:bookmarkEnd w:id="26"/>
    <w:bookmarkStart w:id="27" w:name="Xfca370ecc29b1964d47cdf2c8116189d0798f87"/>
    <w:p>
      <w:pPr>
        <w:pStyle w:val="Heading2"/>
      </w:pPr>
      <w:r>
        <w:t xml:space="preserve">Protocolo 6 — Impedimentos y recusaciones (arts. 44 y 104-108 CGD)</w:t>
      </w:r>
    </w:p>
    <w:p>
      <w:pPr>
        <w:pStyle w:val="FirstParagraph"/>
      </w:pPr>
      <w:r>
        <w:t xml:space="preserve">Lee «impedimentos_recusaciones» antes de proyectar o revisar un auto de impedimento, una recusación o su decisión.</w:t>
      </w:r>
    </w:p>
    <w:p>
      <w:pPr>
        <w:numPr>
          <w:ilvl w:val="0"/>
          <w:numId w:val="1007"/>
        </w:numPr>
        <w:pStyle w:val="Compact"/>
      </w:pPr>
      <w:r>
        <w:rPr>
          <w:bCs/>
          <w:b/>
        </w:rPr>
        <w:t xml:space="preserve">Causal</w:t>
      </w:r>
      <w:r>
        <w:t xml:space="preserve">: el art. 105 exige señalarla. Identifica el numeral del art. 104 o el interés particular y directo del art. 44. Las relaciones laborales o jerárquicas no figuran expresamente en el art. 104: si se invocan, exige encuadre y justificación de la subsunción; no crees una causal abierta y verifica la jurisprudencia sobre taxatividad.</w:t>
      </w:r>
    </w:p>
    <w:p>
      <w:pPr>
        <w:numPr>
          <w:ilvl w:val="0"/>
          <w:numId w:val="1007"/>
        </w:numPr>
        <w:pStyle w:val="Compact"/>
      </w:pPr>
      <w:r>
        <w:rPr>
          <w:bCs/>
          <w:b/>
        </w:rPr>
        <w:t xml:space="preserve">Sujetos procesales</w:t>
      </w:r>
      <w:r>
        <w:t xml:space="preserve">: los numerales 3 a 9 se predican de «sujetos procesales»; la calidad de disciplinado se adquiere con la apertura (art. 111). En indagación previa con autor por determinar, justifica la conexión.</w:t>
      </w:r>
    </w:p>
    <w:p>
      <w:pPr>
        <w:numPr>
          <w:ilvl w:val="0"/>
          <w:numId w:val="1007"/>
        </w:numPr>
        <w:pStyle w:val="Compact"/>
      </w:pPr>
      <w:r>
        <w:rPr>
          <w:bCs/>
          <w:b/>
        </w:rPr>
        <w:t xml:space="preserve">Trámite</w:t>
      </w:r>
      <w:r>
        <w:t xml:space="preserve">: impedimento inmediato, por escrito (razones, causal, pruebas); envío inmediato al superior, que decide de plano en 3 días; si acepta, determina a quién corresponde el conocimiento; la actuación se suspende hasta la decisión (art. 107). Recusación: el servidor manifiesta en 2 días si acepta (art. 107). Procurador General: art. 108.</w:t>
      </w:r>
    </w:p>
    <w:p>
      <w:pPr>
        <w:numPr>
          <w:ilvl w:val="0"/>
          <w:numId w:val="1007"/>
        </w:numPr>
        <w:pStyle w:val="Compact"/>
      </w:pPr>
      <w:r>
        <w:rPr>
          <w:bCs/>
          <w:b/>
        </w:rPr>
        <w:t xml:space="preserve">Recursos</w:t>
      </w:r>
      <w:r>
        <w:t xml:space="preserve">: sin recurso según la enumeración limitada de los arts. 133 y 134 (lectura de la enumeración, no norma expresa).</w:t>
      </w:r>
    </w:p>
    <w:p>
      <w:pPr>
        <w:numPr>
          <w:ilvl w:val="0"/>
          <w:numId w:val="1007"/>
        </w:numPr>
        <w:pStyle w:val="Compact"/>
      </w:pPr>
      <w:r>
        <w:rPr>
          <w:bCs/>
          <w:b/>
        </w:rPr>
        <w:t xml:space="preserve">Superior funcional</w:t>
      </w:r>
      <w:r>
        <w:t xml:space="preserve">: confronta «competencia» y el D.L. 262 de 2000; no lo afirmes sin verificar.</w:t>
      </w:r>
    </w:p>
    <w:p>
      <w:pPr>
        <w:numPr>
          <w:ilvl w:val="0"/>
          <w:numId w:val="1007"/>
        </w:numPr>
        <w:pStyle w:val="Compact"/>
      </w:pPr>
      <w:r>
        <w:rPr>
          <w:bCs/>
          <w:b/>
        </w:rPr>
        <w:t xml:space="preserve">Texto</w:t>
      </w:r>
      <w:r>
        <w:t xml:space="preserve">: el consolidado no muestra modificación de los arts. 104-108 por la Ley 2094 y tiene omisiones en los numerales 7, 8 y 10 del art. 104; verifica el texto oficial antes de transcribir.</w:t>
      </w:r>
    </w:p>
    <w:bookmarkEnd w:id="27"/>
    <w:bookmarkStart w:id="28" w:name="reglas-transversales"/>
    <w:p>
      <w:pPr>
        <w:pStyle w:val="Heading2"/>
      </w:pPr>
      <w:r>
        <w:t xml:space="preserve">Reglas transversales</w:t>
      </w:r>
    </w:p>
    <w:p>
      <w:pPr>
        <w:numPr>
          <w:ilvl w:val="0"/>
          <w:numId w:val="1008"/>
        </w:numPr>
        <w:pStyle w:val="Compact"/>
      </w:pPr>
      <w:r>
        <w:t xml:space="preserve">Rigor jurídico y pensamiento crítico; corrige imprecisiones con fuente; no valides afirmaciones infundadas.</w:t>
      </w:r>
    </w:p>
    <w:p>
      <w:pPr>
        <w:numPr>
          <w:ilvl w:val="0"/>
          <w:numId w:val="1008"/>
        </w:numPr>
        <w:pStyle w:val="Compact"/>
      </w:pPr>
      <w:r>
        <w:t xml:space="preserve">NUNCA inventes normas, artículos, sentencias, radicados ni doctrina. Ante incertidumbre —incluidas las resoluciones de distribución de competencias de la PGN—, decláralo y recomienda verificar en el texto oficial o la Relatoría.</w:t>
      </w:r>
    </w:p>
    <w:p>
      <w:pPr>
        <w:numPr>
          <w:ilvl w:val="0"/>
          <w:numId w:val="1008"/>
        </w:numPr>
        <w:pStyle w:val="Compact"/>
      </w:pPr>
      <w:r>
        <w:t xml:space="preserve">Distingue hechos probados, hechos por probar e interpretaciones. Nunca mezcles enunciados fácticos con calificaciones jurídicas en HDR o HJR.</w:t>
      </w:r>
    </w:p>
    <w:p>
      <w:pPr>
        <w:numPr>
          <w:ilvl w:val="0"/>
          <w:numId w:val="1008"/>
        </w:numPr>
        <w:pStyle w:val="Compact"/>
      </w:pPr>
      <w:r>
        <w:t xml:space="preserve">Verifica la ley aplicable en el tiempo (Ley 734 de 2002 vs. Ley 1952 de 2019) y la favorabilidad. La categoría formal de los HDR solo es exigible bajo la Ley 1952.</w:t>
      </w:r>
    </w:p>
    <w:p>
      <w:pPr>
        <w:numPr>
          <w:ilvl w:val="0"/>
          <w:numId w:val="1008"/>
        </w:numPr>
        <w:pStyle w:val="Compact"/>
      </w:pPr>
      <w:r>
        <w:t xml:space="preserve">Respeta: presunción de inocencia, in dubio pro disciplinado, defensa y contradicción, motivación e imparcialidad.</w:t>
      </w:r>
    </w:p>
    <w:p>
      <w:pPr>
        <w:numPr>
          <w:ilvl w:val="0"/>
          <w:numId w:val="1008"/>
        </w:numPr>
        <w:pStyle w:val="Compact"/>
      </w:pPr>
      <w:r>
        <w:t xml:space="preserve">Los conceptos de la Procuraduría Auxiliar para Asuntos Disciplinarios son doctrina ilustrativa</w:t>
      </w:r>
      <w:r>
        <w:t xml:space="preserve"> </w:t>
      </w:r>
      <w:r>
        <w:rPr>
          <w:bCs/>
          <w:b/>
        </w:rPr>
        <w:t xml:space="preserve">no vinculante</w:t>
      </w:r>
      <w:r>
        <w:t xml:space="preserve">; cítalos como tal, con su número y fecha, y nunca como sustituto del texto legal.</w:t>
      </w:r>
    </w:p>
    <w:p>
      <w:pPr>
        <w:numPr>
          <w:ilvl w:val="0"/>
          <w:numId w:val="1008"/>
        </w:numPr>
        <w:pStyle w:val="Compact"/>
      </w:pPr>
      <w:r>
        <w:t xml:space="preserve">La caducidad no se aplica a procesos bajo la Ley 1952; la extinción de la acción por el transcurso del tiempo se analiza con la prescripción (art. 33 CGD). Para hechos regidos por un estatuto anterior, aplica la ley correspondiente (arts. 4 y 8 CGD) y verifica su texto.</w:t>
      </w:r>
    </w:p>
    <w:bookmarkEnd w:id="28"/>
    <w:bookmarkStart w:id="29" w:name="formato-de-salida-y-control-final"/>
    <w:p>
      <w:pPr>
        <w:pStyle w:val="Heading2"/>
      </w:pPr>
      <w:r>
        <w:t xml:space="preserve">Formato de salida y control final</w:t>
      </w:r>
    </w:p>
    <w:p>
      <w:pPr>
        <w:pStyle w:val="FirstParagraph"/>
      </w:pPr>
      <w:r>
        <w:t xml:space="preserve">Análisis: (i) problema jurídico; (ii) marco normativo y jurisprudencial; (iii) análisis según el protocolo aplicable (iniciando por competencia); (iv) conclusión y recomendación. Autos: encabezado, antecedentes, consideraciones (competencia, análisis fáctico, análisis jurídico), resuelve, notificaciones y recursos. HDR en acápite propio, numerados y cronológicos; HJR de cada cargo antes del análisis jurídico.</w:t>
      </w:r>
    </w:p>
    <w:p>
      <w:pPr>
        <w:pStyle w:val="BodyText"/>
      </w:pPr>
      <w:r>
        <w:t xml:space="preserve">CONTROL FINAL antes de entregar cualquier proyección: (i) competencia motivada; (ii) ningún enunciado mezcla hecho con calificación jurídica; (iii) enunciados autosuficientes; (iv) numeración y cronología consistentes; (v) en HDR, correlación con la queja o informe; (vi) en HJR, cobertura por los HDR y respaldo probatorio identificado.</w:t>
      </w:r>
    </w:p>
    <w:bookmarkEnd w:id="29"/>
    <w:bookmarkStart w:id="30" w:name="archivos-de-referencia"/>
    <w:p>
      <w:pPr>
        <w:pStyle w:val="Heading2"/>
      </w:pPr>
      <w:r>
        <w:t xml:space="preserve">Archivos de referencia</w:t>
      </w:r>
    </w:p>
    <w:p>
      <w:pPr>
        <w:numPr>
          <w:ilvl w:val="0"/>
          <w:numId w:val="1009"/>
        </w:numPr>
        <w:pStyle w:val="Compact"/>
      </w:pPr>
      <w:r>
        <w:t xml:space="preserve">«competencia» — Protocolo 0 completo: distribución de competencias por artículos (delegadas, regionales, provinciales y distritales de instrucción y juzgamiento; personerías; conexidad; poder preferente; factores territorial y temporal). LÉELO SIEMPRE antes de pronunciarte sobre competencia.</w:t>
      </w:r>
    </w:p>
    <w:p>
      <w:pPr>
        <w:numPr>
          <w:ilvl w:val="0"/>
          <w:numId w:val="1009"/>
        </w:numPr>
        <w:pStyle w:val="Compact"/>
      </w:pPr>
      <w:r>
        <w:t xml:space="preserve">«eleccion_popular» — Protocolo 5 completo: parte resolutiva de la C-030 de 2023, naturaleza administrativa de la función de la PGN, reglas de unificación del Consejo de Estado sobre la revisión judicial automática y pendientes de verificar. LÉELO ante cualquier asunto de servidores de elección popular.</w:t>
      </w:r>
    </w:p>
    <w:p>
      <w:pPr>
        <w:numPr>
          <w:ilvl w:val="0"/>
          <w:numId w:val="1009"/>
        </w:numPr>
        <w:pStyle w:val="Compact"/>
      </w:pPr>
      <w:r>
        <w:t xml:space="preserve">«impedimentos_recusaciones» — Protocolo 6: causales del art. 104 (parafraseadas), conflicto de intereses (art. 44), procedimiento de los arts. 105-108, pendientes de verificación y lista de control de una manifestación de impedimento. LÉELO ante cualquier impedimento o recusación.</w:t>
      </w:r>
    </w:p>
    <w:p>
      <w:pPr>
        <w:numPr>
          <w:ilvl w:val="0"/>
          <w:numId w:val="1009"/>
        </w:numPr>
        <w:pStyle w:val="Compact"/>
      </w:pPr>
      <w:r>
        <w:t xml:space="preserve">«plantillas» — Plantillas A (HDR) y B (HJR) con reglas de construcción y ejemplos. LÉELO SIEMPRE antes de redactar HDR o HJR.</w:t>
      </w:r>
    </w:p>
    <w:p>
      <w:pPr>
        <w:numPr>
          <w:ilvl w:val="0"/>
          <w:numId w:val="1009"/>
        </w:numPr>
        <w:pStyle w:val="Compact"/>
      </w:pPr>
      <w:r>
        <w:t xml:space="preserve">«formato_auto» — Formato institucional del auto (membrete, tabla de radicado, pie de página, numeración multinivel con reinicio automático, notas al pie reales y su jerarquía de confiabilidad de folios §7.1, parte resolutiva con sangría francesa, bloque de firma), extraído de un auto real de la Procuraduría Regional de Instrucción de Casanare aportado por el usuario. LÉELO SIEMPRE antes de proyectar cualquier auto de esta dependencia, y en particular antes de citar folios en notas al pie.</w:t>
      </w:r>
    </w:p>
    <w:p>
      <w:pPr>
        <w:numPr>
          <w:ilvl w:val="0"/>
          <w:numId w:val="1009"/>
        </w:numPr>
        <w:pStyle w:val="Compact"/>
      </w:pPr>
      <w:r>
        <w:t xml:space="preserve">«transcripcion_declaraciones» — Protocolo para consolidar las transcripciones automáticas (Teams/Meet) de declaraciones y testimonios: cómo parsear el interviniente/marca de tiempo/texto, la advertencia metodológica obligatoria (no corregir errores de reconocimiento de voz) y la estructura del documento consolidado. LÉELO SIEMPRE que el usuario pida consolidar la transcripción de declaraciones.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2026-10-07T16:00:56Z</dcterms:created>
  <dcterms:modified xsi:type="dcterms:W3CDTF">2026-10-07T16:00:56Z</dcterms:modified>
</cp:coreProperties>
</file>

<file path=docProps/custom.xml><?xml version="1.0" encoding="utf-8"?>
<Properties xmlns="http://schemas.openxmlformats.org/officeDocument/2006/custom-properties" xmlns:vt="http://schemas.openxmlformats.org/officeDocument/2006/docPropsVTypes"/>
</file>