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0b095fc3d50591866717a010275cd2f01a52d0"/>
    <w:p>
      <w:pPr>
        <w:pStyle w:val="Heading1"/>
      </w:pPr>
      <w:r>
        <w:t xml:space="preserve">Transcripción de declaraciones juramentadas (.docx) — anexo de trabajo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no uses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docx-js</w:t>
      </w:r>
      <w:r>
        <w:t xml:space="preserve">. Consolida las declaraciones como texto en la conversación, conservando la estructura (intervinientes, marcas de tiempo, texto literal) y la advertencia metodológica.</w:t>
      </w:r>
    </w:p>
    <w:p>
      <w:pPr>
        <w:pStyle w:val="FirstParagraph"/>
      </w:pPr>
      <w:r>
        <w:t xml:space="preserve">Cuando el expediente incluye declaraciones o testimonios practicados por videoconferencia (Microsoft Teams, Google Meet), el despacho suele conservarlos como archivos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con la transcripción automática generada por la propia herramienta durante la diligencia. Cuando el usuario pida</w:t>
      </w:r>
      <w:r>
        <w:t xml:space="preserve"> </w:t>
      </w:r>
      <w:r>
        <w:t xml:space="preserve">“</w:t>
      </w:r>
      <w:r>
        <w:t xml:space="preserve">la transcripción de las declaraciones</w:t>
      </w:r>
      <w:r>
        <w:t xml:space="preserve">”</w:t>
      </w:r>
      <w:r>
        <w:t xml:space="preserve"> </w:t>
      </w:r>
      <w:r>
        <w:t xml:space="preserve">(o un archivo que consolide varias), sigue este protocolo en vez de copiar el archivo crudo tal cual — el original trae ruido propio del formato de exportación (identificadores numéricos, saltos de línea internos) que conviene depurar sin alterar el contenido dicho por los intervinientes.</w:t>
      </w:r>
    </w:p>
    <w:p>
      <w:pPr>
        <w:pStyle w:val="BodyText"/>
      </w:pPr>
      <w:r>
        <w:t xml:space="preserve">Para la mecánica de generación en sí (docx-js, verificación por renderizado) sigue siempre la skill</w:t>
      </w:r>
      <w:r>
        <w:t xml:space="preserve"> </w:t>
      </w:r>
      <w:r>
        <w:rPr>
          <w:rStyle w:val="VerbatimChar"/>
        </w:rPr>
        <w:t xml:space="preserve">docx</w:t>
      </w:r>
      <w:r>
        <w:t xml:space="preserve">. El script</w:t>
      </w:r>
      <w:r>
        <w:t xml:space="preserve"> </w:t>
      </w:r>
      <w:r>
        <w:rPr>
          <w:rStyle w:val="VerbatimChar"/>
        </w:rPr>
        <w:t xml:space="preserve">scripts/plantilla_transcripcion.js</w:t>
      </w:r>
      <w:r>
        <w:t xml:space="preserve"> </w:t>
      </w:r>
      <w:r>
        <w:t xml:space="preserve">(en este mismo skill) implementa ya el parseo y el documento base — pártelo como base en vez de reconstruirlo.</w:t>
      </w:r>
    </w:p>
    <w:bookmarkStart w:id="20" w:name="estructura-del-archivo-fuente"/>
    <w:p>
      <w:pPr>
        <w:pStyle w:val="Heading2"/>
      </w:pPr>
      <w:r>
        <w:t xml:space="preserve">1. Estructura del archivo fuente</w:t>
      </w:r>
    </w:p>
    <w:p>
      <w:pPr>
        <w:pStyle w:val="FirstParagraph"/>
      </w:pPr>
      <w:r>
        <w:t xml:space="preserve">Cada declaración exportada trae, por lo general:</w:t>
      </w:r>
    </w:p>
    <w:p>
      <w:pPr>
        <w:numPr>
          <w:ilvl w:val="0"/>
          <w:numId w:val="1001"/>
        </w:numPr>
        <w:pStyle w:val="Compact"/>
      </w:pPr>
      <w:r>
        <w:t xml:space="preserve">Un primer párrafo con el título/asunto de la reunión, uno con la fecha y hora, y uno con la duración total.</w:t>
      </w:r>
    </w:p>
    <w:p>
      <w:pPr>
        <w:numPr>
          <w:ilvl w:val="0"/>
          <w:numId w:val="1001"/>
        </w:numPr>
        <w:pStyle w:val="Compact"/>
      </w:pPr>
      <w:r>
        <w:t xml:space="preserve">Un párrafo de sistema:</w:t>
      </w:r>
      <w:r>
        <w:t xml:space="preserve"> </w:t>
      </w:r>
      <w:r>
        <w:rPr>
          <w:rStyle w:val="VerbatimChar"/>
        </w:rPr>
        <w:t xml:space="preserve">"&lt;Nombre&gt; ha iniciado la transcripción"</w:t>
      </w:r>
      <w:r>
        <w:t xml:space="preserve"> </w:t>
      </w:r>
      <w:r>
        <w:t xml:space="preserve">(y, al final,</w:t>
      </w:r>
      <w:r>
        <w:t xml:space="preserve"> </w:t>
      </w:r>
      <w:r>
        <w:rPr>
          <w:rStyle w:val="VerbatimChar"/>
        </w:rPr>
        <w:t xml:space="preserve">"... ha detenido la transcripción"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Un párrafo por cada intervención (turno de palabra), con el patrón</w:t>
      </w:r>
      <w:r>
        <w:t xml:space="preserve"> </w:t>
      </w:r>
      <w:r>
        <w:rPr>
          <w:rStyle w:val="VerbatimChar"/>
        </w:rPr>
        <w:t xml:space="preserve">"&lt;Nombre del interviniente&gt;␣␣&lt;marca de tiempo&gt;\n&lt;texto dicho&gt;"</w:t>
      </w:r>
      <w:r>
        <w:t xml:space="preserve"> </w:t>
      </w:r>
      <w:r>
        <w:t xml:space="preserve">— la marca de tiempo es</w:t>
      </w:r>
      <w:r>
        <w:t xml:space="preserve"> </w:t>
      </w:r>
      <w:r>
        <w:rPr>
          <w:rStyle w:val="VerbatimChar"/>
        </w:rPr>
        <w:t xml:space="preserve">M:SS</w:t>
      </w:r>
      <w:r>
        <w:t xml:space="preserve"> </w:t>
      </w:r>
      <w:r>
        <w:t xml:space="preserve">o, pasada la primera hora de grabación,</w:t>
      </w:r>
      <w:r>
        <w:t xml:space="preserve"> </w:t>
      </w:r>
      <w:r>
        <w:rPr>
          <w:rStyle w:val="VerbatimChar"/>
        </w:rPr>
        <w:t xml:space="preserve">H:MM:SS</w:t>
      </w:r>
      <w:r>
        <w:t xml:space="preserve">. Dentro del mismo turno puede haber varios saltos de línea internos (</w:t>
      </w:r>
      <w:r>
        <w:rPr>
          <w:rStyle w:val="VerbatimChar"/>
        </w:rPr>
        <w:t xml:space="preserve">\n</w:t>
      </w:r>
      <w:r>
        <w:t xml:space="preserve">) que NO son turnos nuevos, solo fragmentación del motor de transcripción.</w:t>
      </w:r>
    </w:p>
    <w:p>
      <w:pPr>
        <w:pStyle w:val="FirstParagraph"/>
      </w:pPr>
      <w:r>
        <w:t xml:space="preserve">Extráelo con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Document(path).paragraphs</w:t>
      </w:r>
      <w:r>
        <w:t xml:space="preserve">), no con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ni extracción cruda de XML, para conservar los saltos de línea (</w:t>
      </w:r>
      <w:r>
        <w:rPr>
          <w:rStyle w:val="VerbatimChar"/>
        </w:rPr>
        <w:t xml:space="preserve">\n</w:t>
      </w:r>
      <w:r>
        <w:t xml:space="preserve">) que distinguen</w:t>
      </w:r>
      <w:r>
        <w:t xml:space="preserve"> </w:t>
      </w:r>
      <w:r>
        <w:t xml:space="preserve">“</w:t>
      </w:r>
      <w:r>
        <w:t xml:space="preserve">nueva oración del mismo turno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nuevo párrafo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Regex de parseo (Python) que separa interviniente, marca de tiempo y texto — soporta</w:t>
      </w:r>
      <w:r>
        <w:t xml:space="preserve"> </w:t>
      </w:r>
      <w:r>
        <w:rPr>
          <w:rStyle w:val="VerbatimChar"/>
        </w:rPr>
        <w:t xml:space="preserve">M:SS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H:MM:SS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SPEAKER_RE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r'^\n?(.*?)\s{2,}(\d{1,2}(?::\d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){1,2})\n(.*)$'</w:t>
      </w:r>
      <w:r>
        <w:rPr>
          <w:rStyle w:val="NormalTok"/>
        </w:rPr>
        <w:t xml:space="preserve">, re.DOTALL)</w:t>
      </w:r>
    </w:p>
    <w:p>
      <w:pPr>
        <w:pStyle w:val="FirstParagraph"/>
      </w:pPr>
      <w:r>
        <w:t xml:space="preserve">Si el párrafo no coincide con el patrón, es un mensaje de sistema (inicio/fin de transcripción) — trátalo como nota centrada, no como intervención.</w:t>
      </w:r>
    </w:p>
    <w:bookmarkEnd w:id="20"/>
    <w:bookmarkStart w:id="21" w:name="advertencia-metodológica-obligatoria"/>
    <w:p>
      <w:pPr>
        <w:pStyle w:val="Heading2"/>
      </w:pPr>
      <w:r>
        <w:t xml:space="preserve">2. Advertencia metodológica obligatoria</w:t>
      </w:r>
    </w:p>
    <w:p>
      <w:pPr>
        <w:pStyle w:val="FirstParagraph"/>
      </w:pPr>
      <w:r>
        <w:t xml:space="preserve">El texto es una transcripción</w:t>
      </w:r>
      <w:r>
        <w:t xml:space="preserve"> </w:t>
      </w:r>
      <w:r>
        <w:rPr>
          <w:bCs/>
          <w:b/>
        </w:rPr>
        <w:t xml:space="preserve">automática</w:t>
      </w:r>
      <w:r>
        <w:t xml:space="preserve"> </w:t>
      </w:r>
      <w:r>
        <w:t xml:space="preserve">de voz a texto, no editada por el despacho contra el audio/video. Es previsible que contenga errores de reconocimiento en nombres propios, cifras, radicados y términos técnicos (p. ej.,</w:t>
      </w:r>
      <w:r>
        <w:t xml:space="preserve"> </w:t>
      </w:r>
      <w:r>
        <w:t xml:space="preserve">“</w:t>
      </w:r>
      <w:r>
        <w:t xml:space="preserve">IUS-E-2021-726546</w:t>
      </w:r>
      <w:r>
        <w:t xml:space="preserve">”</w:t>
      </w:r>
      <w:r>
        <w:t xml:space="preserve"> </w:t>
      </w:r>
      <w:r>
        <w:t xml:space="preserve">transcrito como</w:t>
      </w:r>
      <w:r>
        <w:t xml:space="preserve"> </w:t>
      </w:r>
      <w:r>
        <w:t xml:space="preserve">“</w:t>
      </w:r>
      <w:r>
        <w:t xml:space="preserve">usted 2000 21726.546</w:t>
      </w:r>
      <w:r>
        <w:t xml:space="preserve">”</w:t>
      </w:r>
      <w:r>
        <w:t xml:space="preserve">, o</w:t>
      </w:r>
      <w:r>
        <w:t xml:space="preserve"> </w:t>
      </w:r>
      <w:r>
        <w:t xml:space="preserve">“</w:t>
      </w:r>
      <w:r>
        <w:t xml:space="preserve">Oswal Fontecha Pachón</w:t>
      </w:r>
      <w: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Owen fontecha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No corrijas estos errores por tu cuenta</w:t>
      </w:r>
      <w:r>
        <w:t xml:space="preserve"> </w:t>
      </w:r>
      <w:r>
        <w:t xml:space="preserve">— no tienes forma de verificar contra el audio qué se dijo realmente, y</w:t>
      </w:r>
      <w:r>
        <w:t xml:space="preserve"> </w:t>
      </w:r>
      <w:r>
        <w:t xml:space="preserve">“</w:t>
      </w:r>
      <w:r>
        <w:t xml:space="preserve">corregir</w:t>
      </w:r>
      <w:r>
        <w:t xml:space="preserve">”</w:t>
      </w:r>
      <w:r>
        <w:t xml:space="preserve"> </w:t>
      </w:r>
      <w:r>
        <w:t xml:space="preserve">es una forma de inventar contenido en una pieza de prueba. Reproduce el texto tal como viene (solo puedes: unir los saltos de línea internos de un mismo turno en un párrafo legible, y retirar los identificadores numéricos de exportación que no son texto hablado). Incluye siempre, al inicio del documento generado, un párrafo de advertencia que deje esto explícito y remita a la grabación como fuente para verificar cualquier pasaje antes de citarlo en una decisión de fondo.</w:t>
      </w:r>
    </w:p>
    <w:bookmarkEnd w:id="21"/>
    <w:bookmarkStart w:id="22" w:name="estructura-del-documento-consolidado"/>
    <w:p>
      <w:pPr>
        <w:pStyle w:val="Heading2"/>
      </w:pPr>
      <w:r>
        <w:t xml:space="preserve">3. Estructura del documento consolidado</w:t>
      </w:r>
    </w:p>
    <w:p>
      <w:pPr>
        <w:numPr>
          <w:ilvl w:val="0"/>
          <w:numId w:val="1002"/>
        </w:numPr>
        <w:pStyle w:val="Compact"/>
      </w:pPr>
      <w:r>
        <w:t xml:space="preserve">Portada: título, radicado, y la advertencia metodológica del punto 2 (usa el helper</w:t>
      </w:r>
      <w:r>
        <w:t xml:space="preserve"> </w:t>
      </w:r>
      <w:r>
        <w:rPr>
          <w:rStyle w:val="VerbatimChar"/>
        </w:rPr>
        <w:t xml:space="preserve">bracket()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plantilla_auto.js</w:t>
      </w:r>
      <w:r>
        <w:t xml:space="preserve"> </w:t>
      </w:r>
      <w:r>
        <w:t xml:space="preserve">o un estilo equivalente).</w:t>
      </w:r>
    </w:p>
    <w:p>
      <w:pPr>
        <w:numPr>
          <w:ilvl w:val="0"/>
          <w:numId w:val="1002"/>
        </w:numPr>
        <w:pStyle w:val="Compact"/>
      </w:pPr>
      <w:r>
        <w:t xml:space="preserve">Tabla de contenido: N.°, declarante, fecha, duración.</w:t>
      </w:r>
    </w:p>
    <w:p>
      <w:pPr>
        <w:numPr>
          <w:ilvl w:val="0"/>
          <w:numId w:val="1002"/>
        </w:numPr>
        <w:pStyle w:val="Compact"/>
      </w:pPr>
      <w:r>
        <w:t xml:space="preserve">Una sección por declarante (salto de página entre secciones), con: encabezado con nombre, línea de metadatos (fecha, duración, archivo fuente exacto) y el cuerpo completo de la transcripción.</w:t>
      </w:r>
    </w:p>
    <w:p>
      <w:pPr>
        <w:numPr>
          <w:ilvl w:val="0"/>
          <w:numId w:val="1002"/>
        </w:numPr>
        <w:pStyle w:val="Compact"/>
      </w:pPr>
      <w:r>
        <w:t xml:space="preserve">Cada turno de palabra: un párrafo con el nombre del interviniente en negrita seguido de la marca de tiempo entre corchetes en cursiva pequeña, y un párrafo siguiente (justificado, con sangría) con lo dicho.</w:t>
      </w:r>
    </w:p>
    <w:p>
      <w:pPr>
        <w:numPr>
          <w:ilvl w:val="0"/>
          <w:numId w:val="1002"/>
        </w:numPr>
        <w:pStyle w:val="Compact"/>
      </w:pPr>
      <w:r>
        <w:t xml:space="preserve">Reutiliza el membrete y pie de página institucionales de</w:t>
      </w:r>
      <w:r>
        <w:t xml:space="preserve"> </w:t>
      </w:r>
      <w:r>
        <w:rPr>
          <w:rStyle w:val="VerbatimChar"/>
        </w:rPr>
        <w:t xml:space="preserve">formato_auto.md</w:t>
      </w:r>
      <w:r>
        <w:t xml:space="preserve"> </w:t>
      </w:r>
      <w:r>
        <w:t xml:space="preserve">para que el anexo se vea consistente con el resto de piezas del expediente, pero identifica el documento como</w:t>
      </w:r>
      <w:r>
        <w:t xml:space="preserve"> </w:t>
      </w:r>
      <w:r>
        <w:rPr>
          <w:bCs/>
          <w:b/>
        </w:rPr>
        <w:t xml:space="preserve">anexo de trabajo</w:t>
      </w:r>
      <w:r>
        <w:t xml:space="preserve"> </w:t>
      </w:r>
      <w:r>
        <w:t xml:space="preserve">(no como providencia) en el pie de página.</w:t>
      </w:r>
    </w:p>
    <w:bookmarkEnd w:id="22"/>
    <w:bookmarkStart w:id="23" w:name="verificación-obligatoria"/>
    <w:p>
      <w:pPr>
        <w:pStyle w:val="Heading2"/>
      </w:pPr>
      <w:r>
        <w:t xml:space="preserve">4. Verificación obligatoria</w:t>
      </w:r>
    </w:p>
    <w:p>
      <w:pPr>
        <w:pStyle w:val="FirstParagraph"/>
      </w:pPr>
      <w:r>
        <w:t xml:space="preserve">Convierte a PDF y revisa que: (i) la advertencia metodológica aparece en la primera página; (ii) cada declarante inicia en página nueva con sus metadatos completos; (iii) no quedan turnos sin separar (un mismo bloque con dos nombres distintos indica que la regex no partió correctamente ese turno — revisa marcas de tiempo</w:t>
      </w:r>
      <w:r>
        <w:t xml:space="preserve"> </w:t>
      </w:r>
      <w:r>
        <w:rPr>
          <w:rStyle w:val="VerbatimChar"/>
        </w:rPr>
        <w:t xml:space="preserve">H:MM:SS</w:t>
      </w:r>
      <w:r>
        <w:t xml:space="preserve">); (iv) el conteo de turnos por declarante coincide con el número de párrafos</w:t>
      </w:r>
      <w:r>
        <w:t xml:space="preserve"> </w:t>
      </w:r>
      <w:r>
        <w:t xml:space="preserve">“</w:t>
      </w:r>
      <w:r>
        <w:t xml:space="preserve">con patrón</w:t>
      </w:r>
      <w:r>
        <w:t xml:space="preserve">”</w:t>
      </w:r>
      <w:r>
        <w:t xml:space="preserve"> </w:t>
      </w:r>
      <w:r>
        <w:t xml:space="preserve">detectados en el parseo (deja este número en el log del script para poder verificarlo).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2026-10-07T16:00:57Z</dcterms:created>
  <dcterms:modified xsi:type="dcterms:W3CDTF">2026-10-07T16:00:57Z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