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670C3A3E" w:rsidR="002612D5" w:rsidRPr="00591B72" w:rsidRDefault="00E76540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PRAPARE</w:t>
            </w:r>
            <w:r w:rsidR="00CE1CF3">
              <w:rPr>
                <w:sz w:val="20"/>
                <w:szCs w:val="20"/>
              </w:rPr>
              <w:t xml:space="preserve"> </w:t>
            </w: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75E99837" w:rsidR="002612D5" w:rsidRPr="00591B72" w:rsidRDefault="00E76540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EMPACT-Suicide Prevention Center</w:t>
            </w: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313FC7BA" w:rsidR="002612D5" w:rsidRPr="00591B72" w:rsidRDefault="00A842BE" w:rsidP="002612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Implementation of PRAPARE Screening Tool and documenting results in Medical Record</w:t>
            </w: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3E52C812" w:rsidR="00C00D1F" w:rsidRPr="00591B72" w:rsidRDefault="00D21EC8" w:rsidP="002612D5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Adult BH. </w:t>
            </w:r>
            <w:r w:rsidR="00C33DAB">
              <w:rPr>
                <w:i/>
                <w:sz w:val="20"/>
                <w:szCs w:val="20"/>
              </w:rPr>
              <w:t xml:space="preserve">1.C. </w:t>
            </w:r>
            <w:r w:rsidR="00C33DAB" w:rsidRPr="00C33DAB">
              <w:rPr>
                <w:i/>
                <w:sz w:val="20"/>
                <w:szCs w:val="20"/>
              </w:rPr>
              <w:t>The organization’s representative has submitted a TI online project representing at least one project for each area of concentration</w:t>
            </w:r>
            <w:r w:rsidR="00C33DAB">
              <w:rPr>
                <w:i/>
                <w:sz w:val="20"/>
                <w:szCs w:val="20"/>
              </w:rPr>
              <w:t xml:space="preserve">.  Adult BH. </w:t>
            </w:r>
            <w:r w:rsidR="00056986">
              <w:rPr>
                <w:i/>
                <w:sz w:val="20"/>
                <w:szCs w:val="20"/>
              </w:rPr>
              <w:t>3.</w:t>
            </w:r>
            <w:r w:rsidR="00056986" w:rsidRPr="00C33DAB">
              <w:rPr>
                <w:i/>
                <w:sz w:val="20"/>
                <w:szCs w:val="20"/>
              </w:rPr>
              <w:t xml:space="preserve"> Implement a process for screening for health-related social needs (HRSN)</w:t>
            </w:r>
            <w:r w:rsidR="00C33DAB" w:rsidRPr="00C33DAB">
              <w:rPr>
                <w:i/>
                <w:sz w:val="20"/>
                <w:szCs w:val="20"/>
              </w:rPr>
              <w:t>.</w:t>
            </w:r>
            <w:r w:rsidR="00C33DAB">
              <w:t xml:space="preserve"> </w:t>
            </w: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8E1D4C5" w14:textId="28F73A03" w:rsidR="00B527F5" w:rsidRPr="00AD5A38" w:rsidRDefault="00B527F5" w:rsidP="00B527F5">
            <w:pPr>
              <w:pStyle w:val="Heading3"/>
              <w:shd w:val="clear" w:color="auto" w:fill="FFFFFF"/>
              <w:spacing w:before="0" w:line="336" w:lineRule="atLeast"/>
              <w:textAlignment w:val="baseline"/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</w:pPr>
            <w:r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>Screening clients for Health-Related Social Needs</w:t>
            </w:r>
            <w:r w:rsidR="00511AE9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(HRSN)</w:t>
            </w:r>
            <w:r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using an evidenced based screening tool on an annual basis is</w:t>
            </w:r>
            <w:r w:rsidR="00511AE9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</w:t>
            </w:r>
            <w:r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needed to better understand and act on </w:t>
            </w:r>
            <w:r w:rsidR="00511AE9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>EMPACT-SPC’s clients</w:t>
            </w:r>
            <w:r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</w:t>
            </w:r>
            <w:r w:rsidR="00511AE9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>Social Determinants of Health (SDOH).</w:t>
            </w:r>
            <w:r w:rsidR="00D700B6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 EMPACT-SPC does not currently utilize a HRSN on a consistent basis.  The purpose of this project is to increase the percentage </w:t>
            </w:r>
            <w:r w:rsidR="00B5766A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>of completed</w:t>
            </w:r>
            <w:r w:rsidR="00D700B6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PRAPARE screenings to at least 85% of clients seen by EMPACT-SPC between October 1, </w:t>
            </w:r>
            <w:r w:rsidR="003E1CB6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>2024,</w:t>
            </w:r>
            <w:r w:rsidR="00D700B6" w:rsidRPr="00AD5A38">
              <w:rPr>
                <w:rFonts w:asciiTheme="minorHAnsi" w:eastAsiaTheme="minorEastAsia" w:hAnsiTheme="minorHAnsi" w:cstheme="minorBidi"/>
                <w:i/>
                <w:color w:val="auto"/>
                <w:sz w:val="20"/>
                <w:szCs w:val="20"/>
              </w:rPr>
              <w:t xml:space="preserve"> and March 31, 2025.</w:t>
            </w:r>
          </w:p>
          <w:p w14:paraId="277E96BD" w14:textId="77777777" w:rsidR="00676CD0" w:rsidRPr="00591B72" w:rsidRDefault="00676CD0" w:rsidP="00AF280C">
            <w:pPr>
              <w:rPr>
                <w:sz w:val="20"/>
                <w:szCs w:val="20"/>
              </w:rPr>
            </w:pP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64FBF4FA" w:rsidR="00D32EE4" w:rsidRPr="00591B72" w:rsidRDefault="00A70A50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EMPACT-SPC has incorporated the PRAPARE Screening Tool into its Electronic Health Record (EHR), however utilization of the screening tool falls well below the 85% threshold EMPACT-SPC is trying to achieve. Many EMPACT-SPC clients who qualify for the screening tool are not being screened for SDOH utilizing the </w:t>
            </w:r>
            <w:r w:rsidR="00BC1917">
              <w:rPr>
                <w:i/>
                <w:sz w:val="20"/>
                <w:szCs w:val="20"/>
              </w:rPr>
              <w:t>evidence-based</w:t>
            </w:r>
            <w:r>
              <w:rPr>
                <w:i/>
                <w:sz w:val="20"/>
                <w:szCs w:val="20"/>
              </w:rPr>
              <w:t xml:space="preserve"> tool</w:t>
            </w:r>
            <w:r w:rsidR="00FA6D20">
              <w:rPr>
                <w:i/>
                <w:sz w:val="20"/>
                <w:szCs w:val="20"/>
              </w:rPr>
              <w:t>.</w:t>
            </w:r>
            <w:r w:rsidR="00BC1917">
              <w:rPr>
                <w:i/>
                <w:sz w:val="20"/>
                <w:szCs w:val="20"/>
              </w:rPr>
              <w:t xml:space="preserve">  These clients may not be properly screened for risk factors that could negatively affect their health and well-being.</w:t>
            </w:r>
            <w:r w:rsidR="001C0DDC">
              <w:rPr>
                <w:i/>
                <w:sz w:val="20"/>
                <w:szCs w:val="20"/>
              </w:rPr>
              <w:t xml:space="preserve">  Lack of training and staff awareness on the HRSN screening tool may be a contributing factor to under-utilization of the PRAPARE. </w:t>
            </w: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06E582FB" w:rsidR="00D32EE4" w:rsidRPr="00591B72" w:rsidRDefault="001822A0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Increase the number of screenings completed on an annual basis for new and existing clients.</w:t>
            </w: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6AECA48" w14:textId="4128D3E1" w:rsidR="00D32EE4" w:rsidRPr="00591B72" w:rsidRDefault="006340BF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The 85% screening rate utilizing the PRAPARE Tool will provide information on risk factors that need to be addressed</w:t>
            </w:r>
            <w:r w:rsidR="00C95B8E">
              <w:rPr>
                <w:i/>
                <w:sz w:val="20"/>
                <w:szCs w:val="20"/>
              </w:rPr>
              <w:t xml:space="preserve"> either internally or connecting the clients </w:t>
            </w:r>
            <w:r w:rsidR="00F03F33">
              <w:rPr>
                <w:i/>
                <w:sz w:val="20"/>
                <w:szCs w:val="20"/>
              </w:rPr>
              <w:t>to</w:t>
            </w:r>
            <w:r w:rsidR="00C95B8E">
              <w:rPr>
                <w:i/>
                <w:sz w:val="20"/>
                <w:szCs w:val="20"/>
              </w:rPr>
              <w:t xml:space="preserve"> external community resources.  Identifying and addressing the HRSN will improve the health and well-being of EMPACT-SPC clients</w:t>
            </w:r>
            <w:r w:rsidR="00AA2070">
              <w:rPr>
                <w:i/>
                <w:sz w:val="20"/>
                <w:szCs w:val="20"/>
              </w:rPr>
              <w:t xml:space="preserve"> and connect them to the necessary community resources</w:t>
            </w:r>
            <w:r w:rsidR="00634EE1">
              <w:rPr>
                <w:i/>
                <w:sz w:val="20"/>
                <w:szCs w:val="20"/>
              </w:rPr>
              <w:t>.</w:t>
            </w:r>
          </w:p>
          <w:p w14:paraId="5A9322EB" w14:textId="77777777" w:rsidR="00D32EE4" w:rsidRPr="00591B72" w:rsidRDefault="00D32EE4" w:rsidP="00A86518">
            <w:pPr>
              <w:rPr>
                <w:sz w:val="20"/>
                <w:szCs w:val="20"/>
              </w:rPr>
            </w:pPr>
          </w:p>
        </w:tc>
      </w:tr>
    </w:tbl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E32B44" w:rsidRPr="00591B72" w14:paraId="0A553E28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137F00FA" w14:textId="46ED3C2C" w:rsidR="00E32B44" w:rsidRPr="00591B72" w:rsidRDefault="004D4698" w:rsidP="00E32B4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Ensure PRAPARE Tool is fully operational in the Electronic Health Record (July 1, 2024)</w:t>
            </w:r>
          </w:p>
        </w:tc>
      </w:tr>
      <w:tr w:rsidR="00E32B44" w:rsidRPr="00591B72" w14:paraId="698574D1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4847B93" w14:textId="099DE598" w:rsidR="00E32B44" w:rsidRPr="004D4698" w:rsidRDefault="004D4698" w:rsidP="00E32B44">
            <w:pPr>
              <w:rPr>
                <w:i/>
                <w:sz w:val="20"/>
                <w:szCs w:val="20"/>
              </w:rPr>
            </w:pPr>
            <w:r w:rsidRPr="004D4698">
              <w:rPr>
                <w:i/>
                <w:sz w:val="20"/>
                <w:szCs w:val="20"/>
              </w:rPr>
              <w:t>Identify and train staff on purpose and utilization of the PRAPARE Tool (September 30, 2024)</w:t>
            </w:r>
          </w:p>
        </w:tc>
      </w:tr>
      <w:tr w:rsidR="00E32B44" w:rsidRPr="00591B72" w14:paraId="031FEDD9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7A394BDA" w14:textId="591F2DD2" w:rsidR="00E32B44" w:rsidRPr="004D4698" w:rsidRDefault="004D4698" w:rsidP="00E32B44">
            <w:pPr>
              <w:rPr>
                <w:i/>
                <w:sz w:val="20"/>
                <w:szCs w:val="20"/>
              </w:rPr>
            </w:pPr>
            <w:r w:rsidRPr="004D4698">
              <w:rPr>
                <w:i/>
                <w:sz w:val="20"/>
                <w:szCs w:val="20"/>
              </w:rPr>
              <w:t xml:space="preserve">Measure utilization rate of PRAPARE Tool per site (Monthly beginning </w:t>
            </w:r>
            <w:r w:rsidR="00113949">
              <w:rPr>
                <w:i/>
                <w:sz w:val="20"/>
                <w:szCs w:val="20"/>
              </w:rPr>
              <w:t>November</w:t>
            </w:r>
            <w:r w:rsidRPr="004D4698">
              <w:rPr>
                <w:i/>
                <w:sz w:val="20"/>
                <w:szCs w:val="20"/>
              </w:rPr>
              <w:t xml:space="preserve"> 1, 2024)</w:t>
            </w:r>
          </w:p>
        </w:tc>
      </w:tr>
      <w:tr w:rsidR="00E32B44" w:rsidRPr="00591B72" w14:paraId="54FB69E3" w14:textId="77777777" w:rsidTr="00E32B44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7AF456D9" w14:textId="785A7706" w:rsidR="00E32B44" w:rsidRPr="00591B72" w:rsidRDefault="00E32B44" w:rsidP="00E32B4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4</w:t>
            </w:r>
          </w:p>
        </w:tc>
        <w:tc>
          <w:tcPr>
            <w:tcW w:w="8709" w:type="dxa"/>
            <w:shd w:val="clear" w:color="auto" w:fill="auto"/>
            <w:vAlign w:val="center"/>
          </w:tcPr>
          <w:p w14:paraId="0AB4CBCF" w14:textId="798A7AA3" w:rsidR="00E32B44" w:rsidRPr="00591B72" w:rsidRDefault="00E32B44" w:rsidP="00E32B44">
            <w:pPr>
              <w:rPr>
                <w:sz w:val="20"/>
                <w:szCs w:val="20"/>
              </w:rPr>
            </w:pP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60C41596" w:rsidR="00D32EE4" w:rsidRPr="003E2401" w:rsidRDefault="00E574FA" w:rsidP="00A8651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The main objective in the PRAPARE Implementation project is to utilize strategies to increase the usage of the HRSN Screening Tool </w:t>
            </w:r>
            <w:r w:rsidR="009A158E">
              <w:rPr>
                <w:i/>
                <w:sz w:val="20"/>
                <w:szCs w:val="20"/>
              </w:rPr>
              <w:t>to</w:t>
            </w:r>
            <w:r>
              <w:rPr>
                <w:i/>
                <w:sz w:val="20"/>
                <w:szCs w:val="20"/>
              </w:rPr>
              <w:t xml:space="preserve"> achieve a minimum of 85% utilization rate for EMPACT-SPC clients on an annual basis. 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3FD10CAE" w:rsidR="00D32EE4" w:rsidRPr="00591B72" w:rsidRDefault="0026257F" w:rsidP="00A86518">
            <w:pPr>
              <w:rPr>
                <w:sz w:val="20"/>
                <w:szCs w:val="20"/>
              </w:rPr>
            </w:pPr>
            <w:r w:rsidRPr="009A158E">
              <w:rPr>
                <w:i/>
                <w:sz w:val="20"/>
                <w:szCs w:val="20"/>
              </w:rPr>
              <w:t>EMPACT-SPC will not address any other activities outside the primary scope of this project.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4F7B9F7D" w:rsidR="00580A0F" w:rsidRPr="00591B72" w:rsidRDefault="007B6F58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Nadler-Population Health Administrator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2DD22771" w:rsidR="00580A0F" w:rsidRPr="00591B72" w:rsidRDefault="007B6F58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Swonder-Director of Clinical Services</w:t>
            </w: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4D14B0DF" w:rsidR="00580A0F" w:rsidRPr="00591B72" w:rsidRDefault="007B6F58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Sarah Swonder-Director of Clinical Services</w:t>
            </w: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2247F255" w:rsidR="00580A0F" w:rsidRPr="00591B72" w:rsidRDefault="007B6F58" w:rsidP="005525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Thelen-Director of QM</w:t>
            </w: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880712" w:rsidRPr="00591B72" w14:paraId="1974EA4D" w14:textId="77777777" w:rsidTr="0007737A">
        <w:tc>
          <w:tcPr>
            <w:tcW w:w="1250" w:type="pct"/>
            <w:vAlign w:val="center"/>
          </w:tcPr>
          <w:p w14:paraId="24BDBF58" w14:textId="0A8F7795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Lisa Brody-Doucet</w:t>
            </w:r>
          </w:p>
        </w:tc>
        <w:tc>
          <w:tcPr>
            <w:tcW w:w="1250" w:type="pct"/>
            <w:vAlign w:val="center"/>
          </w:tcPr>
          <w:p w14:paraId="1E626372" w14:textId="0DB73D64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 Director of Clinical Services</w:t>
            </w:r>
          </w:p>
        </w:tc>
        <w:tc>
          <w:tcPr>
            <w:tcW w:w="1249" w:type="pct"/>
            <w:vAlign w:val="center"/>
          </w:tcPr>
          <w:p w14:paraId="3F8DC30A" w14:textId="7CC7B662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Outpatient</w:t>
            </w:r>
          </w:p>
        </w:tc>
        <w:tc>
          <w:tcPr>
            <w:tcW w:w="1251" w:type="pct"/>
            <w:vAlign w:val="center"/>
          </w:tcPr>
          <w:p w14:paraId="3C801A12" w14:textId="73B9E599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EMPACT-SPC</w:t>
            </w:r>
          </w:p>
        </w:tc>
      </w:tr>
      <w:tr w:rsidR="00880712" w:rsidRPr="00591B72" w14:paraId="155AA5F5" w14:textId="77777777" w:rsidTr="0007737A">
        <w:tc>
          <w:tcPr>
            <w:tcW w:w="1250" w:type="pct"/>
            <w:vAlign w:val="center"/>
          </w:tcPr>
          <w:p w14:paraId="354D4392" w14:textId="50AFA390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Cecilia Cardona</w:t>
            </w:r>
          </w:p>
        </w:tc>
        <w:tc>
          <w:tcPr>
            <w:tcW w:w="1250" w:type="pct"/>
            <w:vAlign w:val="center"/>
          </w:tcPr>
          <w:p w14:paraId="70260955" w14:textId="764071F4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Associate Director of Clinical Services</w:t>
            </w:r>
          </w:p>
        </w:tc>
        <w:tc>
          <w:tcPr>
            <w:tcW w:w="1249" w:type="pct"/>
            <w:vAlign w:val="center"/>
          </w:tcPr>
          <w:p w14:paraId="7E410526" w14:textId="390A1E7F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Outpatient</w:t>
            </w:r>
          </w:p>
        </w:tc>
        <w:tc>
          <w:tcPr>
            <w:tcW w:w="1251" w:type="pct"/>
            <w:vAlign w:val="center"/>
          </w:tcPr>
          <w:p w14:paraId="1F6F8C00" w14:textId="58ED447F" w:rsidR="00880712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EMPACT-SPC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4AF05F86" w:rsidR="00880712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Samantha Gaskill</w:t>
            </w:r>
          </w:p>
        </w:tc>
        <w:tc>
          <w:tcPr>
            <w:tcW w:w="1250" w:type="pct"/>
            <w:vAlign w:val="center"/>
          </w:tcPr>
          <w:p w14:paraId="1E665CDD" w14:textId="1A37B4CB" w:rsidR="00880712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580555D0" w14:textId="220AA1EF" w:rsidR="00880712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5FB9E9FF" w14:textId="076EC8D6" w:rsidR="00880712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6EE18FFE" w14:textId="77777777" w:rsidTr="0007737A">
        <w:tc>
          <w:tcPr>
            <w:tcW w:w="1250" w:type="pct"/>
            <w:vAlign w:val="center"/>
          </w:tcPr>
          <w:p w14:paraId="54F1597F" w14:textId="7FC29511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Amy Coppinger</w:t>
            </w:r>
          </w:p>
        </w:tc>
        <w:tc>
          <w:tcPr>
            <w:tcW w:w="1250" w:type="pct"/>
            <w:vAlign w:val="center"/>
          </w:tcPr>
          <w:p w14:paraId="4A033D6B" w14:textId="7BD95EFE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79581B5E" w14:textId="5D1E3966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441EDBC3" w14:textId="6B8CD319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40BDCAF1" w14:textId="77777777" w:rsidTr="0007737A">
        <w:tc>
          <w:tcPr>
            <w:tcW w:w="1250" w:type="pct"/>
            <w:vAlign w:val="center"/>
          </w:tcPr>
          <w:p w14:paraId="6CE9A3BB" w14:textId="37AB5E94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Brittney Freeman</w:t>
            </w:r>
          </w:p>
        </w:tc>
        <w:tc>
          <w:tcPr>
            <w:tcW w:w="1250" w:type="pct"/>
            <w:vAlign w:val="center"/>
          </w:tcPr>
          <w:p w14:paraId="5A3B3950" w14:textId="148B4625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2D129FFC" w14:textId="3E0EA7D3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3E904BEE" w14:textId="53490DD6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61F99BE6" w14:textId="77777777" w:rsidTr="0007737A">
        <w:tc>
          <w:tcPr>
            <w:tcW w:w="1250" w:type="pct"/>
            <w:vAlign w:val="center"/>
          </w:tcPr>
          <w:p w14:paraId="5E99FBED" w14:textId="42924AC9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Laura Barnes</w:t>
            </w:r>
          </w:p>
        </w:tc>
        <w:tc>
          <w:tcPr>
            <w:tcW w:w="1250" w:type="pct"/>
            <w:vAlign w:val="center"/>
          </w:tcPr>
          <w:p w14:paraId="546292B5" w14:textId="34A4AFD2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64A2FAE6" w14:textId="2CF9E667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5B803EE4" w14:textId="0A08D277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66C82340" w14:textId="77777777" w:rsidTr="0007737A">
        <w:tc>
          <w:tcPr>
            <w:tcW w:w="1250" w:type="pct"/>
            <w:vAlign w:val="center"/>
          </w:tcPr>
          <w:p w14:paraId="0A536436" w14:textId="456A1A1F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Norah Mehta </w:t>
            </w:r>
          </w:p>
        </w:tc>
        <w:tc>
          <w:tcPr>
            <w:tcW w:w="1250" w:type="pct"/>
            <w:vAlign w:val="center"/>
          </w:tcPr>
          <w:p w14:paraId="3C382982" w14:textId="0F7ED8EE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519D3B6A" w14:textId="1054D0B2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17FD2D86" w14:textId="20D6F2EA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7FC8F78A" w14:textId="77777777" w:rsidTr="0007737A">
        <w:tc>
          <w:tcPr>
            <w:tcW w:w="1250" w:type="pct"/>
            <w:vAlign w:val="center"/>
          </w:tcPr>
          <w:p w14:paraId="255A055B" w14:textId="1AF8138E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 Trautner</w:t>
            </w:r>
          </w:p>
        </w:tc>
        <w:tc>
          <w:tcPr>
            <w:tcW w:w="1250" w:type="pct"/>
            <w:vAlign w:val="center"/>
          </w:tcPr>
          <w:p w14:paraId="098C4476" w14:textId="7131C1F6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652B1285" w14:textId="1CEAFB19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4072663D" w14:textId="7DAFA3F4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  <w:tr w:rsidR="00296251" w:rsidRPr="00591B72" w14:paraId="433937FD" w14:textId="77777777" w:rsidTr="0007737A">
        <w:tc>
          <w:tcPr>
            <w:tcW w:w="1250" w:type="pct"/>
            <w:vAlign w:val="center"/>
          </w:tcPr>
          <w:p w14:paraId="12D93865" w14:textId="3D62F637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Rachelle Calhoun</w:t>
            </w:r>
          </w:p>
        </w:tc>
        <w:tc>
          <w:tcPr>
            <w:tcW w:w="1250" w:type="pct"/>
            <w:vAlign w:val="center"/>
          </w:tcPr>
          <w:p w14:paraId="3255275A" w14:textId="5631B87B" w:rsidR="00296251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Manager</w:t>
            </w:r>
          </w:p>
        </w:tc>
        <w:tc>
          <w:tcPr>
            <w:tcW w:w="1249" w:type="pct"/>
            <w:vAlign w:val="center"/>
          </w:tcPr>
          <w:p w14:paraId="07D36511" w14:textId="4C7F35CD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Outpatient </w:t>
            </w:r>
          </w:p>
        </w:tc>
        <w:tc>
          <w:tcPr>
            <w:tcW w:w="1251" w:type="pct"/>
            <w:vAlign w:val="center"/>
          </w:tcPr>
          <w:p w14:paraId="53D8E796" w14:textId="473FE19F" w:rsidR="00296251" w:rsidRPr="00591B72" w:rsidRDefault="00296251" w:rsidP="002962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EMPACT-SPC</w:t>
            </w: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855"/>
        <w:gridCol w:w="4855"/>
      </w:tblGrid>
      <w:tr w:rsidR="00C4241F" w:rsidRPr="00591B72" w14:paraId="7728D778" w14:textId="77777777" w:rsidTr="0049271E">
        <w:tc>
          <w:tcPr>
            <w:tcW w:w="5000" w:type="pct"/>
            <w:gridSpan w:val="2"/>
            <w:shd w:val="clear" w:color="auto" w:fill="FFC627"/>
          </w:tcPr>
          <w:p w14:paraId="32DA2E24" w14:textId="2E1E2237" w:rsidR="00C4241F" w:rsidRPr="00591B72" w:rsidRDefault="00C4241F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</w:tr>
      <w:tr w:rsidR="00C4241F" w:rsidRPr="00591B72" w14:paraId="7ADE5C72" w14:textId="77777777" w:rsidTr="0049271E">
        <w:tc>
          <w:tcPr>
            <w:tcW w:w="2500" w:type="pct"/>
            <w:shd w:val="clear" w:color="auto" w:fill="FFC627"/>
            <w:vAlign w:val="center"/>
          </w:tcPr>
          <w:p w14:paraId="74DEFFDD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00" w:type="pct"/>
            <w:shd w:val="clear" w:color="auto" w:fill="FFC627"/>
            <w:vAlign w:val="center"/>
          </w:tcPr>
          <w:p w14:paraId="2A0AC96E" w14:textId="77777777" w:rsidR="00C4241F" w:rsidRPr="00591B72" w:rsidRDefault="00C4241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</w:tr>
      <w:tr w:rsidR="00C4241F" w:rsidRPr="00591B72" w14:paraId="2EFB0E11" w14:textId="77777777" w:rsidTr="009661D8">
        <w:tc>
          <w:tcPr>
            <w:tcW w:w="2500" w:type="pct"/>
            <w:vAlign w:val="center"/>
          </w:tcPr>
          <w:p w14:paraId="3F8D794D" w14:textId="7ABC8697" w:rsidR="00C4241F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Tara Devine</w:t>
            </w:r>
          </w:p>
        </w:tc>
        <w:tc>
          <w:tcPr>
            <w:tcW w:w="2500" w:type="pct"/>
            <w:vAlign w:val="center"/>
          </w:tcPr>
          <w:p w14:paraId="31734A6D" w14:textId="13624038" w:rsidR="00C4241F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SQL Database Administrator</w:t>
            </w:r>
          </w:p>
        </w:tc>
      </w:tr>
      <w:tr w:rsidR="00C4241F" w:rsidRPr="00591B72" w14:paraId="7199F9A9" w14:textId="77777777" w:rsidTr="009661D8">
        <w:tc>
          <w:tcPr>
            <w:tcW w:w="2500" w:type="pct"/>
            <w:vAlign w:val="center"/>
          </w:tcPr>
          <w:p w14:paraId="70576D2D" w14:textId="161B57E6" w:rsidR="00C4241F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Jason Schlosberg </w:t>
            </w:r>
          </w:p>
        </w:tc>
        <w:tc>
          <w:tcPr>
            <w:tcW w:w="2500" w:type="pct"/>
            <w:vAlign w:val="center"/>
          </w:tcPr>
          <w:p w14:paraId="650450BB" w14:textId="48FACB81" w:rsidR="00C4241F" w:rsidRPr="00591B72" w:rsidRDefault="00296251" w:rsidP="009661D8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Health Informatics and Technology Manager</w:t>
            </w:r>
          </w:p>
        </w:tc>
      </w:tr>
      <w:tr w:rsidR="00C4241F" w:rsidRPr="00591B72" w14:paraId="6D12B4F9" w14:textId="77777777" w:rsidTr="009661D8">
        <w:tc>
          <w:tcPr>
            <w:tcW w:w="2500" w:type="pct"/>
            <w:vAlign w:val="center"/>
          </w:tcPr>
          <w:p w14:paraId="3B0BBF88" w14:textId="008C2F0B" w:rsidR="00C4241F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Rachel Sartin</w:t>
            </w:r>
          </w:p>
        </w:tc>
        <w:tc>
          <w:tcPr>
            <w:tcW w:w="2500" w:type="pct"/>
            <w:vAlign w:val="center"/>
          </w:tcPr>
          <w:p w14:paraId="4CBF970D" w14:textId="440E5F0B" w:rsidR="00C4241F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Manager</w:t>
            </w:r>
          </w:p>
        </w:tc>
      </w:tr>
      <w:tr w:rsidR="00C4241F" w:rsidRPr="00591B72" w14:paraId="3481F595" w14:textId="77777777" w:rsidTr="009661D8">
        <w:tc>
          <w:tcPr>
            <w:tcW w:w="2500" w:type="pct"/>
            <w:vAlign w:val="center"/>
          </w:tcPr>
          <w:p w14:paraId="01B599D7" w14:textId="72BD2EBC" w:rsidR="00C4241F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Dustin Buschow</w:t>
            </w:r>
          </w:p>
        </w:tc>
        <w:tc>
          <w:tcPr>
            <w:tcW w:w="2500" w:type="pct"/>
            <w:vAlign w:val="center"/>
          </w:tcPr>
          <w:p w14:paraId="2EDB7771" w14:textId="028EA359" w:rsidR="00C4241F" w:rsidRPr="00591B72" w:rsidRDefault="00296251" w:rsidP="009661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Director of Information Technology</w:t>
            </w:r>
          </w:p>
        </w:tc>
      </w:tr>
      <w:tr w:rsidR="00C4241F" w:rsidRPr="00591B72" w14:paraId="1D2E94D6" w14:textId="77777777" w:rsidTr="009661D8">
        <w:tc>
          <w:tcPr>
            <w:tcW w:w="2500" w:type="pct"/>
            <w:vAlign w:val="center"/>
          </w:tcPr>
          <w:p w14:paraId="78B72333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  <w:vAlign w:val="center"/>
          </w:tcPr>
          <w:p w14:paraId="24CE6612" w14:textId="77777777" w:rsidR="00C4241F" w:rsidRPr="00591B72" w:rsidRDefault="00C4241F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lastRenderedPageBreak/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848C7" w14:textId="77777777" w:rsidR="00063730" w:rsidRDefault="00063730" w:rsidP="008D3226">
      <w:pPr>
        <w:spacing w:after="0" w:line="240" w:lineRule="auto"/>
      </w:pPr>
      <w:r>
        <w:separator/>
      </w:r>
    </w:p>
  </w:endnote>
  <w:endnote w:type="continuationSeparator" w:id="0">
    <w:p w14:paraId="32BC9B33" w14:textId="77777777" w:rsidR="00063730" w:rsidRDefault="00063730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9FF8C" w14:textId="77777777" w:rsidR="00063730" w:rsidRDefault="00063730" w:rsidP="008D3226">
      <w:pPr>
        <w:spacing w:after="0" w:line="240" w:lineRule="auto"/>
      </w:pPr>
      <w:r>
        <w:separator/>
      </w:r>
    </w:p>
  </w:footnote>
  <w:footnote w:type="continuationSeparator" w:id="0">
    <w:p w14:paraId="3DCD9548" w14:textId="77777777" w:rsidR="00063730" w:rsidRDefault="00063730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854913">
    <w:abstractNumId w:val="4"/>
  </w:num>
  <w:num w:numId="2" w16cid:durableId="1596597377">
    <w:abstractNumId w:val="5"/>
  </w:num>
  <w:num w:numId="3" w16cid:durableId="1432822983">
    <w:abstractNumId w:val="3"/>
  </w:num>
  <w:num w:numId="4" w16cid:durableId="1882354724">
    <w:abstractNumId w:val="2"/>
  </w:num>
  <w:num w:numId="5" w16cid:durableId="73164920">
    <w:abstractNumId w:val="0"/>
  </w:num>
  <w:num w:numId="6" w16cid:durableId="1547571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A0F"/>
    <w:rsid w:val="00032AFE"/>
    <w:rsid w:val="0005023F"/>
    <w:rsid w:val="00056986"/>
    <w:rsid w:val="00063730"/>
    <w:rsid w:val="00071209"/>
    <w:rsid w:val="0007737A"/>
    <w:rsid w:val="000A4A82"/>
    <w:rsid w:val="000F32CA"/>
    <w:rsid w:val="00113949"/>
    <w:rsid w:val="00114927"/>
    <w:rsid w:val="00127ACE"/>
    <w:rsid w:val="001472C1"/>
    <w:rsid w:val="001716FB"/>
    <w:rsid w:val="0017682C"/>
    <w:rsid w:val="001822A0"/>
    <w:rsid w:val="001B3B34"/>
    <w:rsid w:val="001B552F"/>
    <w:rsid w:val="001C0DDC"/>
    <w:rsid w:val="001D1553"/>
    <w:rsid w:val="001E304D"/>
    <w:rsid w:val="002264D3"/>
    <w:rsid w:val="002612D5"/>
    <w:rsid w:val="0026257F"/>
    <w:rsid w:val="00293DAA"/>
    <w:rsid w:val="00296251"/>
    <w:rsid w:val="002B2695"/>
    <w:rsid w:val="002F0442"/>
    <w:rsid w:val="00396BB1"/>
    <w:rsid w:val="003C18CF"/>
    <w:rsid w:val="003E1CB6"/>
    <w:rsid w:val="003E2401"/>
    <w:rsid w:val="003E52B4"/>
    <w:rsid w:val="003E6050"/>
    <w:rsid w:val="00424A3C"/>
    <w:rsid w:val="00474CD8"/>
    <w:rsid w:val="0049271E"/>
    <w:rsid w:val="004A27EB"/>
    <w:rsid w:val="004D4698"/>
    <w:rsid w:val="00502B84"/>
    <w:rsid w:val="00504076"/>
    <w:rsid w:val="00511AE9"/>
    <w:rsid w:val="00552555"/>
    <w:rsid w:val="005525AD"/>
    <w:rsid w:val="00580A0F"/>
    <w:rsid w:val="00591B72"/>
    <w:rsid w:val="00597D0F"/>
    <w:rsid w:val="005A53A2"/>
    <w:rsid w:val="005D4AB0"/>
    <w:rsid w:val="005E023B"/>
    <w:rsid w:val="005F7076"/>
    <w:rsid w:val="0061189F"/>
    <w:rsid w:val="006340BF"/>
    <w:rsid w:val="00634EE1"/>
    <w:rsid w:val="00641735"/>
    <w:rsid w:val="0066281E"/>
    <w:rsid w:val="00676CD0"/>
    <w:rsid w:val="007625F4"/>
    <w:rsid w:val="00786485"/>
    <w:rsid w:val="007A5208"/>
    <w:rsid w:val="007B6F58"/>
    <w:rsid w:val="007C5EC9"/>
    <w:rsid w:val="007E582D"/>
    <w:rsid w:val="00801178"/>
    <w:rsid w:val="008123C3"/>
    <w:rsid w:val="0081760F"/>
    <w:rsid w:val="00821CB8"/>
    <w:rsid w:val="008376AA"/>
    <w:rsid w:val="00841930"/>
    <w:rsid w:val="00880712"/>
    <w:rsid w:val="008D3226"/>
    <w:rsid w:val="00905639"/>
    <w:rsid w:val="00946E7F"/>
    <w:rsid w:val="009661D8"/>
    <w:rsid w:val="009A158E"/>
    <w:rsid w:val="00A151B9"/>
    <w:rsid w:val="00A26D54"/>
    <w:rsid w:val="00A46BB7"/>
    <w:rsid w:val="00A53F75"/>
    <w:rsid w:val="00A65A01"/>
    <w:rsid w:val="00A70A50"/>
    <w:rsid w:val="00A8429D"/>
    <w:rsid w:val="00A842BE"/>
    <w:rsid w:val="00AA2070"/>
    <w:rsid w:val="00AD3CAA"/>
    <w:rsid w:val="00AD5A38"/>
    <w:rsid w:val="00AE73B6"/>
    <w:rsid w:val="00AF280C"/>
    <w:rsid w:val="00AF7B40"/>
    <w:rsid w:val="00B115EF"/>
    <w:rsid w:val="00B12C6B"/>
    <w:rsid w:val="00B527F5"/>
    <w:rsid w:val="00B5766A"/>
    <w:rsid w:val="00B75EFE"/>
    <w:rsid w:val="00BB4AEE"/>
    <w:rsid w:val="00BC1917"/>
    <w:rsid w:val="00C00D1F"/>
    <w:rsid w:val="00C2119C"/>
    <w:rsid w:val="00C242F0"/>
    <w:rsid w:val="00C33DAB"/>
    <w:rsid w:val="00C4241F"/>
    <w:rsid w:val="00C534C1"/>
    <w:rsid w:val="00C6675F"/>
    <w:rsid w:val="00C92967"/>
    <w:rsid w:val="00C95B8E"/>
    <w:rsid w:val="00CD47A3"/>
    <w:rsid w:val="00CE1CF3"/>
    <w:rsid w:val="00D21EC8"/>
    <w:rsid w:val="00D32EE4"/>
    <w:rsid w:val="00D442F7"/>
    <w:rsid w:val="00D700B6"/>
    <w:rsid w:val="00DC0AEA"/>
    <w:rsid w:val="00DC0C70"/>
    <w:rsid w:val="00E30500"/>
    <w:rsid w:val="00E32B44"/>
    <w:rsid w:val="00E506CD"/>
    <w:rsid w:val="00E574FA"/>
    <w:rsid w:val="00E71FF6"/>
    <w:rsid w:val="00E76540"/>
    <w:rsid w:val="00EC48D4"/>
    <w:rsid w:val="00F03F33"/>
    <w:rsid w:val="00F27CB4"/>
    <w:rsid w:val="00F753E4"/>
    <w:rsid w:val="00FA6D20"/>
    <w:rsid w:val="00FC6A19"/>
    <w:rsid w:val="00FD183F"/>
    <w:rsid w:val="00FF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  <w:style w:type="character" w:customStyle="1" w:styleId="Heading3Char">
    <w:name w:val="Heading 3 Char"/>
    <w:basedOn w:val="DefaultParagraphFont"/>
    <w:link w:val="Heading3"/>
    <w:uiPriority w:val="9"/>
    <w:semiHidden/>
    <w:rsid w:val="00B527F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7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86344-CED1-4425-9D56-27C08B62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Nick Thelen</cp:lastModifiedBy>
  <cp:revision>4</cp:revision>
  <cp:lastPrinted>2024-06-17T17:08:00Z</cp:lastPrinted>
  <dcterms:created xsi:type="dcterms:W3CDTF">2024-06-17T19:38:00Z</dcterms:created>
  <dcterms:modified xsi:type="dcterms:W3CDTF">2024-06-18T21:18:00Z</dcterms:modified>
</cp:coreProperties>
</file>