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5F6B9F1F" w:rsidR="002612D5" w:rsidRPr="00591B72" w:rsidRDefault="00E02E5E" w:rsidP="002612D5">
            <w:pPr>
              <w:rPr>
                <w:sz w:val="20"/>
                <w:szCs w:val="20"/>
              </w:rPr>
            </w:pPr>
            <w:r>
              <w:rPr>
                <w:sz w:val="20"/>
                <w:szCs w:val="20"/>
              </w:rPr>
              <w:t>Fluoride Varnish Promotion</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73F4955F" w:rsidR="002612D5" w:rsidRPr="00591B72" w:rsidRDefault="00F7201F" w:rsidP="002612D5">
            <w:pPr>
              <w:rPr>
                <w:sz w:val="20"/>
                <w:szCs w:val="20"/>
              </w:rPr>
            </w:pPr>
            <w:r>
              <w:rPr>
                <w:sz w:val="20"/>
                <w:szCs w:val="20"/>
              </w:rPr>
              <w:t xml:space="preserve">Pediatrics GPS DBA: </w:t>
            </w:r>
            <w:r w:rsidR="00E02E5E">
              <w:rPr>
                <w:sz w:val="20"/>
                <w:szCs w:val="20"/>
              </w:rPr>
              <w:t>Children’s Medical Center of Tucson</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0A2592E1" w:rsidR="002612D5" w:rsidRPr="00591B72" w:rsidRDefault="00E02E5E" w:rsidP="002612D5">
            <w:pPr>
              <w:rPr>
                <w:sz w:val="20"/>
                <w:szCs w:val="20"/>
              </w:rPr>
            </w:pPr>
            <w:r>
              <w:rPr>
                <w:sz w:val="20"/>
                <w:szCs w:val="20"/>
              </w:rPr>
              <w:t>Application of Fluoride Varnish</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44577E93" w:rsidR="00C00D1F" w:rsidRPr="00591B72" w:rsidRDefault="00E02E5E" w:rsidP="002612D5">
            <w:pPr>
              <w:rPr>
                <w:i/>
                <w:sz w:val="20"/>
                <w:szCs w:val="20"/>
              </w:rPr>
            </w:pPr>
            <w:r>
              <w:rPr>
                <w:i/>
                <w:sz w:val="20"/>
                <w:szCs w:val="20"/>
              </w:rPr>
              <w:t>#6 Dental Varnish</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4BBD41E4" w14:textId="59307A87" w:rsidR="00676CD0" w:rsidRPr="00591B72" w:rsidRDefault="00E02E5E" w:rsidP="00676CD0">
            <w:pPr>
              <w:rPr>
                <w:i/>
                <w:sz w:val="20"/>
                <w:szCs w:val="20"/>
              </w:rPr>
            </w:pPr>
            <w:r>
              <w:rPr>
                <w:i/>
                <w:sz w:val="20"/>
                <w:szCs w:val="20"/>
              </w:rPr>
              <w:t>Fluoride varnish application is used to prevent tooth decay and strengthen tooth enamel. The purpose of this project is to reduce dental caries and to promote oral health. We anticipate that our patients will have improved engagement with their Dental Home and improved oral health.</w:t>
            </w:r>
          </w:p>
          <w:p w14:paraId="3695AF9B" w14:textId="77777777" w:rsidR="00676CD0" w:rsidRPr="00591B72" w:rsidRDefault="00676CD0" w:rsidP="00AF280C">
            <w:pPr>
              <w:rPr>
                <w:sz w:val="20"/>
                <w:szCs w:val="20"/>
              </w:rPr>
            </w:pPr>
          </w:p>
          <w:p w14:paraId="277E96BD" w14:textId="77777777" w:rsidR="00676CD0" w:rsidRPr="00591B72" w:rsidRDefault="00676CD0" w:rsidP="00AF280C">
            <w:pPr>
              <w:rPr>
                <w:sz w:val="20"/>
                <w:szCs w:val="20"/>
              </w:rPr>
            </w:pP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42B83E8B" w14:textId="6AC0DA1D" w:rsidR="00D32EE4" w:rsidRPr="00591B72" w:rsidRDefault="00E02E5E" w:rsidP="00A86518">
            <w:pPr>
              <w:rPr>
                <w:i/>
                <w:sz w:val="20"/>
                <w:szCs w:val="20"/>
              </w:rPr>
            </w:pPr>
            <w:r>
              <w:rPr>
                <w:i/>
                <w:sz w:val="20"/>
                <w:szCs w:val="20"/>
              </w:rPr>
              <w:t xml:space="preserve">Tooth decay is one of the most common diseases seen in children today. Children as young as 10 months can have tooth decay. Tooth decay can cause pain and may prevent children from being able to eat, speak and sleep. </w:t>
            </w: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071834F9" w14:textId="7EC2B04B" w:rsidR="00D32EE4" w:rsidRPr="00591B72" w:rsidRDefault="00771DAD" w:rsidP="00A86518">
            <w:pPr>
              <w:rPr>
                <w:i/>
                <w:sz w:val="20"/>
                <w:szCs w:val="20"/>
              </w:rPr>
            </w:pPr>
            <w:r>
              <w:rPr>
                <w:i/>
                <w:sz w:val="20"/>
                <w:szCs w:val="20"/>
              </w:rPr>
              <w:t>Increase Fluoride applications at well visits and stress importance of oral health for our patients.</w:t>
            </w: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66AECA48" w14:textId="21F2128E" w:rsidR="00D32EE4" w:rsidRPr="00591B72" w:rsidRDefault="00771DAD" w:rsidP="00A86518">
            <w:pPr>
              <w:rPr>
                <w:i/>
                <w:sz w:val="20"/>
                <w:szCs w:val="20"/>
              </w:rPr>
            </w:pPr>
            <w:r>
              <w:rPr>
                <w:i/>
                <w:sz w:val="20"/>
                <w:szCs w:val="20"/>
              </w:rPr>
              <w:t>Strengthening tooth enamel, prevent cavities, protect against acid erosion and promoting overall oral health.</w:t>
            </w:r>
          </w:p>
          <w:p w14:paraId="5A9322EB" w14:textId="77777777" w:rsidR="00D32EE4" w:rsidRPr="00591B72" w:rsidRDefault="00D32EE4" w:rsidP="00A86518">
            <w:pPr>
              <w:rPr>
                <w:sz w:val="20"/>
                <w:szCs w:val="20"/>
              </w:rPr>
            </w:pP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137F00FA" w14:textId="77F15A7F" w:rsidR="00E32B44" w:rsidRPr="00591B72" w:rsidRDefault="00771DAD" w:rsidP="00E32B44">
            <w:pPr>
              <w:rPr>
                <w:i/>
                <w:sz w:val="20"/>
                <w:szCs w:val="20"/>
              </w:rPr>
            </w:pPr>
            <w:r>
              <w:rPr>
                <w:i/>
                <w:sz w:val="20"/>
                <w:szCs w:val="20"/>
              </w:rPr>
              <w:t>Educate the Medical Assistan</w:t>
            </w:r>
            <w:r w:rsidR="00B3601F">
              <w:rPr>
                <w:i/>
                <w:sz w:val="20"/>
                <w:szCs w:val="20"/>
              </w:rPr>
              <w:t>ts</w:t>
            </w:r>
            <w:r>
              <w:rPr>
                <w:i/>
                <w:sz w:val="20"/>
                <w:szCs w:val="20"/>
              </w:rPr>
              <w:t xml:space="preserve"> on the importance of Fluoride application May </w:t>
            </w:r>
            <w:r w:rsidR="009E7FFD">
              <w:rPr>
                <w:i/>
                <w:sz w:val="20"/>
                <w:szCs w:val="20"/>
              </w:rPr>
              <w:t>1</w:t>
            </w:r>
            <w:r w:rsidR="009E7FFD" w:rsidRPr="00B3601F">
              <w:rPr>
                <w:i/>
                <w:sz w:val="20"/>
                <w:szCs w:val="20"/>
                <w:vertAlign w:val="superscript"/>
              </w:rPr>
              <w:t>st</w:t>
            </w:r>
            <w:r w:rsidR="00B3601F">
              <w:rPr>
                <w:i/>
                <w:sz w:val="20"/>
                <w:szCs w:val="20"/>
              </w:rPr>
              <w:t>.</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0129B21A" w:rsidR="00E32B44" w:rsidRPr="00591B72" w:rsidRDefault="00771DAD" w:rsidP="00E32B44">
            <w:pPr>
              <w:rPr>
                <w:sz w:val="20"/>
                <w:szCs w:val="20"/>
              </w:rPr>
            </w:pPr>
            <w:r>
              <w:rPr>
                <w:sz w:val="20"/>
                <w:szCs w:val="20"/>
              </w:rPr>
              <w:t xml:space="preserve">Verify that all providers are trained to apply fluoride varnish May </w:t>
            </w:r>
            <w:r w:rsidR="009E7FFD">
              <w:rPr>
                <w:sz w:val="20"/>
                <w:szCs w:val="20"/>
              </w:rPr>
              <w:t>6</w:t>
            </w:r>
            <w:r w:rsidR="009E7FFD" w:rsidRPr="00B3601F">
              <w:rPr>
                <w:sz w:val="20"/>
                <w:szCs w:val="20"/>
                <w:vertAlign w:val="superscript"/>
              </w:rPr>
              <w:t>th</w:t>
            </w:r>
            <w:r w:rsidR="00B3601F">
              <w:rPr>
                <w:sz w:val="20"/>
                <w:szCs w:val="20"/>
              </w:rPr>
              <w:t>.</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37A23B94" w:rsidR="00E32B44" w:rsidRPr="00591B72" w:rsidRDefault="00771DAD" w:rsidP="00E32B44">
            <w:pPr>
              <w:rPr>
                <w:sz w:val="20"/>
                <w:szCs w:val="20"/>
              </w:rPr>
            </w:pPr>
            <w:r>
              <w:rPr>
                <w:sz w:val="20"/>
                <w:szCs w:val="20"/>
              </w:rPr>
              <w:t>Have the fluoride varnish kits stocked in all patient exam rooms. May 8</w:t>
            </w:r>
            <w:r w:rsidRPr="00B3601F">
              <w:rPr>
                <w:sz w:val="20"/>
                <w:szCs w:val="20"/>
                <w:vertAlign w:val="superscript"/>
              </w:rPr>
              <w:t>th</w:t>
            </w:r>
            <w:r w:rsidR="00B3601F">
              <w:rPr>
                <w:sz w:val="20"/>
                <w:szCs w:val="20"/>
              </w:rPr>
              <w:t>.</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65D47614" w:rsidR="00E32B44" w:rsidRPr="00591B72" w:rsidRDefault="009E7FFD" w:rsidP="00E32B44">
            <w:pPr>
              <w:rPr>
                <w:sz w:val="20"/>
                <w:szCs w:val="20"/>
              </w:rPr>
            </w:pPr>
            <w:r>
              <w:rPr>
                <w:sz w:val="20"/>
                <w:szCs w:val="20"/>
              </w:rPr>
              <w:t>Verify by running reports that the fluoride application is being applied at well visits May 20</w:t>
            </w:r>
            <w:r w:rsidRPr="00B3601F">
              <w:rPr>
                <w:sz w:val="20"/>
                <w:szCs w:val="20"/>
                <w:vertAlign w:val="superscript"/>
              </w:rPr>
              <w:t>th</w:t>
            </w:r>
            <w:r w:rsidR="00B3601F">
              <w:rPr>
                <w:sz w:val="20"/>
                <w:szCs w:val="20"/>
              </w:rPr>
              <w:t>.</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662015CE" w:rsidR="00E32B44" w:rsidRPr="00591B72" w:rsidRDefault="00B3601F" w:rsidP="00E32B44">
            <w:pPr>
              <w:rPr>
                <w:sz w:val="20"/>
                <w:szCs w:val="20"/>
              </w:rPr>
            </w:pPr>
            <w:r>
              <w:rPr>
                <w:sz w:val="20"/>
                <w:szCs w:val="20"/>
              </w:rPr>
              <w:t>Continue to monitor compliance every month.</w:t>
            </w:r>
          </w:p>
        </w:tc>
      </w:tr>
    </w:tbl>
    <w:p w14:paraId="0DA0E045" w14:textId="7620782F"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751A8913" w14:textId="11FE8A60" w:rsidR="00D32EE4" w:rsidRPr="003E2401" w:rsidRDefault="009E7FFD" w:rsidP="00A86518">
            <w:pPr>
              <w:rPr>
                <w:i/>
                <w:sz w:val="20"/>
                <w:szCs w:val="20"/>
              </w:rPr>
            </w:pPr>
            <w:r>
              <w:rPr>
                <w:i/>
                <w:sz w:val="20"/>
                <w:szCs w:val="20"/>
              </w:rPr>
              <w:t>Continue dental varnish applications as well as promotion of Dental Home engagement.</w:t>
            </w:r>
          </w:p>
        </w:tc>
      </w:tr>
      <w:tr w:rsidR="00D32EE4" w:rsidRPr="00591B72" w14:paraId="36B3F108" w14:textId="77777777" w:rsidTr="0049271E">
        <w:tc>
          <w:tcPr>
            <w:tcW w:w="9918" w:type="dxa"/>
            <w:shd w:val="clear" w:color="auto" w:fill="FFC627"/>
          </w:tcPr>
          <w:p w14:paraId="07BE9DAF" w14:textId="2B72BC5D"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30328B10" w14:textId="2506BA18" w:rsidR="00D32EE4" w:rsidRPr="00591B72" w:rsidRDefault="009E7FFD" w:rsidP="00A86518">
            <w:pPr>
              <w:rPr>
                <w:sz w:val="20"/>
                <w:szCs w:val="20"/>
              </w:rPr>
            </w:pPr>
            <w:r>
              <w:rPr>
                <w:sz w:val="20"/>
                <w:szCs w:val="20"/>
              </w:rPr>
              <w:t>The practice is not addressing other dental oral health issues beyond prevention and other dental health strategies.</w:t>
            </w: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47C1A5A8" w:rsidR="00580A0F" w:rsidRPr="00591B72" w:rsidRDefault="009E7FFD" w:rsidP="00552555">
            <w:pPr>
              <w:rPr>
                <w:sz w:val="20"/>
                <w:szCs w:val="20"/>
              </w:rPr>
            </w:pPr>
            <w:r>
              <w:rPr>
                <w:sz w:val="20"/>
                <w:szCs w:val="20"/>
              </w:rPr>
              <w:t>Kolleen Weber</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0D2EEE12" w:rsidR="00580A0F" w:rsidRPr="00591B72" w:rsidRDefault="009E7FFD" w:rsidP="00552555">
            <w:pPr>
              <w:rPr>
                <w:sz w:val="20"/>
                <w:szCs w:val="20"/>
              </w:rPr>
            </w:pPr>
            <w:r>
              <w:rPr>
                <w:sz w:val="20"/>
                <w:szCs w:val="20"/>
              </w:rPr>
              <w:t>Kolleen Weber</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1925C624" w:rsidR="00580A0F" w:rsidRPr="00591B72" w:rsidRDefault="009E7FFD" w:rsidP="00552555">
            <w:pPr>
              <w:rPr>
                <w:sz w:val="20"/>
                <w:szCs w:val="20"/>
              </w:rPr>
            </w:pPr>
            <w:r>
              <w:rPr>
                <w:sz w:val="20"/>
                <w:szCs w:val="20"/>
              </w:rPr>
              <w:t>Kolleen Weber</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00693D98" w:rsidR="00580A0F" w:rsidRPr="00591B72" w:rsidRDefault="00B97C56" w:rsidP="00552555">
            <w:pPr>
              <w:rPr>
                <w:sz w:val="20"/>
                <w:szCs w:val="20"/>
              </w:rPr>
            </w:pPr>
            <w:r>
              <w:rPr>
                <w:sz w:val="20"/>
                <w:szCs w:val="20"/>
              </w:rPr>
              <w:t>Mohammed Nomaan</w:t>
            </w:r>
          </w:p>
        </w:tc>
      </w:tr>
    </w:tbl>
    <w:p w14:paraId="21195B25" w14:textId="77777777" w:rsidR="00580A0F" w:rsidRPr="008D3226" w:rsidRDefault="00580A0F">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676CD0" w:rsidRPr="00591B72" w14:paraId="3FFF4356" w14:textId="77777777" w:rsidTr="0049271E">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07737A">
        <w:tc>
          <w:tcPr>
            <w:tcW w:w="1250"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1"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07737A">
        <w:tc>
          <w:tcPr>
            <w:tcW w:w="1250" w:type="pct"/>
            <w:vAlign w:val="center"/>
          </w:tcPr>
          <w:p w14:paraId="24BDBF58" w14:textId="1970E934" w:rsidR="00880712" w:rsidRPr="00591B72" w:rsidRDefault="009E7FFD" w:rsidP="009661D8">
            <w:pPr>
              <w:rPr>
                <w:i/>
                <w:sz w:val="20"/>
                <w:szCs w:val="20"/>
              </w:rPr>
            </w:pPr>
            <w:r>
              <w:rPr>
                <w:i/>
                <w:sz w:val="20"/>
                <w:szCs w:val="20"/>
              </w:rPr>
              <w:t>Kolleen Weber</w:t>
            </w:r>
          </w:p>
        </w:tc>
        <w:tc>
          <w:tcPr>
            <w:tcW w:w="1250" w:type="pct"/>
            <w:vAlign w:val="center"/>
          </w:tcPr>
          <w:p w14:paraId="1E626372" w14:textId="068F9270" w:rsidR="00880712" w:rsidRPr="00591B72" w:rsidRDefault="009E7FFD" w:rsidP="009661D8">
            <w:pPr>
              <w:rPr>
                <w:i/>
                <w:sz w:val="20"/>
                <w:szCs w:val="20"/>
              </w:rPr>
            </w:pPr>
            <w:proofErr w:type="spellStart"/>
            <w:r>
              <w:rPr>
                <w:i/>
                <w:sz w:val="20"/>
                <w:szCs w:val="20"/>
              </w:rPr>
              <w:t>Adminstrator</w:t>
            </w:r>
            <w:proofErr w:type="spellEnd"/>
          </w:p>
        </w:tc>
        <w:tc>
          <w:tcPr>
            <w:tcW w:w="1249" w:type="pct"/>
            <w:vAlign w:val="center"/>
          </w:tcPr>
          <w:p w14:paraId="3F8DC30A" w14:textId="21EC31B8" w:rsidR="00880712" w:rsidRPr="00591B72" w:rsidRDefault="009E7FFD" w:rsidP="009661D8">
            <w:pPr>
              <w:rPr>
                <w:i/>
                <w:sz w:val="20"/>
                <w:szCs w:val="20"/>
              </w:rPr>
            </w:pPr>
            <w:r>
              <w:rPr>
                <w:i/>
                <w:sz w:val="20"/>
                <w:szCs w:val="20"/>
              </w:rPr>
              <w:t>Pediatrics</w:t>
            </w:r>
          </w:p>
        </w:tc>
        <w:tc>
          <w:tcPr>
            <w:tcW w:w="1251" w:type="pct"/>
            <w:vAlign w:val="center"/>
          </w:tcPr>
          <w:p w14:paraId="3C801A12" w14:textId="34DB1C37" w:rsidR="00880712" w:rsidRPr="00591B72" w:rsidRDefault="009E7FFD" w:rsidP="009661D8">
            <w:pPr>
              <w:rPr>
                <w:i/>
                <w:sz w:val="20"/>
                <w:szCs w:val="20"/>
              </w:rPr>
            </w:pPr>
            <w:r>
              <w:rPr>
                <w:i/>
                <w:sz w:val="20"/>
                <w:szCs w:val="20"/>
              </w:rPr>
              <w:t>CMCT</w:t>
            </w:r>
          </w:p>
        </w:tc>
      </w:tr>
      <w:tr w:rsidR="00880712" w:rsidRPr="00591B72" w14:paraId="155AA5F5" w14:textId="77777777" w:rsidTr="0007737A">
        <w:tc>
          <w:tcPr>
            <w:tcW w:w="1250" w:type="pct"/>
            <w:vAlign w:val="center"/>
          </w:tcPr>
          <w:p w14:paraId="354D4392" w14:textId="01052DF0" w:rsidR="00880712" w:rsidRPr="00591B72" w:rsidRDefault="009E7FFD" w:rsidP="009661D8">
            <w:pPr>
              <w:rPr>
                <w:i/>
                <w:sz w:val="20"/>
                <w:szCs w:val="20"/>
              </w:rPr>
            </w:pPr>
            <w:r>
              <w:rPr>
                <w:i/>
                <w:sz w:val="20"/>
                <w:szCs w:val="20"/>
              </w:rPr>
              <w:t>Mohammed Nomaan</w:t>
            </w:r>
          </w:p>
        </w:tc>
        <w:tc>
          <w:tcPr>
            <w:tcW w:w="1250" w:type="pct"/>
            <w:vAlign w:val="center"/>
          </w:tcPr>
          <w:p w14:paraId="70260955" w14:textId="7A214E72" w:rsidR="00880712" w:rsidRPr="00591B72" w:rsidRDefault="00A151B9" w:rsidP="009661D8">
            <w:pPr>
              <w:rPr>
                <w:i/>
                <w:sz w:val="20"/>
                <w:szCs w:val="20"/>
              </w:rPr>
            </w:pPr>
            <w:r>
              <w:rPr>
                <w:i/>
                <w:sz w:val="20"/>
                <w:szCs w:val="20"/>
              </w:rPr>
              <w:t>Medical Director</w:t>
            </w:r>
          </w:p>
        </w:tc>
        <w:tc>
          <w:tcPr>
            <w:tcW w:w="1249" w:type="pct"/>
            <w:vAlign w:val="center"/>
          </w:tcPr>
          <w:p w14:paraId="7E410526" w14:textId="5682EBEE" w:rsidR="00880712" w:rsidRPr="00591B72" w:rsidRDefault="009E7FFD" w:rsidP="009661D8">
            <w:pPr>
              <w:rPr>
                <w:i/>
                <w:sz w:val="20"/>
                <w:szCs w:val="20"/>
              </w:rPr>
            </w:pPr>
            <w:r>
              <w:rPr>
                <w:i/>
                <w:sz w:val="20"/>
                <w:szCs w:val="20"/>
              </w:rPr>
              <w:t>Pediatrics</w:t>
            </w:r>
          </w:p>
        </w:tc>
        <w:tc>
          <w:tcPr>
            <w:tcW w:w="1251" w:type="pct"/>
            <w:vAlign w:val="center"/>
          </w:tcPr>
          <w:p w14:paraId="1F6F8C00" w14:textId="49D8EC10" w:rsidR="00880712" w:rsidRPr="00591B72" w:rsidRDefault="009E7FFD" w:rsidP="009661D8">
            <w:pPr>
              <w:rPr>
                <w:i/>
                <w:sz w:val="20"/>
                <w:szCs w:val="20"/>
              </w:rPr>
            </w:pPr>
            <w:r>
              <w:rPr>
                <w:i/>
                <w:sz w:val="20"/>
                <w:szCs w:val="20"/>
              </w:rPr>
              <w:t>CMCT</w:t>
            </w:r>
          </w:p>
        </w:tc>
      </w:tr>
      <w:tr w:rsidR="00880712" w:rsidRPr="00591B72" w14:paraId="7A52C8E1" w14:textId="77777777" w:rsidTr="0007737A">
        <w:tc>
          <w:tcPr>
            <w:tcW w:w="1250" w:type="pct"/>
            <w:vAlign w:val="center"/>
          </w:tcPr>
          <w:p w14:paraId="519D6632" w14:textId="77777777" w:rsidR="00880712" w:rsidRPr="00591B72" w:rsidRDefault="00880712" w:rsidP="009661D8">
            <w:pPr>
              <w:rPr>
                <w:sz w:val="20"/>
                <w:szCs w:val="20"/>
              </w:rPr>
            </w:pPr>
          </w:p>
        </w:tc>
        <w:tc>
          <w:tcPr>
            <w:tcW w:w="1250" w:type="pct"/>
            <w:vAlign w:val="center"/>
          </w:tcPr>
          <w:p w14:paraId="1E665CDD" w14:textId="77777777" w:rsidR="00880712" w:rsidRPr="00591B72" w:rsidRDefault="00880712" w:rsidP="009661D8">
            <w:pPr>
              <w:rPr>
                <w:sz w:val="20"/>
                <w:szCs w:val="20"/>
              </w:rPr>
            </w:pPr>
          </w:p>
        </w:tc>
        <w:tc>
          <w:tcPr>
            <w:tcW w:w="1249" w:type="pct"/>
            <w:vAlign w:val="center"/>
          </w:tcPr>
          <w:p w14:paraId="580555D0" w14:textId="77777777" w:rsidR="00880712" w:rsidRPr="00591B72" w:rsidRDefault="00880712" w:rsidP="009661D8">
            <w:pPr>
              <w:rPr>
                <w:sz w:val="20"/>
                <w:szCs w:val="20"/>
              </w:rPr>
            </w:pPr>
          </w:p>
        </w:tc>
        <w:tc>
          <w:tcPr>
            <w:tcW w:w="1251" w:type="pct"/>
            <w:vAlign w:val="center"/>
          </w:tcPr>
          <w:p w14:paraId="5FB9E9FF" w14:textId="77777777" w:rsidR="00880712" w:rsidRPr="00591B72" w:rsidRDefault="00880712" w:rsidP="009661D8">
            <w:pPr>
              <w:rPr>
                <w:sz w:val="20"/>
                <w:szCs w:val="20"/>
              </w:rPr>
            </w:pPr>
          </w:p>
        </w:tc>
      </w:tr>
      <w:tr w:rsidR="00880712" w:rsidRPr="00591B72" w14:paraId="6EE18FFE" w14:textId="77777777" w:rsidTr="0007737A">
        <w:tc>
          <w:tcPr>
            <w:tcW w:w="1250" w:type="pct"/>
            <w:vAlign w:val="center"/>
          </w:tcPr>
          <w:p w14:paraId="54F1597F" w14:textId="77777777" w:rsidR="00880712" w:rsidRPr="00591B72" w:rsidRDefault="00880712" w:rsidP="009661D8">
            <w:pPr>
              <w:rPr>
                <w:sz w:val="20"/>
                <w:szCs w:val="20"/>
              </w:rPr>
            </w:pPr>
          </w:p>
        </w:tc>
        <w:tc>
          <w:tcPr>
            <w:tcW w:w="1250" w:type="pct"/>
            <w:vAlign w:val="center"/>
          </w:tcPr>
          <w:p w14:paraId="4A033D6B" w14:textId="77777777" w:rsidR="00880712" w:rsidRPr="00591B72" w:rsidRDefault="00880712" w:rsidP="009661D8">
            <w:pPr>
              <w:rPr>
                <w:sz w:val="20"/>
                <w:szCs w:val="20"/>
              </w:rPr>
            </w:pPr>
          </w:p>
        </w:tc>
        <w:tc>
          <w:tcPr>
            <w:tcW w:w="1249" w:type="pct"/>
            <w:vAlign w:val="center"/>
          </w:tcPr>
          <w:p w14:paraId="79581B5E" w14:textId="77777777" w:rsidR="00880712" w:rsidRPr="00591B72" w:rsidRDefault="00880712" w:rsidP="009661D8">
            <w:pPr>
              <w:rPr>
                <w:sz w:val="20"/>
                <w:szCs w:val="20"/>
              </w:rPr>
            </w:pPr>
          </w:p>
        </w:tc>
        <w:tc>
          <w:tcPr>
            <w:tcW w:w="1251" w:type="pct"/>
            <w:vAlign w:val="center"/>
          </w:tcPr>
          <w:p w14:paraId="441EDBC3" w14:textId="77777777" w:rsidR="00880712" w:rsidRPr="00591B72" w:rsidRDefault="00880712" w:rsidP="009661D8">
            <w:pPr>
              <w:rPr>
                <w:sz w:val="20"/>
                <w:szCs w:val="20"/>
              </w:rPr>
            </w:pP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5634E046" w:rsidR="00C4241F" w:rsidRPr="00591B72" w:rsidRDefault="009E7FFD" w:rsidP="009661D8">
            <w:pPr>
              <w:rPr>
                <w:i/>
                <w:sz w:val="20"/>
                <w:szCs w:val="20"/>
              </w:rPr>
            </w:pPr>
            <w:r>
              <w:rPr>
                <w:i/>
                <w:sz w:val="20"/>
                <w:szCs w:val="20"/>
              </w:rPr>
              <w:t>Deb Fox</w:t>
            </w:r>
          </w:p>
        </w:tc>
        <w:tc>
          <w:tcPr>
            <w:tcW w:w="2500" w:type="pct"/>
            <w:vAlign w:val="center"/>
          </w:tcPr>
          <w:p w14:paraId="31734A6D" w14:textId="4AEF8D28" w:rsidR="00C4241F" w:rsidRPr="00591B72" w:rsidRDefault="009E7FFD" w:rsidP="009661D8">
            <w:pPr>
              <w:rPr>
                <w:i/>
                <w:sz w:val="20"/>
                <w:szCs w:val="20"/>
              </w:rPr>
            </w:pPr>
            <w:r>
              <w:rPr>
                <w:i/>
                <w:sz w:val="20"/>
                <w:szCs w:val="20"/>
              </w:rPr>
              <w:t>Asst. Administrator</w:t>
            </w:r>
          </w:p>
        </w:tc>
      </w:tr>
      <w:tr w:rsidR="00C4241F" w:rsidRPr="00591B72" w14:paraId="7199F9A9" w14:textId="77777777" w:rsidTr="009661D8">
        <w:tc>
          <w:tcPr>
            <w:tcW w:w="2500" w:type="pct"/>
            <w:vAlign w:val="center"/>
          </w:tcPr>
          <w:p w14:paraId="70576D2D" w14:textId="200BCC60" w:rsidR="00C4241F" w:rsidRPr="00591B72" w:rsidRDefault="009E7FFD" w:rsidP="009661D8">
            <w:pPr>
              <w:rPr>
                <w:i/>
                <w:sz w:val="20"/>
                <w:szCs w:val="20"/>
              </w:rPr>
            </w:pPr>
            <w:r>
              <w:rPr>
                <w:i/>
                <w:sz w:val="20"/>
                <w:szCs w:val="20"/>
              </w:rPr>
              <w:t>Diane Molina</w:t>
            </w:r>
          </w:p>
        </w:tc>
        <w:tc>
          <w:tcPr>
            <w:tcW w:w="2500" w:type="pct"/>
            <w:vAlign w:val="center"/>
          </w:tcPr>
          <w:p w14:paraId="650450BB" w14:textId="21E52E7C" w:rsidR="00C4241F" w:rsidRPr="00591B72" w:rsidRDefault="009E7FFD" w:rsidP="009661D8">
            <w:pPr>
              <w:rPr>
                <w:i/>
                <w:sz w:val="20"/>
                <w:szCs w:val="20"/>
              </w:rPr>
            </w:pPr>
            <w:r>
              <w:rPr>
                <w:i/>
                <w:sz w:val="20"/>
                <w:szCs w:val="20"/>
              </w:rPr>
              <w:t>Supervisor of Medial Assistants</w:t>
            </w:r>
          </w:p>
        </w:tc>
      </w:tr>
      <w:tr w:rsidR="00C4241F" w:rsidRPr="00591B72" w14:paraId="6D12B4F9" w14:textId="77777777" w:rsidTr="009661D8">
        <w:tc>
          <w:tcPr>
            <w:tcW w:w="2500" w:type="pct"/>
            <w:vAlign w:val="center"/>
          </w:tcPr>
          <w:p w14:paraId="3B0BBF88" w14:textId="77777777" w:rsidR="00C4241F" w:rsidRPr="00591B72" w:rsidRDefault="00C4241F" w:rsidP="009661D8">
            <w:pPr>
              <w:rPr>
                <w:sz w:val="20"/>
                <w:szCs w:val="20"/>
              </w:rPr>
            </w:pPr>
          </w:p>
        </w:tc>
        <w:tc>
          <w:tcPr>
            <w:tcW w:w="2500" w:type="pct"/>
            <w:vAlign w:val="center"/>
          </w:tcPr>
          <w:p w14:paraId="4CBF970D" w14:textId="77777777" w:rsidR="00C4241F" w:rsidRPr="00591B72" w:rsidRDefault="00C4241F" w:rsidP="009661D8">
            <w:pPr>
              <w:rPr>
                <w:sz w:val="20"/>
                <w:szCs w:val="20"/>
              </w:rPr>
            </w:pPr>
          </w:p>
        </w:tc>
      </w:tr>
      <w:tr w:rsidR="00C4241F" w:rsidRPr="00591B72" w14:paraId="3481F595" w14:textId="77777777" w:rsidTr="009661D8">
        <w:tc>
          <w:tcPr>
            <w:tcW w:w="2500" w:type="pct"/>
            <w:vAlign w:val="center"/>
          </w:tcPr>
          <w:p w14:paraId="01B599D7" w14:textId="77777777" w:rsidR="00C4241F" w:rsidRPr="00591B72" w:rsidRDefault="00C4241F" w:rsidP="009661D8">
            <w:pPr>
              <w:rPr>
                <w:sz w:val="20"/>
                <w:szCs w:val="20"/>
              </w:rPr>
            </w:pPr>
          </w:p>
        </w:tc>
        <w:tc>
          <w:tcPr>
            <w:tcW w:w="2500" w:type="pct"/>
            <w:vAlign w:val="center"/>
          </w:tcPr>
          <w:p w14:paraId="2EDB7771" w14:textId="77777777" w:rsidR="00C4241F" w:rsidRPr="00591B72" w:rsidRDefault="00C4241F" w:rsidP="009661D8">
            <w:pPr>
              <w:rPr>
                <w:sz w:val="20"/>
                <w:szCs w:val="20"/>
              </w:rPr>
            </w:pPr>
          </w:p>
        </w:tc>
      </w:tr>
      <w:tr w:rsidR="00C4241F" w:rsidRPr="00591B72" w14:paraId="1D2E94D6" w14:textId="77777777" w:rsidTr="009661D8">
        <w:tc>
          <w:tcPr>
            <w:tcW w:w="2500" w:type="pct"/>
            <w:vAlign w:val="center"/>
          </w:tcPr>
          <w:p w14:paraId="78B72333" w14:textId="77777777" w:rsidR="00C4241F" w:rsidRPr="00591B72" w:rsidRDefault="00C4241F" w:rsidP="009661D8">
            <w:pPr>
              <w:rPr>
                <w:sz w:val="20"/>
                <w:szCs w:val="20"/>
              </w:rPr>
            </w:pPr>
          </w:p>
        </w:tc>
        <w:tc>
          <w:tcPr>
            <w:tcW w:w="2500" w:type="pct"/>
            <w:vAlign w:val="center"/>
          </w:tcPr>
          <w:p w14:paraId="24CE6612" w14:textId="77777777" w:rsidR="00C4241F" w:rsidRPr="00591B72" w:rsidRDefault="00C4241F" w:rsidP="009661D8">
            <w:pPr>
              <w:rPr>
                <w:sz w:val="20"/>
                <w:szCs w:val="20"/>
              </w:rPr>
            </w:pP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77777777" w:rsidR="002612D5" w:rsidRPr="00591B72" w:rsidRDefault="002612D5" w:rsidP="002612D5">
            <w:pPr>
              <w:rPr>
                <w:rFonts w:eastAsiaTheme="majorEastAsia"/>
                <w:sz w:val="20"/>
                <w:szCs w:val="20"/>
              </w:rPr>
            </w:pP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77777777" w:rsidR="002612D5" w:rsidRPr="00591B72" w:rsidRDefault="002612D5" w:rsidP="002612D5">
            <w:pPr>
              <w:rPr>
                <w:rFonts w:eastAsiaTheme="majorEastAsia"/>
                <w:sz w:val="20"/>
                <w:szCs w:val="20"/>
              </w:rPr>
            </w:pP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77777777" w:rsidR="002612D5" w:rsidRPr="00591B72" w:rsidRDefault="002612D5" w:rsidP="002612D5">
            <w:pPr>
              <w:rPr>
                <w:rFonts w:eastAsiaTheme="majorEastAsia"/>
                <w:sz w:val="20"/>
                <w:szCs w:val="20"/>
              </w:rPr>
            </w:pPr>
          </w:p>
        </w:tc>
      </w:tr>
    </w:tbl>
    <w:p w14:paraId="5A3BA3DA" w14:textId="77777777" w:rsidR="00580A0F" w:rsidRPr="002264D3" w:rsidRDefault="00580A0F" w:rsidP="008D3226">
      <w:pPr>
        <w:rPr>
          <w:sz w:val="20"/>
          <w:szCs w:val="20"/>
        </w:rPr>
      </w:pPr>
    </w:p>
    <w:sectPr w:rsidR="00580A0F" w:rsidRPr="002264D3" w:rsidSect="00FD2DAD">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962C9E" w14:textId="77777777" w:rsidR="00FD2DAD" w:rsidRDefault="00FD2DAD" w:rsidP="008D3226">
      <w:pPr>
        <w:spacing w:after="0" w:line="240" w:lineRule="auto"/>
      </w:pPr>
      <w:r>
        <w:separator/>
      </w:r>
    </w:p>
  </w:endnote>
  <w:endnote w:type="continuationSeparator" w:id="0">
    <w:p w14:paraId="5B452745" w14:textId="77777777" w:rsidR="00FD2DAD" w:rsidRDefault="00FD2DAD"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74F23" w14:textId="77777777" w:rsidR="00FD2DAD" w:rsidRDefault="00FD2DAD" w:rsidP="008D3226">
      <w:pPr>
        <w:spacing w:after="0" w:line="240" w:lineRule="auto"/>
      </w:pPr>
      <w:r>
        <w:separator/>
      </w:r>
    </w:p>
  </w:footnote>
  <w:footnote w:type="continuationSeparator" w:id="0">
    <w:p w14:paraId="1C131241" w14:textId="77777777" w:rsidR="00FD2DAD" w:rsidRDefault="00FD2DAD"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4"/>
  </w:num>
  <w:num w:numId="2" w16cid:durableId="1536120365">
    <w:abstractNumId w:val="5"/>
  </w:num>
  <w:num w:numId="3" w16cid:durableId="304044124">
    <w:abstractNumId w:val="3"/>
  </w:num>
  <w:num w:numId="4" w16cid:durableId="421729953">
    <w:abstractNumId w:val="2"/>
  </w:num>
  <w:num w:numId="5" w16cid:durableId="56130086">
    <w:abstractNumId w:val="0"/>
  </w:num>
  <w:num w:numId="6" w16cid:durableId="2093353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5023F"/>
    <w:rsid w:val="00071209"/>
    <w:rsid w:val="0007737A"/>
    <w:rsid w:val="000F32CA"/>
    <w:rsid w:val="00127ACE"/>
    <w:rsid w:val="001472C1"/>
    <w:rsid w:val="001716FB"/>
    <w:rsid w:val="0017682C"/>
    <w:rsid w:val="001B3B34"/>
    <w:rsid w:val="001D1553"/>
    <w:rsid w:val="001E304D"/>
    <w:rsid w:val="002264D3"/>
    <w:rsid w:val="002612D5"/>
    <w:rsid w:val="002641B3"/>
    <w:rsid w:val="00293DAA"/>
    <w:rsid w:val="00396BB1"/>
    <w:rsid w:val="003C18CF"/>
    <w:rsid w:val="003E2401"/>
    <w:rsid w:val="003E52B4"/>
    <w:rsid w:val="003E6050"/>
    <w:rsid w:val="004648F9"/>
    <w:rsid w:val="00474CD8"/>
    <w:rsid w:val="004877F1"/>
    <w:rsid w:val="0049271E"/>
    <w:rsid w:val="004A27EB"/>
    <w:rsid w:val="00502B84"/>
    <w:rsid w:val="00504076"/>
    <w:rsid w:val="00552555"/>
    <w:rsid w:val="005525AD"/>
    <w:rsid w:val="00580A0F"/>
    <w:rsid w:val="00590BE1"/>
    <w:rsid w:val="00591B72"/>
    <w:rsid w:val="005A53A2"/>
    <w:rsid w:val="005D4AB0"/>
    <w:rsid w:val="005E023B"/>
    <w:rsid w:val="005F7076"/>
    <w:rsid w:val="0066281E"/>
    <w:rsid w:val="00676CD0"/>
    <w:rsid w:val="007625F4"/>
    <w:rsid w:val="00771DAD"/>
    <w:rsid w:val="00784993"/>
    <w:rsid w:val="00786485"/>
    <w:rsid w:val="007A5208"/>
    <w:rsid w:val="007C5EC9"/>
    <w:rsid w:val="007E582D"/>
    <w:rsid w:val="00801178"/>
    <w:rsid w:val="008123C3"/>
    <w:rsid w:val="0081760F"/>
    <w:rsid w:val="008376AA"/>
    <w:rsid w:val="00841930"/>
    <w:rsid w:val="00880712"/>
    <w:rsid w:val="008D3226"/>
    <w:rsid w:val="00946E7F"/>
    <w:rsid w:val="009661D8"/>
    <w:rsid w:val="009E7FFD"/>
    <w:rsid w:val="00A151B9"/>
    <w:rsid w:val="00A46BB7"/>
    <w:rsid w:val="00A65A01"/>
    <w:rsid w:val="00A8429D"/>
    <w:rsid w:val="00AD3CAA"/>
    <w:rsid w:val="00AE73B6"/>
    <w:rsid w:val="00AF280C"/>
    <w:rsid w:val="00AF7B40"/>
    <w:rsid w:val="00B115EF"/>
    <w:rsid w:val="00B12C6B"/>
    <w:rsid w:val="00B3601F"/>
    <w:rsid w:val="00B74C23"/>
    <w:rsid w:val="00B75EFE"/>
    <w:rsid w:val="00B97C56"/>
    <w:rsid w:val="00C00D1F"/>
    <w:rsid w:val="00C2119C"/>
    <w:rsid w:val="00C242F0"/>
    <w:rsid w:val="00C4241F"/>
    <w:rsid w:val="00C534C1"/>
    <w:rsid w:val="00C92967"/>
    <w:rsid w:val="00CD47A3"/>
    <w:rsid w:val="00D32EE4"/>
    <w:rsid w:val="00D442F7"/>
    <w:rsid w:val="00DC0AEA"/>
    <w:rsid w:val="00DD0DB1"/>
    <w:rsid w:val="00E02E5E"/>
    <w:rsid w:val="00E32B44"/>
    <w:rsid w:val="00E71FF6"/>
    <w:rsid w:val="00F7201F"/>
    <w:rsid w:val="00F753E4"/>
    <w:rsid w:val="00FC6A19"/>
    <w:rsid w:val="00FD2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Kolleen</cp:lastModifiedBy>
  <cp:revision>7</cp:revision>
  <cp:lastPrinted>2015-01-22T16:25:00Z</cp:lastPrinted>
  <dcterms:created xsi:type="dcterms:W3CDTF">2024-04-23T20:34:00Z</dcterms:created>
  <dcterms:modified xsi:type="dcterms:W3CDTF">2024-04-29T20:08:00Z</dcterms:modified>
</cp:coreProperties>
</file>