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62AA5863" w:rsidR="002612D5" w:rsidRPr="00591B72" w:rsidRDefault="00FC5527" w:rsidP="002612D5">
            <w:pPr>
              <w:rPr>
                <w:sz w:val="20"/>
                <w:szCs w:val="20"/>
              </w:rPr>
            </w:pPr>
            <w:r>
              <w:rPr>
                <w:sz w:val="20"/>
                <w:szCs w:val="20"/>
              </w:rPr>
              <w:t>Social Determinants of Health Screening</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73EBF7BF" w:rsidR="002612D5" w:rsidRPr="00591B72" w:rsidRDefault="00FC5527" w:rsidP="002612D5">
            <w:pPr>
              <w:rPr>
                <w:sz w:val="20"/>
                <w:szCs w:val="20"/>
              </w:rPr>
            </w:pPr>
            <w:r>
              <w:rPr>
                <w:sz w:val="20"/>
                <w:szCs w:val="20"/>
              </w:rPr>
              <w:t>Arbor Medical Partner practices</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0AB62EF7" w:rsidR="002612D5" w:rsidRPr="00591B72" w:rsidRDefault="00FC5527" w:rsidP="002612D5">
            <w:pPr>
              <w:rPr>
                <w:sz w:val="20"/>
                <w:szCs w:val="20"/>
              </w:rPr>
            </w:pPr>
            <w:r>
              <w:rPr>
                <w:sz w:val="20"/>
                <w:szCs w:val="20"/>
              </w:rPr>
              <w:t>Distribution of screening tool, documentation of results, and closed loop referral process for needed concerns</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18825E60" w:rsidR="00C00D1F" w:rsidRPr="00591B72" w:rsidRDefault="005536DC" w:rsidP="002612D5">
            <w:pPr>
              <w:rPr>
                <w:i/>
                <w:sz w:val="20"/>
                <w:szCs w:val="20"/>
              </w:rPr>
            </w:pPr>
            <w:r>
              <w:rPr>
                <w:i/>
                <w:sz w:val="20"/>
                <w:szCs w:val="20"/>
              </w:rPr>
              <w:t>Milestone 3</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4BBD41E4" w14:textId="4FCA5DB3" w:rsidR="00676CD0" w:rsidRPr="00591B72" w:rsidRDefault="001E0DC9" w:rsidP="00676CD0">
            <w:pPr>
              <w:rPr>
                <w:i/>
                <w:sz w:val="20"/>
                <w:szCs w:val="20"/>
              </w:rPr>
            </w:pPr>
            <w:r>
              <w:rPr>
                <w:i/>
                <w:sz w:val="20"/>
                <w:szCs w:val="20"/>
              </w:rPr>
              <w:t xml:space="preserve">Screening for health-related social needs (or social determinants of health) allows a clinician to assess a comprehensive history of lifestyle and social factors that impact health.  Screening for HRSN has demonstrated a positive impact on health outcomes, decrease in emergency room visit, and improved establishment of healthy habits.  Barriers to seeking health care, lifestyle choices, and/or safety are easier to </w:t>
            </w:r>
            <w:proofErr w:type="gramStart"/>
            <w:r>
              <w:rPr>
                <w:i/>
                <w:sz w:val="20"/>
                <w:szCs w:val="20"/>
              </w:rPr>
              <w:t>identify</w:t>
            </w:r>
            <w:proofErr w:type="gramEnd"/>
            <w:r>
              <w:rPr>
                <w:i/>
                <w:sz w:val="20"/>
                <w:szCs w:val="20"/>
              </w:rPr>
              <w:t xml:space="preserve"> and interventions offered.  Screening in a pediatric primary care practice impacts both the pediatric patient and the overall health of the family</w:t>
            </w:r>
            <w:r w:rsidR="00676CD0" w:rsidRPr="00591B72">
              <w:rPr>
                <w:i/>
                <w:sz w:val="20"/>
                <w:szCs w:val="20"/>
              </w:rPr>
              <w:t>.</w:t>
            </w:r>
          </w:p>
          <w:p w14:paraId="3695AF9B" w14:textId="77777777" w:rsidR="00676CD0" w:rsidRPr="00591B72" w:rsidRDefault="00676CD0" w:rsidP="00AF280C">
            <w:pPr>
              <w:rPr>
                <w:sz w:val="20"/>
                <w:szCs w:val="20"/>
              </w:rPr>
            </w:pP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4"/>
        <w:gridCol w:w="7386"/>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2B83E8B" w14:textId="28ADCC7A" w:rsidR="00D32EE4" w:rsidRPr="00591B72" w:rsidRDefault="00A1770D" w:rsidP="00A86518">
            <w:pPr>
              <w:rPr>
                <w:i/>
                <w:sz w:val="20"/>
                <w:szCs w:val="20"/>
              </w:rPr>
            </w:pPr>
            <w:r>
              <w:rPr>
                <w:i/>
                <w:sz w:val="20"/>
                <w:szCs w:val="20"/>
              </w:rPr>
              <w:t xml:space="preserve">Consistent and universal screening for health-related social needs of the pediatric population improved health outcome and reduces overall healthcare costs.  Screening has also been demonstrated to decrease health disparities.  Variable studies have suggested that 19-65% of families screened report at least one HRSN.  Of those who reported a HRSN, 22-58% accepted resources to address these needs.  Barriers include time limits to address such issues, clinicians feeling unable to address identified needs, trust and/or reluctance of patients to divulge concerns.  A recent study suggests that patients are more likely to answer </w:t>
            </w:r>
            <w:r w:rsidR="00F52314">
              <w:rPr>
                <w:i/>
                <w:sz w:val="20"/>
                <w:szCs w:val="20"/>
              </w:rPr>
              <w:t xml:space="preserve">HRSN screening electronically versus paper.  While access to internet is also a barrier, having access to </w:t>
            </w:r>
            <w:proofErr w:type="spellStart"/>
            <w:r w:rsidR="00F52314">
              <w:rPr>
                <w:i/>
                <w:sz w:val="20"/>
                <w:szCs w:val="20"/>
              </w:rPr>
              <w:t>inoffice</w:t>
            </w:r>
            <w:proofErr w:type="spellEnd"/>
            <w:r w:rsidR="00F52314">
              <w:rPr>
                <w:i/>
                <w:sz w:val="20"/>
                <w:szCs w:val="20"/>
              </w:rPr>
              <w:t xml:space="preserve"> electronic screening can help relieve this.  </w:t>
            </w:r>
            <w:proofErr w:type="gramStart"/>
            <w:r w:rsidR="00F52314">
              <w:rPr>
                <w:i/>
                <w:sz w:val="20"/>
                <w:szCs w:val="20"/>
              </w:rPr>
              <w:t>Thus</w:t>
            </w:r>
            <w:proofErr w:type="gramEnd"/>
            <w:r w:rsidR="00F52314">
              <w:rPr>
                <w:i/>
                <w:sz w:val="20"/>
                <w:szCs w:val="20"/>
              </w:rPr>
              <w:t xml:space="preserve"> this program strives to assess HRSN to improve health behaviors and outcomes while decreasing barrier and disparities in receiving care.  </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74001D2A" w14:textId="77777777" w:rsidR="00D32EE4" w:rsidRDefault="00FD7FEE" w:rsidP="00FD7FEE">
            <w:pPr>
              <w:pStyle w:val="ListParagraph"/>
              <w:numPr>
                <w:ilvl w:val="0"/>
                <w:numId w:val="7"/>
              </w:numPr>
              <w:rPr>
                <w:i/>
                <w:sz w:val="20"/>
                <w:szCs w:val="20"/>
              </w:rPr>
            </w:pPr>
            <w:r>
              <w:rPr>
                <w:i/>
                <w:sz w:val="20"/>
                <w:szCs w:val="20"/>
              </w:rPr>
              <w:t xml:space="preserve"> Institute and increase routine HRSN (SDOH) screening </w:t>
            </w:r>
            <w:proofErr w:type="gramStart"/>
            <w:r>
              <w:rPr>
                <w:i/>
                <w:sz w:val="20"/>
                <w:szCs w:val="20"/>
              </w:rPr>
              <w:t>annually</w:t>
            </w:r>
            <w:proofErr w:type="gramEnd"/>
          </w:p>
          <w:p w14:paraId="024035F0" w14:textId="77777777" w:rsidR="00FD7FEE" w:rsidRDefault="00072639" w:rsidP="00FD7FEE">
            <w:pPr>
              <w:pStyle w:val="ListParagraph"/>
              <w:numPr>
                <w:ilvl w:val="0"/>
                <w:numId w:val="7"/>
              </w:numPr>
              <w:rPr>
                <w:i/>
                <w:sz w:val="20"/>
                <w:szCs w:val="20"/>
              </w:rPr>
            </w:pPr>
            <w:r>
              <w:rPr>
                <w:i/>
                <w:sz w:val="20"/>
                <w:szCs w:val="20"/>
              </w:rPr>
              <w:t xml:space="preserve">Establish relationship with </w:t>
            </w:r>
            <w:proofErr w:type="gramStart"/>
            <w:r>
              <w:rPr>
                <w:i/>
                <w:sz w:val="20"/>
                <w:szCs w:val="20"/>
              </w:rPr>
              <w:t>community based</w:t>
            </w:r>
            <w:proofErr w:type="gramEnd"/>
            <w:r>
              <w:rPr>
                <w:i/>
                <w:sz w:val="20"/>
                <w:szCs w:val="20"/>
              </w:rPr>
              <w:t xml:space="preserve"> referral source to address identified needs on screening</w:t>
            </w:r>
          </w:p>
          <w:p w14:paraId="5CAC3A8C" w14:textId="77777777" w:rsidR="00072639" w:rsidRDefault="00072639" w:rsidP="00FD7FEE">
            <w:pPr>
              <w:pStyle w:val="ListParagraph"/>
              <w:numPr>
                <w:ilvl w:val="0"/>
                <w:numId w:val="7"/>
              </w:numPr>
              <w:rPr>
                <w:i/>
                <w:sz w:val="20"/>
                <w:szCs w:val="20"/>
              </w:rPr>
            </w:pPr>
            <w:r>
              <w:rPr>
                <w:i/>
                <w:sz w:val="20"/>
                <w:szCs w:val="20"/>
              </w:rPr>
              <w:t xml:space="preserve">Connect families with identified needs with community </w:t>
            </w:r>
            <w:proofErr w:type="gramStart"/>
            <w:r>
              <w:rPr>
                <w:i/>
                <w:sz w:val="20"/>
                <w:szCs w:val="20"/>
              </w:rPr>
              <w:t>resources</w:t>
            </w:r>
            <w:proofErr w:type="gramEnd"/>
          </w:p>
          <w:p w14:paraId="38877C67" w14:textId="77777777" w:rsidR="00072639" w:rsidRDefault="00072639" w:rsidP="00FD7FEE">
            <w:pPr>
              <w:pStyle w:val="ListParagraph"/>
              <w:numPr>
                <w:ilvl w:val="0"/>
                <w:numId w:val="7"/>
              </w:numPr>
              <w:rPr>
                <w:i/>
                <w:sz w:val="20"/>
                <w:szCs w:val="20"/>
              </w:rPr>
            </w:pPr>
            <w:r>
              <w:rPr>
                <w:i/>
                <w:sz w:val="20"/>
                <w:szCs w:val="20"/>
              </w:rPr>
              <w:t xml:space="preserve">Decrease barriers to receiving health </w:t>
            </w:r>
            <w:proofErr w:type="gramStart"/>
            <w:r>
              <w:rPr>
                <w:i/>
                <w:sz w:val="20"/>
                <w:szCs w:val="20"/>
              </w:rPr>
              <w:t>care</w:t>
            </w:r>
            <w:proofErr w:type="gramEnd"/>
          </w:p>
          <w:p w14:paraId="071834F9" w14:textId="49E87C84" w:rsidR="00072639" w:rsidRPr="00FD7FEE" w:rsidRDefault="00072639" w:rsidP="00FD7FEE">
            <w:pPr>
              <w:pStyle w:val="ListParagraph"/>
              <w:numPr>
                <w:ilvl w:val="0"/>
                <w:numId w:val="7"/>
              </w:numPr>
              <w:rPr>
                <w:i/>
                <w:sz w:val="20"/>
                <w:szCs w:val="20"/>
              </w:rPr>
            </w:pPr>
            <w:r>
              <w:rPr>
                <w:i/>
                <w:sz w:val="20"/>
                <w:szCs w:val="20"/>
              </w:rPr>
              <w:t xml:space="preserve">Create efficient and effective screening workflow that </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5A9322EB" w14:textId="535DB9E4" w:rsidR="00D32EE4" w:rsidRPr="00591B72" w:rsidRDefault="00F9224D" w:rsidP="00A86518">
            <w:pPr>
              <w:rPr>
                <w:sz w:val="20"/>
                <w:szCs w:val="20"/>
              </w:rPr>
            </w:pPr>
            <w:r>
              <w:rPr>
                <w:sz w:val="20"/>
                <w:szCs w:val="20"/>
              </w:rPr>
              <w:t>With effective screening that limits barriers and a workflow that connects needs with resources, a decrease in social needs that negatively impact health are decreased and health outcomes in children, family and later adults are improved.</w:t>
            </w: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10533085" w:rsidR="00E32B44" w:rsidRPr="00591B72" w:rsidRDefault="00F9224D" w:rsidP="00E32B44">
            <w:pPr>
              <w:rPr>
                <w:i/>
                <w:sz w:val="20"/>
                <w:szCs w:val="20"/>
              </w:rPr>
            </w:pPr>
            <w:r>
              <w:rPr>
                <w:i/>
                <w:sz w:val="20"/>
                <w:szCs w:val="20"/>
              </w:rPr>
              <w:t>Assessment of current strategies for assessing HRSN within Arbor practices – Feb 29, 2024</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5D754A21" w:rsidR="00E32B44" w:rsidRPr="00591B72" w:rsidRDefault="00F9224D" w:rsidP="00E32B44">
            <w:pPr>
              <w:rPr>
                <w:sz w:val="20"/>
                <w:szCs w:val="20"/>
              </w:rPr>
            </w:pPr>
            <w:r>
              <w:rPr>
                <w:sz w:val="20"/>
                <w:szCs w:val="20"/>
              </w:rPr>
              <w:t xml:space="preserve">Research and choose </w:t>
            </w:r>
            <w:proofErr w:type="gramStart"/>
            <w:r>
              <w:rPr>
                <w:sz w:val="20"/>
                <w:szCs w:val="20"/>
              </w:rPr>
              <w:t>a</w:t>
            </w:r>
            <w:proofErr w:type="gramEnd"/>
            <w:r>
              <w:rPr>
                <w:sz w:val="20"/>
                <w:szCs w:val="20"/>
              </w:rPr>
              <w:t xml:space="preserve"> evidence based HRSN screening tool – March 30, 2024</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564DBD80" w:rsidR="00E32B44" w:rsidRPr="00591B72" w:rsidRDefault="00F9224D" w:rsidP="00E32B44">
            <w:pPr>
              <w:rPr>
                <w:sz w:val="20"/>
                <w:szCs w:val="20"/>
              </w:rPr>
            </w:pPr>
            <w:r>
              <w:rPr>
                <w:sz w:val="20"/>
                <w:szCs w:val="20"/>
              </w:rPr>
              <w:t xml:space="preserve">Develop relationship with community based referral organization and secure resources needed for closed loop </w:t>
            </w:r>
            <w:proofErr w:type="gramStart"/>
            <w:r>
              <w:rPr>
                <w:sz w:val="20"/>
                <w:szCs w:val="20"/>
              </w:rPr>
              <w:t>referral  process</w:t>
            </w:r>
            <w:proofErr w:type="gramEnd"/>
            <w:r>
              <w:rPr>
                <w:sz w:val="20"/>
                <w:szCs w:val="20"/>
              </w:rPr>
              <w:t xml:space="preserve"> - April 30, 2024</w:t>
            </w:r>
          </w:p>
        </w:tc>
      </w:tr>
      <w:tr w:rsidR="00F9224D" w:rsidRPr="00591B72" w14:paraId="54FB69E3" w14:textId="77777777" w:rsidTr="00E32B44">
        <w:trPr>
          <w:trHeight w:val="288"/>
        </w:trPr>
        <w:tc>
          <w:tcPr>
            <w:tcW w:w="1006" w:type="dxa"/>
            <w:shd w:val="clear" w:color="auto" w:fill="FFC627"/>
            <w:vAlign w:val="center"/>
          </w:tcPr>
          <w:p w14:paraId="7AF456D9" w14:textId="785A7706" w:rsidR="00F9224D" w:rsidRPr="00591B72" w:rsidRDefault="00F9224D" w:rsidP="00F9224D">
            <w:pPr>
              <w:rPr>
                <w:b/>
                <w:sz w:val="20"/>
                <w:szCs w:val="20"/>
              </w:rPr>
            </w:pPr>
            <w:r>
              <w:rPr>
                <w:b/>
                <w:sz w:val="20"/>
                <w:szCs w:val="20"/>
              </w:rPr>
              <w:t>Task 4</w:t>
            </w:r>
          </w:p>
        </w:tc>
        <w:tc>
          <w:tcPr>
            <w:tcW w:w="8709" w:type="dxa"/>
            <w:shd w:val="clear" w:color="auto" w:fill="auto"/>
            <w:vAlign w:val="center"/>
          </w:tcPr>
          <w:p w14:paraId="0AB4CBCF" w14:textId="3DA053A8" w:rsidR="00F9224D" w:rsidRPr="00591B72" w:rsidRDefault="00F9224D" w:rsidP="00F9224D">
            <w:pPr>
              <w:rPr>
                <w:sz w:val="20"/>
                <w:szCs w:val="20"/>
              </w:rPr>
            </w:pPr>
            <w:r>
              <w:rPr>
                <w:sz w:val="20"/>
                <w:szCs w:val="20"/>
              </w:rPr>
              <w:t xml:space="preserve">Develop workflow for administering screening tool and secure resources </w:t>
            </w:r>
            <w:proofErr w:type="gramStart"/>
            <w:r>
              <w:rPr>
                <w:sz w:val="20"/>
                <w:szCs w:val="20"/>
              </w:rPr>
              <w:t>needed  -</w:t>
            </w:r>
            <w:proofErr w:type="gramEnd"/>
            <w:r>
              <w:rPr>
                <w:sz w:val="20"/>
                <w:szCs w:val="20"/>
              </w:rPr>
              <w:t xml:space="preserve"> April 30, 2024</w:t>
            </w:r>
          </w:p>
        </w:tc>
      </w:tr>
      <w:tr w:rsidR="00F9224D" w:rsidRPr="00591B72" w14:paraId="08E523FC" w14:textId="77777777" w:rsidTr="00E32B44">
        <w:trPr>
          <w:trHeight w:val="288"/>
        </w:trPr>
        <w:tc>
          <w:tcPr>
            <w:tcW w:w="1006" w:type="dxa"/>
            <w:shd w:val="clear" w:color="auto" w:fill="FFC627"/>
            <w:vAlign w:val="center"/>
          </w:tcPr>
          <w:p w14:paraId="1F37AE39" w14:textId="49E190AE" w:rsidR="00F9224D" w:rsidRDefault="00F9224D" w:rsidP="00F9224D">
            <w:pPr>
              <w:rPr>
                <w:b/>
                <w:sz w:val="20"/>
                <w:szCs w:val="20"/>
              </w:rPr>
            </w:pPr>
            <w:r>
              <w:rPr>
                <w:b/>
                <w:sz w:val="20"/>
                <w:szCs w:val="20"/>
              </w:rPr>
              <w:t>Task 5</w:t>
            </w:r>
          </w:p>
        </w:tc>
        <w:tc>
          <w:tcPr>
            <w:tcW w:w="8709" w:type="dxa"/>
            <w:shd w:val="clear" w:color="auto" w:fill="auto"/>
            <w:vAlign w:val="center"/>
          </w:tcPr>
          <w:p w14:paraId="3623724F" w14:textId="1C8A5ABD" w:rsidR="00F9224D" w:rsidRDefault="00F9224D" w:rsidP="00F9224D">
            <w:pPr>
              <w:rPr>
                <w:sz w:val="20"/>
                <w:szCs w:val="20"/>
              </w:rPr>
            </w:pPr>
            <w:r>
              <w:rPr>
                <w:sz w:val="20"/>
                <w:szCs w:val="20"/>
              </w:rPr>
              <w:t xml:space="preserve">Pilot screening workflow in 2 Arbor practices – May </w:t>
            </w:r>
            <w:r>
              <w:rPr>
                <w:sz w:val="20"/>
                <w:szCs w:val="20"/>
              </w:rPr>
              <w:t>20</w:t>
            </w:r>
            <w:r>
              <w:rPr>
                <w:sz w:val="20"/>
                <w:szCs w:val="20"/>
              </w:rPr>
              <w:t>, 2024</w:t>
            </w:r>
          </w:p>
        </w:tc>
      </w:tr>
      <w:tr w:rsidR="00F9224D" w:rsidRPr="00591B72" w14:paraId="0F13CD0D" w14:textId="77777777" w:rsidTr="00E32B44">
        <w:trPr>
          <w:trHeight w:val="288"/>
        </w:trPr>
        <w:tc>
          <w:tcPr>
            <w:tcW w:w="1006" w:type="dxa"/>
            <w:shd w:val="clear" w:color="auto" w:fill="FFC627"/>
            <w:vAlign w:val="center"/>
          </w:tcPr>
          <w:p w14:paraId="76B009D7" w14:textId="2594BD9A" w:rsidR="00F9224D" w:rsidRDefault="00F9224D" w:rsidP="00F9224D">
            <w:pPr>
              <w:rPr>
                <w:b/>
                <w:sz w:val="20"/>
                <w:szCs w:val="20"/>
              </w:rPr>
            </w:pPr>
            <w:r>
              <w:rPr>
                <w:b/>
                <w:sz w:val="20"/>
                <w:szCs w:val="20"/>
              </w:rPr>
              <w:t>Task 6</w:t>
            </w:r>
          </w:p>
        </w:tc>
        <w:tc>
          <w:tcPr>
            <w:tcW w:w="8709" w:type="dxa"/>
            <w:shd w:val="clear" w:color="auto" w:fill="auto"/>
            <w:vAlign w:val="center"/>
          </w:tcPr>
          <w:p w14:paraId="5A767FDB" w14:textId="062D0D12" w:rsidR="00F9224D" w:rsidRDefault="00F9224D" w:rsidP="00F9224D">
            <w:pPr>
              <w:rPr>
                <w:sz w:val="20"/>
                <w:szCs w:val="20"/>
              </w:rPr>
            </w:pPr>
            <w:r>
              <w:rPr>
                <w:sz w:val="20"/>
                <w:szCs w:val="20"/>
              </w:rPr>
              <w:t>Assess workflow and adjust elements to improve screening process and referral system – June 15, 2024</w:t>
            </w:r>
          </w:p>
        </w:tc>
      </w:tr>
      <w:tr w:rsidR="00F9224D" w:rsidRPr="00591B72" w14:paraId="555314AB" w14:textId="77777777" w:rsidTr="00E32B44">
        <w:trPr>
          <w:trHeight w:val="288"/>
        </w:trPr>
        <w:tc>
          <w:tcPr>
            <w:tcW w:w="1006" w:type="dxa"/>
            <w:shd w:val="clear" w:color="auto" w:fill="FFC627"/>
            <w:vAlign w:val="center"/>
          </w:tcPr>
          <w:p w14:paraId="4C1A1151" w14:textId="0690FBD6" w:rsidR="00F9224D" w:rsidRPr="00591B72" w:rsidRDefault="00F9224D" w:rsidP="00F9224D">
            <w:pPr>
              <w:rPr>
                <w:b/>
                <w:sz w:val="20"/>
                <w:szCs w:val="20"/>
              </w:rPr>
            </w:pPr>
            <w:r>
              <w:rPr>
                <w:b/>
                <w:sz w:val="20"/>
                <w:szCs w:val="20"/>
              </w:rPr>
              <w:t>Task 7</w:t>
            </w:r>
          </w:p>
        </w:tc>
        <w:tc>
          <w:tcPr>
            <w:tcW w:w="8709" w:type="dxa"/>
            <w:shd w:val="clear" w:color="auto" w:fill="auto"/>
            <w:vAlign w:val="center"/>
          </w:tcPr>
          <w:p w14:paraId="1F1720D4" w14:textId="20A181F0" w:rsidR="00F9224D" w:rsidRPr="00591B72" w:rsidRDefault="00F9224D" w:rsidP="00F9224D">
            <w:pPr>
              <w:rPr>
                <w:sz w:val="20"/>
                <w:szCs w:val="20"/>
              </w:rPr>
            </w:pPr>
            <w:r>
              <w:rPr>
                <w:sz w:val="20"/>
                <w:szCs w:val="20"/>
              </w:rPr>
              <w:t>Educate clinician and staff in all practice on workflow for administering screening tool and connecting families with community resources – June 25, 2024</w:t>
            </w:r>
          </w:p>
        </w:tc>
      </w:tr>
      <w:tr w:rsidR="00F9224D" w:rsidRPr="00591B72" w14:paraId="3CDC8B9F" w14:textId="77777777" w:rsidTr="00E32B44">
        <w:trPr>
          <w:trHeight w:val="288"/>
        </w:trPr>
        <w:tc>
          <w:tcPr>
            <w:tcW w:w="1006" w:type="dxa"/>
            <w:shd w:val="clear" w:color="auto" w:fill="FFC627"/>
            <w:vAlign w:val="center"/>
          </w:tcPr>
          <w:p w14:paraId="393E615B" w14:textId="7C889F77" w:rsidR="00F9224D" w:rsidRDefault="00F9224D" w:rsidP="00F9224D">
            <w:pPr>
              <w:rPr>
                <w:b/>
                <w:sz w:val="20"/>
                <w:szCs w:val="20"/>
              </w:rPr>
            </w:pPr>
            <w:r>
              <w:rPr>
                <w:b/>
                <w:sz w:val="20"/>
                <w:szCs w:val="20"/>
              </w:rPr>
              <w:t>Task 8</w:t>
            </w:r>
          </w:p>
        </w:tc>
        <w:tc>
          <w:tcPr>
            <w:tcW w:w="8709" w:type="dxa"/>
            <w:shd w:val="clear" w:color="auto" w:fill="auto"/>
            <w:vAlign w:val="center"/>
          </w:tcPr>
          <w:p w14:paraId="29299F99" w14:textId="307129C1" w:rsidR="00F9224D" w:rsidRDefault="00F9224D" w:rsidP="00F9224D">
            <w:pPr>
              <w:rPr>
                <w:sz w:val="20"/>
                <w:szCs w:val="20"/>
              </w:rPr>
            </w:pPr>
            <w:r>
              <w:rPr>
                <w:sz w:val="20"/>
                <w:szCs w:val="20"/>
              </w:rPr>
              <w:t xml:space="preserve">Initiate screening/referral workflow for all Arbor practices – July </w:t>
            </w:r>
            <w:r w:rsidR="008851A6">
              <w:rPr>
                <w:sz w:val="20"/>
                <w:szCs w:val="20"/>
              </w:rPr>
              <w:t>8, 2024</w:t>
            </w:r>
          </w:p>
        </w:tc>
      </w:tr>
    </w:tbl>
    <w:p w14:paraId="0DA0E045" w14:textId="7620782F"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050F8008" w:rsidR="00D32EE4" w:rsidRPr="003E2401" w:rsidRDefault="008851A6" w:rsidP="00A86518">
            <w:pPr>
              <w:rPr>
                <w:i/>
                <w:sz w:val="20"/>
                <w:szCs w:val="20"/>
              </w:rPr>
            </w:pPr>
            <w:r>
              <w:rPr>
                <w:i/>
                <w:sz w:val="20"/>
                <w:szCs w:val="20"/>
              </w:rPr>
              <w:t xml:space="preserve">Objective for this project is to utilize quality improvement strategies to establish an effective and efficient HRSN (SDOH) screening workflow for pediatric primary care practices of Arbor Medical Partner that includes a closed loop referral process that connects families with needs with a </w:t>
            </w:r>
            <w:proofErr w:type="gramStart"/>
            <w:r>
              <w:rPr>
                <w:i/>
                <w:sz w:val="20"/>
                <w:szCs w:val="20"/>
              </w:rPr>
              <w:t>community based</w:t>
            </w:r>
            <w:proofErr w:type="gramEnd"/>
            <w:r>
              <w:rPr>
                <w:i/>
                <w:sz w:val="20"/>
                <w:szCs w:val="20"/>
              </w:rPr>
              <w:t xml:space="preserve"> referral resource</w:t>
            </w:r>
            <w:r w:rsidR="00E32B44">
              <w:rPr>
                <w:i/>
                <w:sz w:val="20"/>
                <w:szCs w:val="20"/>
              </w:rPr>
              <w:t>.</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64042906" w:rsidR="00D32EE4" w:rsidRPr="00591B72" w:rsidRDefault="008851A6" w:rsidP="00A86518">
            <w:pPr>
              <w:rPr>
                <w:sz w:val="20"/>
                <w:szCs w:val="20"/>
              </w:rPr>
            </w:pPr>
            <w:r>
              <w:rPr>
                <w:sz w:val="20"/>
                <w:szCs w:val="20"/>
              </w:rPr>
              <w:t xml:space="preserve">This project does not address area for which additional screening tools are utilized, such as behavioral health diagnosis or developmental delay.  No additional staff can be hired to meet these objectives, and minimal impact should be made on current clinician and staff visit length.  </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2E9365EA" w:rsidR="00580A0F" w:rsidRPr="00591B72" w:rsidRDefault="008851A6" w:rsidP="00552555">
            <w:pPr>
              <w:rPr>
                <w:sz w:val="20"/>
                <w:szCs w:val="20"/>
              </w:rPr>
            </w:pPr>
            <w:r>
              <w:rPr>
                <w:sz w:val="20"/>
                <w:szCs w:val="20"/>
              </w:rPr>
              <w:t xml:space="preserve">Arbor Social Work – </w:t>
            </w:r>
            <w:r w:rsidR="00B43372">
              <w:rPr>
                <w:sz w:val="20"/>
                <w:szCs w:val="20"/>
              </w:rPr>
              <w:t>and Karen Eynon</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48FAD0B9" w:rsidR="00580A0F" w:rsidRPr="00591B72" w:rsidRDefault="008851A6" w:rsidP="00552555">
            <w:pPr>
              <w:rPr>
                <w:sz w:val="20"/>
                <w:szCs w:val="20"/>
              </w:rPr>
            </w:pPr>
            <w:r>
              <w:rPr>
                <w:sz w:val="20"/>
                <w:szCs w:val="20"/>
              </w:rPr>
              <w:t>Karen Eynon</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3EC074DA" w:rsidR="00580A0F" w:rsidRPr="00591B72" w:rsidRDefault="008851A6" w:rsidP="00552555">
            <w:pPr>
              <w:rPr>
                <w:sz w:val="20"/>
                <w:szCs w:val="20"/>
              </w:rPr>
            </w:pPr>
            <w:r>
              <w:rPr>
                <w:sz w:val="20"/>
                <w:szCs w:val="20"/>
              </w:rPr>
              <w:t>Raegan Post</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4D18E714" w:rsidR="00580A0F" w:rsidRPr="00591B72" w:rsidRDefault="008851A6" w:rsidP="00552555">
            <w:pPr>
              <w:rPr>
                <w:sz w:val="20"/>
                <w:szCs w:val="20"/>
              </w:rPr>
            </w:pPr>
            <w:r>
              <w:rPr>
                <w:sz w:val="20"/>
                <w:szCs w:val="20"/>
              </w:rPr>
              <w:t>Karen Eynon</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445D6DE7" w:rsidR="00880712" w:rsidRPr="00591B72" w:rsidRDefault="008851A6" w:rsidP="009661D8">
            <w:pPr>
              <w:rPr>
                <w:i/>
                <w:sz w:val="20"/>
                <w:szCs w:val="20"/>
              </w:rPr>
            </w:pPr>
            <w:r>
              <w:rPr>
                <w:i/>
                <w:sz w:val="20"/>
                <w:szCs w:val="20"/>
              </w:rPr>
              <w:t>Karen Eynon</w:t>
            </w:r>
          </w:p>
        </w:tc>
        <w:tc>
          <w:tcPr>
            <w:tcW w:w="1250" w:type="pct"/>
            <w:vAlign w:val="center"/>
          </w:tcPr>
          <w:p w14:paraId="1E626372" w14:textId="4B0EC9E7" w:rsidR="00880712" w:rsidRPr="00591B72" w:rsidRDefault="008851A6" w:rsidP="009661D8">
            <w:pPr>
              <w:rPr>
                <w:i/>
                <w:sz w:val="20"/>
                <w:szCs w:val="20"/>
              </w:rPr>
            </w:pPr>
            <w:r>
              <w:rPr>
                <w:i/>
                <w:sz w:val="20"/>
                <w:szCs w:val="20"/>
              </w:rPr>
              <w:t>Regional Lead Clinician</w:t>
            </w:r>
          </w:p>
        </w:tc>
        <w:tc>
          <w:tcPr>
            <w:tcW w:w="1249" w:type="pct"/>
            <w:vAlign w:val="center"/>
          </w:tcPr>
          <w:p w14:paraId="3F8DC30A" w14:textId="3015159C" w:rsidR="00880712" w:rsidRPr="00591B72" w:rsidRDefault="008851A6" w:rsidP="009661D8">
            <w:pPr>
              <w:rPr>
                <w:i/>
                <w:sz w:val="20"/>
                <w:szCs w:val="20"/>
              </w:rPr>
            </w:pPr>
            <w:r>
              <w:rPr>
                <w:i/>
                <w:sz w:val="20"/>
                <w:szCs w:val="20"/>
              </w:rPr>
              <w:t>Pediatrics</w:t>
            </w:r>
          </w:p>
        </w:tc>
        <w:tc>
          <w:tcPr>
            <w:tcW w:w="1251" w:type="pct"/>
            <w:vAlign w:val="center"/>
          </w:tcPr>
          <w:p w14:paraId="3C801A12" w14:textId="5CE5D402" w:rsidR="00880712" w:rsidRPr="00591B72" w:rsidRDefault="008851A6" w:rsidP="009661D8">
            <w:pPr>
              <w:rPr>
                <w:i/>
                <w:sz w:val="20"/>
                <w:szCs w:val="20"/>
              </w:rPr>
            </w:pPr>
            <w:r>
              <w:rPr>
                <w:i/>
                <w:sz w:val="20"/>
                <w:szCs w:val="20"/>
              </w:rPr>
              <w:t>Arbor Medical Partners</w:t>
            </w:r>
          </w:p>
        </w:tc>
      </w:tr>
      <w:tr w:rsidR="00880712" w:rsidRPr="00591B72" w14:paraId="155AA5F5" w14:textId="77777777" w:rsidTr="0007737A">
        <w:tc>
          <w:tcPr>
            <w:tcW w:w="1250" w:type="pct"/>
            <w:vAlign w:val="center"/>
          </w:tcPr>
          <w:p w14:paraId="354D4392" w14:textId="641D2B57" w:rsidR="00880712" w:rsidRPr="00591B72" w:rsidRDefault="008851A6" w:rsidP="009661D8">
            <w:pPr>
              <w:rPr>
                <w:i/>
                <w:sz w:val="20"/>
                <w:szCs w:val="20"/>
              </w:rPr>
            </w:pPr>
            <w:r>
              <w:rPr>
                <w:i/>
                <w:sz w:val="20"/>
                <w:szCs w:val="20"/>
              </w:rPr>
              <w:t>Lisa Engel</w:t>
            </w:r>
          </w:p>
        </w:tc>
        <w:tc>
          <w:tcPr>
            <w:tcW w:w="1250" w:type="pct"/>
            <w:vAlign w:val="center"/>
          </w:tcPr>
          <w:p w14:paraId="70260955" w14:textId="1801D282" w:rsidR="00880712" w:rsidRPr="00591B72" w:rsidRDefault="008851A6" w:rsidP="009661D8">
            <w:pPr>
              <w:rPr>
                <w:i/>
                <w:sz w:val="20"/>
                <w:szCs w:val="20"/>
              </w:rPr>
            </w:pPr>
            <w:r>
              <w:rPr>
                <w:i/>
                <w:sz w:val="20"/>
                <w:szCs w:val="20"/>
              </w:rPr>
              <w:t xml:space="preserve">Senior Regional </w:t>
            </w:r>
            <w:r w:rsidR="00A151B9">
              <w:rPr>
                <w:i/>
                <w:sz w:val="20"/>
                <w:szCs w:val="20"/>
              </w:rPr>
              <w:t>Medical Director</w:t>
            </w:r>
          </w:p>
        </w:tc>
        <w:tc>
          <w:tcPr>
            <w:tcW w:w="1249" w:type="pct"/>
            <w:vAlign w:val="center"/>
          </w:tcPr>
          <w:p w14:paraId="7E410526" w14:textId="43EC1938" w:rsidR="00880712" w:rsidRPr="00591B72" w:rsidRDefault="008851A6" w:rsidP="009661D8">
            <w:pPr>
              <w:rPr>
                <w:i/>
                <w:sz w:val="20"/>
                <w:szCs w:val="20"/>
              </w:rPr>
            </w:pPr>
            <w:r>
              <w:rPr>
                <w:i/>
                <w:sz w:val="20"/>
                <w:szCs w:val="20"/>
              </w:rPr>
              <w:t>Pediatrics</w:t>
            </w:r>
          </w:p>
        </w:tc>
        <w:tc>
          <w:tcPr>
            <w:tcW w:w="1251" w:type="pct"/>
            <w:vAlign w:val="center"/>
          </w:tcPr>
          <w:p w14:paraId="1F6F8C00" w14:textId="5665B5D0" w:rsidR="00880712" w:rsidRPr="00591B72" w:rsidRDefault="008851A6" w:rsidP="009661D8">
            <w:pPr>
              <w:rPr>
                <w:i/>
                <w:sz w:val="20"/>
                <w:szCs w:val="20"/>
              </w:rPr>
            </w:pPr>
            <w:r>
              <w:rPr>
                <w:i/>
                <w:sz w:val="20"/>
                <w:szCs w:val="20"/>
              </w:rPr>
              <w:t>Pediatric Associates</w:t>
            </w:r>
          </w:p>
        </w:tc>
      </w:tr>
      <w:tr w:rsidR="00880712" w:rsidRPr="00591B72" w14:paraId="7A52C8E1" w14:textId="77777777" w:rsidTr="0007737A">
        <w:tc>
          <w:tcPr>
            <w:tcW w:w="1250" w:type="pct"/>
            <w:vAlign w:val="center"/>
          </w:tcPr>
          <w:p w14:paraId="519D6632" w14:textId="29DD5B84" w:rsidR="00880712" w:rsidRPr="00591B72" w:rsidRDefault="00B43372" w:rsidP="009661D8">
            <w:pPr>
              <w:rPr>
                <w:sz w:val="20"/>
                <w:szCs w:val="20"/>
              </w:rPr>
            </w:pPr>
            <w:r>
              <w:rPr>
                <w:sz w:val="20"/>
                <w:szCs w:val="20"/>
              </w:rPr>
              <w:t>Tricia Juba</w:t>
            </w:r>
          </w:p>
        </w:tc>
        <w:tc>
          <w:tcPr>
            <w:tcW w:w="1250" w:type="pct"/>
            <w:vAlign w:val="center"/>
          </w:tcPr>
          <w:p w14:paraId="1E665CDD" w14:textId="7CFE4BC0" w:rsidR="00880712" w:rsidRPr="00591B72" w:rsidRDefault="00B43372" w:rsidP="009661D8">
            <w:pPr>
              <w:rPr>
                <w:sz w:val="20"/>
                <w:szCs w:val="20"/>
              </w:rPr>
            </w:pPr>
            <w:r>
              <w:rPr>
                <w:sz w:val="20"/>
                <w:szCs w:val="20"/>
              </w:rPr>
              <w:t>Director of Operations</w:t>
            </w:r>
          </w:p>
        </w:tc>
        <w:tc>
          <w:tcPr>
            <w:tcW w:w="1249" w:type="pct"/>
            <w:vAlign w:val="center"/>
          </w:tcPr>
          <w:p w14:paraId="580555D0" w14:textId="6E1979D7" w:rsidR="00880712" w:rsidRPr="00591B72" w:rsidRDefault="00B43372" w:rsidP="009661D8">
            <w:pPr>
              <w:rPr>
                <w:sz w:val="20"/>
                <w:szCs w:val="20"/>
              </w:rPr>
            </w:pPr>
            <w:r>
              <w:rPr>
                <w:sz w:val="20"/>
                <w:szCs w:val="20"/>
              </w:rPr>
              <w:t>Pediatrics</w:t>
            </w:r>
          </w:p>
        </w:tc>
        <w:tc>
          <w:tcPr>
            <w:tcW w:w="1251" w:type="pct"/>
            <w:vAlign w:val="center"/>
          </w:tcPr>
          <w:p w14:paraId="5FB9E9FF" w14:textId="4CB199F2" w:rsidR="00880712" w:rsidRPr="00591B72" w:rsidRDefault="00B43372" w:rsidP="009661D8">
            <w:pPr>
              <w:rPr>
                <w:sz w:val="20"/>
                <w:szCs w:val="20"/>
              </w:rPr>
            </w:pPr>
            <w:r>
              <w:rPr>
                <w:sz w:val="20"/>
                <w:szCs w:val="20"/>
              </w:rPr>
              <w:t>Arbor Medical Partners</w:t>
            </w:r>
          </w:p>
        </w:tc>
      </w:tr>
      <w:tr w:rsidR="00880712" w:rsidRPr="00591B72" w14:paraId="6EE18FFE" w14:textId="77777777" w:rsidTr="0007737A">
        <w:tc>
          <w:tcPr>
            <w:tcW w:w="1250" w:type="pct"/>
            <w:vAlign w:val="center"/>
          </w:tcPr>
          <w:p w14:paraId="54F1597F" w14:textId="4C2230A8" w:rsidR="00880712" w:rsidRPr="00591B72" w:rsidRDefault="00B43372" w:rsidP="009661D8">
            <w:pPr>
              <w:rPr>
                <w:sz w:val="20"/>
                <w:szCs w:val="20"/>
              </w:rPr>
            </w:pPr>
            <w:r>
              <w:rPr>
                <w:sz w:val="20"/>
                <w:szCs w:val="20"/>
              </w:rPr>
              <w:t>Sally Kikuchi</w:t>
            </w:r>
          </w:p>
        </w:tc>
        <w:tc>
          <w:tcPr>
            <w:tcW w:w="1250" w:type="pct"/>
            <w:vAlign w:val="center"/>
          </w:tcPr>
          <w:p w14:paraId="4A033D6B" w14:textId="71DB21F4" w:rsidR="00880712" w:rsidRPr="00591B72" w:rsidRDefault="00B43372" w:rsidP="009661D8">
            <w:pPr>
              <w:rPr>
                <w:sz w:val="20"/>
                <w:szCs w:val="20"/>
              </w:rPr>
            </w:pPr>
            <w:r>
              <w:rPr>
                <w:sz w:val="20"/>
                <w:szCs w:val="20"/>
              </w:rPr>
              <w:t>Vice President of Operations</w:t>
            </w:r>
          </w:p>
        </w:tc>
        <w:tc>
          <w:tcPr>
            <w:tcW w:w="1249" w:type="pct"/>
            <w:vAlign w:val="center"/>
          </w:tcPr>
          <w:p w14:paraId="79581B5E" w14:textId="42D7F368" w:rsidR="00880712" w:rsidRPr="00591B72" w:rsidRDefault="00B43372" w:rsidP="009661D8">
            <w:pPr>
              <w:rPr>
                <w:sz w:val="20"/>
                <w:szCs w:val="20"/>
              </w:rPr>
            </w:pPr>
            <w:r>
              <w:rPr>
                <w:sz w:val="20"/>
                <w:szCs w:val="20"/>
              </w:rPr>
              <w:t>Pediatrics</w:t>
            </w:r>
          </w:p>
        </w:tc>
        <w:tc>
          <w:tcPr>
            <w:tcW w:w="1251" w:type="pct"/>
            <w:vAlign w:val="center"/>
          </w:tcPr>
          <w:p w14:paraId="441EDBC3" w14:textId="6E2F4A07" w:rsidR="00880712" w:rsidRPr="00591B72" w:rsidRDefault="00B43372" w:rsidP="009661D8">
            <w:pPr>
              <w:rPr>
                <w:sz w:val="20"/>
                <w:szCs w:val="20"/>
              </w:rPr>
            </w:pPr>
            <w:r>
              <w:rPr>
                <w:sz w:val="20"/>
                <w:szCs w:val="20"/>
              </w:rPr>
              <w:t>Pediatric Associates</w:t>
            </w: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271CBFD0" w:rsidR="00C4241F" w:rsidRPr="00591B72" w:rsidRDefault="00B43372" w:rsidP="009661D8">
            <w:pPr>
              <w:rPr>
                <w:i/>
                <w:sz w:val="20"/>
                <w:szCs w:val="20"/>
              </w:rPr>
            </w:pPr>
            <w:proofErr w:type="spellStart"/>
            <w:r>
              <w:rPr>
                <w:i/>
                <w:sz w:val="20"/>
                <w:szCs w:val="20"/>
              </w:rPr>
              <w:t>Ean</w:t>
            </w:r>
            <w:proofErr w:type="spellEnd"/>
            <w:r>
              <w:rPr>
                <w:i/>
                <w:sz w:val="20"/>
                <w:szCs w:val="20"/>
              </w:rPr>
              <w:t xml:space="preserve"> Goldberg</w:t>
            </w:r>
          </w:p>
        </w:tc>
        <w:tc>
          <w:tcPr>
            <w:tcW w:w="2500" w:type="pct"/>
            <w:vAlign w:val="center"/>
          </w:tcPr>
          <w:p w14:paraId="31734A6D" w14:textId="6C50718B" w:rsidR="00C4241F" w:rsidRPr="00591B72" w:rsidRDefault="00B43372" w:rsidP="009661D8">
            <w:pPr>
              <w:rPr>
                <w:i/>
                <w:sz w:val="20"/>
                <w:szCs w:val="20"/>
              </w:rPr>
            </w:pPr>
            <w:r>
              <w:rPr>
                <w:i/>
                <w:sz w:val="20"/>
                <w:szCs w:val="20"/>
              </w:rPr>
              <w:t>Social Worker – SDOH Referral coordinator</w:t>
            </w:r>
          </w:p>
        </w:tc>
      </w:tr>
      <w:tr w:rsidR="00C4241F" w:rsidRPr="00591B72" w14:paraId="7199F9A9" w14:textId="77777777" w:rsidTr="009661D8">
        <w:tc>
          <w:tcPr>
            <w:tcW w:w="2500" w:type="pct"/>
            <w:vAlign w:val="center"/>
          </w:tcPr>
          <w:p w14:paraId="70576D2D" w14:textId="4146C887" w:rsidR="00C4241F" w:rsidRPr="00591B72" w:rsidRDefault="00B43372" w:rsidP="009661D8">
            <w:pPr>
              <w:rPr>
                <w:i/>
                <w:sz w:val="20"/>
                <w:szCs w:val="20"/>
              </w:rPr>
            </w:pPr>
            <w:r>
              <w:rPr>
                <w:i/>
                <w:sz w:val="20"/>
                <w:szCs w:val="20"/>
              </w:rPr>
              <w:t>Karen Eynon</w:t>
            </w:r>
          </w:p>
        </w:tc>
        <w:tc>
          <w:tcPr>
            <w:tcW w:w="2500" w:type="pct"/>
            <w:vAlign w:val="center"/>
          </w:tcPr>
          <w:p w14:paraId="650450BB" w14:textId="60CF6246" w:rsidR="00C4241F" w:rsidRPr="00591B72" w:rsidRDefault="00B43372" w:rsidP="009661D8">
            <w:pPr>
              <w:rPr>
                <w:i/>
                <w:sz w:val="20"/>
                <w:szCs w:val="20"/>
              </w:rPr>
            </w:pPr>
            <w:r>
              <w:rPr>
                <w:i/>
                <w:sz w:val="20"/>
                <w:szCs w:val="20"/>
              </w:rPr>
              <w:t>Regional Lead Clinician – TI program coordinator</w:t>
            </w:r>
          </w:p>
        </w:tc>
      </w:tr>
      <w:tr w:rsidR="00C4241F" w:rsidRPr="00591B72" w14:paraId="6D12B4F9" w14:textId="77777777" w:rsidTr="009661D8">
        <w:tc>
          <w:tcPr>
            <w:tcW w:w="2500" w:type="pct"/>
            <w:vAlign w:val="center"/>
          </w:tcPr>
          <w:p w14:paraId="3B0BBF88" w14:textId="5C34833B" w:rsidR="00C4241F" w:rsidRPr="00591B72" w:rsidRDefault="00B43372" w:rsidP="009661D8">
            <w:pPr>
              <w:rPr>
                <w:sz w:val="20"/>
                <w:szCs w:val="20"/>
              </w:rPr>
            </w:pPr>
            <w:r>
              <w:rPr>
                <w:sz w:val="20"/>
                <w:szCs w:val="20"/>
              </w:rPr>
              <w:t>Raegan Post</w:t>
            </w:r>
          </w:p>
        </w:tc>
        <w:tc>
          <w:tcPr>
            <w:tcW w:w="2500" w:type="pct"/>
            <w:vAlign w:val="center"/>
          </w:tcPr>
          <w:p w14:paraId="4CBF970D" w14:textId="14AB754D" w:rsidR="00C4241F" w:rsidRPr="00591B72" w:rsidRDefault="00B43372" w:rsidP="009661D8">
            <w:pPr>
              <w:rPr>
                <w:sz w:val="20"/>
                <w:szCs w:val="20"/>
              </w:rPr>
            </w:pPr>
            <w:r>
              <w:rPr>
                <w:sz w:val="20"/>
                <w:szCs w:val="20"/>
              </w:rPr>
              <w:t>Program Logistics Coordinator</w:t>
            </w:r>
          </w:p>
        </w:tc>
      </w:tr>
      <w:tr w:rsidR="00C4241F" w:rsidRPr="00591B72" w14:paraId="3481F595" w14:textId="77777777" w:rsidTr="009661D8">
        <w:tc>
          <w:tcPr>
            <w:tcW w:w="2500" w:type="pct"/>
            <w:vAlign w:val="center"/>
          </w:tcPr>
          <w:p w14:paraId="01B599D7" w14:textId="77777777" w:rsidR="00C4241F" w:rsidRPr="00591B72" w:rsidRDefault="00C4241F" w:rsidP="009661D8">
            <w:pPr>
              <w:rPr>
                <w:sz w:val="20"/>
                <w:szCs w:val="20"/>
              </w:rPr>
            </w:pPr>
          </w:p>
        </w:tc>
        <w:tc>
          <w:tcPr>
            <w:tcW w:w="2500" w:type="pct"/>
            <w:vAlign w:val="center"/>
          </w:tcPr>
          <w:p w14:paraId="2EDB7771" w14:textId="77777777" w:rsidR="00C4241F" w:rsidRPr="00591B72" w:rsidRDefault="00C4241F" w:rsidP="009661D8">
            <w:pPr>
              <w:rPr>
                <w:sz w:val="20"/>
                <w:szCs w:val="20"/>
              </w:rPr>
            </w:pP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77777777" w:rsidR="002612D5" w:rsidRPr="00591B72" w:rsidRDefault="002612D5" w:rsidP="002612D5">
            <w:pPr>
              <w:rPr>
                <w:rFonts w:eastAsiaTheme="majorEastAsia"/>
                <w:sz w:val="20"/>
                <w:szCs w:val="20"/>
              </w:rPr>
            </w:pP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77777777" w:rsidR="002612D5" w:rsidRPr="00591B72" w:rsidRDefault="002612D5" w:rsidP="002612D5">
            <w:pPr>
              <w:rPr>
                <w:rFonts w:eastAsiaTheme="majorEastAsia"/>
                <w:sz w:val="20"/>
                <w:szCs w:val="20"/>
              </w:rPr>
            </w:pP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77777777" w:rsidR="002612D5" w:rsidRPr="00591B72" w:rsidRDefault="002612D5" w:rsidP="002612D5">
            <w:pPr>
              <w:rPr>
                <w:rFonts w:eastAsiaTheme="majorEastAsia"/>
                <w:sz w:val="20"/>
                <w:szCs w:val="20"/>
              </w:rPr>
            </w:pP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4091" w14:textId="77777777" w:rsidR="0045105C" w:rsidRDefault="0045105C" w:rsidP="008D3226">
      <w:pPr>
        <w:spacing w:after="0" w:line="240" w:lineRule="auto"/>
      </w:pPr>
      <w:r>
        <w:separator/>
      </w:r>
    </w:p>
  </w:endnote>
  <w:endnote w:type="continuationSeparator" w:id="0">
    <w:p w14:paraId="7426CC3C" w14:textId="77777777" w:rsidR="0045105C" w:rsidRDefault="0045105C"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00E9" w14:textId="77777777" w:rsidR="0045105C" w:rsidRDefault="0045105C" w:rsidP="008D3226">
      <w:pPr>
        <w:spacing w:after="0" w:line="240" w:lineRule="auto"/>
      </w:pPr>
      <w:r>
        <w:separator/>
      </w:r>
    </w:p>
  </w:footnote>
  <w:footnote w:type="continuationSeparator" w:id="0">
    <w:p w14:paraId="1D1F500F" w14:textId="77777777" w:rsidR="0045105C" w:rsidRDefault="0045105C"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C127F"/>
    <w:multiLevelType w:val="hybridMultilevel"/>
    <w:tmpl w:val="0DA8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 w:numId="7" w16cid:durableId="325210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2639"/>
    <w:rsid w:val="0007737A"/>
    <w:rsid w:val="000F32CA"/>
    <w:rsid w:val="00127ACE"/>
    <w:rsid w:val="001472C1"/>
    <w:rsid w:val="001716FB"/>
    <w:rsid w:val="0017682C"/>
    <w:rsid w:val="001B3B34"/>
    <w:rsid w:val="001D1553"/>
    <w:rsid w:val="001E0DC9"/>
    <w:rsid w:val="001E304D"/>
    <w:rsid w:val="002264D3"/>
    <w:rsid w:val="002612D5"/>
    <w:rsid w:val="00293DAA"/>
    <w:rsid w:val="00396BB1"/>
    <w:rsid w:val="003C18CF"/>
    <w:rsid w:val="003E2401"/>
    <w:rsid w:val="003E52B4"/>
    <w:rsid w:val="003E6050"/>
    <w:rsid w:val="0045105C"/>
    <w:rsid w:val="00474CD8"/>
    <w:rsid w:val="0049271E"/>
    <w:rsid w:val="004A27EB"/>
    <w:rsid w:val="00502B84"/>
    <w:rsid w:val="00504076"/>
    <w:rsid w:val="00552555"/>
    <w:rsid w:val="005525AD"/>
    <w:rsid w:val="005536DC"/>
    <w:rsid w:val="00580A0F"/>
    <w:rsid w:val="00591B72"/>
    <w:rsid w:val="005A53A2"/>
    <w:rsid w:val="005D4AB0"/>
    <w:rsid w:val="005E023B"/>
    <w:rsid w:val="005F7076"/>
    <w:rsid w:val="0066281E"/>
    <w:rsid w:val="00676CD0"/>
    <w:rsid w:val="007625F4"/>
    <w:rsid w:val="00786485"/>
    <w:rsid w:val="007A5208"/>
    <w:rsid w:val="007C5EC9"/>
    <w:rsid w:val="007E582D"/>
    <w:rsid w:val="00801178"/>
    <w:rsid w:val="008123C3"/>
    <w:rsid w:val="0081760F"/>
    <w:rsid w:val="008376AA"/>
    <w:rsid w:val="00841930"/>
    <w:rsid w:val="00880712"/>
    <w:rsid w:val="008851A6"/>
    <w:rsid w:val="008D3226"/>
    <w:rsid w:val="00946E7F"/>
    <w:rsid w:val="009661D8"/>
    <w:rsid w:val="00A151B9"/>
    <w:rsid w:val="00A1770D"/>
    <w:rsid w:val="00A46BB7"/>
    <w:rsid w:val="00A65A01"/>
    <w:rsid w:val="00A8429D"/>
    <w:rsid w:val="00AD3CAA"/>
    <w:rsid w:val="00AE73B6"/>
    <w:rsid w:val="00AF280C"/>
    <w:rsid w:val="00AF7B40"/>
    <w:rsid w:val="00B115EF"/>
    <w:rsid w:val="00B12C6B"/>
    <w:rsid w:val="00B43372"/>
    <w:rsid w:val="00B75EFE"/>
    <w:rsid w:val="00C00D1F"/>
    <w:rsid w:val="00C2119C"/>
    <w:rsid w:val="00C242F0"/>
    <w:rsid w:val="00C4241F"/>
    <w:rsid w:val="00C534C1"/>
    <w:rsid w:val="00C92967"/>
    <w:rsid w:val="00CD47A3"/>
    <w:rsid w:val="00D32EE4"/>
    <w:rsid w:val="00D442F7"/>
    <w:rsid w:val="00DC0AEA"/>
    <w:rsid w:val="00E32B44"/>
    <w:rsid w:val="00E71FF6"/>
    <w:rsid w:val="00F52314"/>
    <w:rsid w:val="00F753E4"/>
    <w:rsid w:val="00F9224D"/>
    <w:rsid w:val="00FC5527"/>
    <w:rsid w:val="00FC6A19"/>
    <w:rsid w:val="00FD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Karen Eynon</cp:lastModifiedBy>
  <cp:revision>2</cp:revision>
  <cp:lastPrinted>2015-01-22T16:25:00Z</cp:lastPrinted>
  <dcterms:created xsi:type="dcterms:W3CDTF">2024-06-05T02:22:00Z</dcterms:created>
  <dcterms:modified xsi:type="dcterms:W3CDTF">2024-06-05T02:22:00Z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e0f365c-1dcf-438b-9618-2e7c7ba18188_Enabled">
    <vt:lpwstr>true</vt:lpwstr>
  </property>
  <property fmtid="{D5CDD505-2E9C-101B-9397-08002B2CF9AE}" pid="3" name="MSIP_Label_4e0f365c-1dcf-438b-9618-2e7c7ba18188_SetDate">
    <vt:lpwstr>2024-06-05T02:22:00Z</vt:lpwstr>
  </property>
  <property fmtid="{D5CDD505-2E9C-101B-9397-08002B2CF9AE}" pid="4" name="MSIP_Label_4e0f365c-1dcf-438b-9618-2e7c7ba18188_Method">
    <vt:lpwstr>Standard</vt:lpwstr>
  </property>
  <property fmtid="{D5CDD505-2E9C-101B-9397-08002B2CF9AE}" pid="5" name="MSIP_Label_4e0f365c-1dcf-438b-9618-2e7c7ba18188_Name">
    <vt:lpwstr>defa4170-0d19-0005-0004-bc88714345d2</vt:lpwstr>
  </property>
  <property fmtid="{D5CDD505-2E9C-101B-9397-08002B2CF9AE}" pid="6" name="MSIP_Label_4e0f365c-1dcf-438b-9618-2e7c7ba18188_SiteId">
    <vt:lpwstr>61e3e978-4e6b-4bf3-aeae-e86c34e742d5</vt:lpwstr>
  </property>
  <property fmtid="{D5CDD505-2E9C-101B-9397-08002B2CF9AE}" pid="7" name="MSIP_Label_4e0f365c-1dcf-438b-9618-2e7c7ba18188_ActionId">
    <vt:lpwstr>c8adffa3-ad7a-49e7-a11c-a335a355c353</vt:lpwstr>
  </property>
  <property fmtid="{D5CDD505-2E9C-101B-9397-08002B2CF9AE}" pid="8" name="MSIP_Label_4e0f365c-1dcf-438b-9618-2e7c7ba18188_ContentBits">
    <vt:lpwstr>0</vt:lpwstr>
  </property>
</Properties>
</file>