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746118BA" w:rsidR="002612D5" w:rsidRPr="005D4830" w:rsidRDefault="0068625E" w:rsidP="002612D5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Automated referral and tracking of </w:t>
            </w:r>
            <w:r w:rsidR="000D0374">
              <w:rPr>
                <w:iCs/>
                <w:sz w:val="20"/>
                <w:szCs w:val="20"/>
              </w:rPr>
              <w:t>justice involved individuals</w:t>
            </w:r>
            <w:r w:rsidR="00265F3B">
              <w:rPr>
                <w:iCs/>
                <w:sz w:val="20"/>
                <w:szCs w:val="20"/>
              </w:rPr>
              <w:t xml:space="preserve"> within the Valleywise Health (VH) electronic health record (EHR)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0184D06C" w:rsidR="002612D5" w:rsidRPr="00591B72" w:rsidRDefault="008364C7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Avondale, Mesa, North Phoenix, South Central, Mobile Health Unit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29F6D037" w:rsidR="002612D5" w:rsidRPr="00591B72" w:rsidRDefault="0068625E" w:rsidP="002612D5">
            <w:pPr>
              <w:rPr>
                <w:sz w:val="20"/>
                <w:szCs w:val="20"/>
              </w:rPr>
            </w:pPr>
            <w:r w:rsidRPr="005D4830">
              <w:rPr>
                <w:iCs/>
                <w:sz w:val="20"/>
                <w:szCs w:val="20"/>
              </w:rPr>
              <w:t xml:space="preserve">Automate the referral </w:t>
            </w:r>
            <w:r>
              <w:rPr>
                <w:iCs/>
                <w:sz w:val="20"/>
                <w:szCs w:val="20"/>
              </w:rPr>
              <w:t xml:space="preserve">and tracking </w:t>
            </w:r>
            <w:r w:rsidRPr="005D4830">
              <w:rPr>
                <w:iCs/>
                <w:sz w:val="20"/>
                <w:szCs w:val="20"/>
              </w:rPr>
              <w:t xml:space="preserve">process </w:t>
            </w:r>
            <w:r>
              <w:rPr>
                <w:iCs/>
                <w:sz w:val="20"/>
                <w:szCs w:val="20"/>
              </w:rPr>
              <w:t xml:space="preserve">of </w:t>
            </w:r>
            <w:r w:rsidR="004B5565">
              <w:rPr>
                <w:iCs/>
                <w:sz w:val="20"/>
                <w:szCs w:val="20"/>
              </w:rPr>
              <w:t>justice involved individuals</w:t>
            </w:r>
            <w:r>
              <w:rPr>
                <w:iCs/>
                <w:sz w:val="20"/>
                <w:szCs w:val="20"/>
              </w:rPr>
              <w:t xml:space="preserve"> with</w:t>
            </w:r>
            <w:r w:rsidRPr="005D4830">
              <w:rPr>
                <w:iCs/>
                <w:sz w:val="20"/>
                <w:szCs w:val="20"/>
              </w:rPr>
              <w:t xml:space="preserve"> our</w:t>
            </w:r>
            <w:r>
              <w:rPr>
                <w:iCs/>
                <w:sz w:val="20"/>
                <w:szCs w:val="20"/>
              </w:rPr>
              <w:t xml:space="preserve"> contracted Peer Run Organizations (PROs)</w:t>
            </w:r>
            <w:r w:rsidR="00F91B9A">
              <w:rPr>
                <w:sz w:val="20"/>
                <w:szCs w:val="20"/>
              </w:rPr>
              <w:t xml:space="preserve"> </w:t>
            </w:r>
            <w:r w:rsidR="00B651AB">
              <w:rPr>
                <w:sz w:val="20"/>
                <w:szCs w:val="20"/>
              </w:rPr>
              <w:t>within</w:t>
            </w:r>
            <w:r>
              <w:rPr>
                <w:sz w:val="20"/>
                <w:szCs w:val="20"/>
              </w:rPr>
              <w:t xml:space="preserve"> the VH</w:t>
            </w:r>
            <w:r w:rsidR="00265F3B">
              <w:rPr>
                <w:sz w:val="20"/>
                <w:szCs w:val="20"/>
              </w:rPr>
              <w:t xml:space="preserve"> </w:t>
            </w:r>
            <w:r w:rsidR="00054A55">
              <w:rPr>
                <w:sz w:val="20"/>
                <w:szCs w:val="20"/>
              </w:rPr>
              <w:t>EHR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7CF459A6" w:rsidR="00C00D1F" w:rsidRPr="005D4830" w:rsidRDefault="005552C8" w:rsidP="002612D5">
            <w:pPr>
              <w:rPr>
                <w:iCs/>
                <w:sz w:val="20"/>
                <w:szCs w:val="20"/>
              </w:rPr>
            </w:pPr>
            <w:r w:rsidRPr="005D4830">
              <w:rPr>
                <w:iCs/>
                <w:sz w:val="20"/>
                <w:szCs w:val="20"/>
              </w:rPr>
              <w:t>Justice</w:t>
            </w:r>
            <w:r w:rsidR="0069430D">
              <w:rPr>
                <w:iCs/>
                <w:sz w:val="20"/>
                <w:szCs w:val="20"/>
              </w:rPr>
              <w:t xml:space="preserve"> Milestone 7 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6CE28690" w14:textId="4EC6F544" w:rsidR="00054A55" w:rsidRDefault="00054A55" w:rsidP="00676CD0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Automation of the current referral and tracking process with our contracted PROs will allow for better coordination with </w:t>
            </w:r>
            <w:r w:rsidR="009D1C0F">
              <w:rPr>
                <w:iCs/>
                <w:sz w:val="20"/>
                <w:szCs w:val="20"/>
              </w:rPr>
              <w:t xml:space="preserve">ADCRR, </w:t>
            </w:r>
            <w:r w:rsidR="000272F3">
              <w:rPr>
                <w:iCs/>
                <w:sz w:val="20"/>
                <w:szCs w:val="20"/>
              </w:rPr>
              <w:t xml:space="preserve">enhanced </w:t>
            </w:r>
            <w:r w:rsidR="009D1C0F">
              <w:rPr>
                <w:iCs/>
                <w:sz w:val="20"/>
                <w:szCs w:val="20"/>
              </w:rPr>
              <w:t xml:space="preserve">collaborative outreach and engagement </w:t>
            </w:r>
            <w:r w:rsidR="000272F3">
              <w:rPr>
                <w:iCs/>
                <w:sz w:val="20"/>
                <w:szCs w:val="20"/>
              </w:rPr>
              <w:t xml:space="preserve">with individuals both prior to and immediately after release from prison, </w:t>
            </w:r>
            <w:r w:rsidR="00F81C31">
              <w:rPr>
                <w:iCs/>
                <w:sz w:val="20"/>
                <w:szCs w:val="20"/>
              </w:rPr>
              <w:t>improvements in</w:t>
            </w:r>
            <w:r w:rsidR="00600BD1">
              <w:rPr>
                <w:iCs/>
                <w:sz w:val="20"/>
                <w:szCs w:val="20"/>
              </w:rPr>
              <w:t xml:space="preserve"> identifying and addressing the </w:t>
            </w:r>
            <w:r w:rsidR="00600BD1" w:rsidRPr="00600BD1">
              <w:rPr>
                <w:iCs/>
                <w:sz w:val="20"/>
                <w:szCs w:val="20"/>
              </w:rPr>
              <w:t>health-related social need</w:t>
            </w:r>
            <w:r w:rsidR="00F527F5">
              <w:rPr>
                <w:iCs/>
                <w:sz w:val="20"/>
                <w:szCs w:val="20"/>
              </w:rPr>
              <w:t>s</w:t>
            </w:r>
            <w:r w:rsidR="00F81C31">
              <w:rPr>
                <w:iCs/>
                <w:sz w:val="20"/>
                <w:szCs w:val="20"/>
              </w:rPr>
              <w:t xml:space="preserve">, </w:t>
            </w:r>
            <w:r w:rsidR="00265F3B">
              <w:rPr>
                <w:iCs/>
                <w:sz w:val="20"/>
                <w:szCs w:val="20"/>
              </w:rPr>
              <w:t>and ensuring consistent follow-up</w:t>
            </w:r>
            <w:r w:rsidR="00F527F5">
              <w:rPr>
                <w:iCs/>
                <w:sz w:val="20"/>
                <w:szCs w:val="20"/>
              </w:rPr>
              <w:t xml:space="preserve"> for missed appointments, </w:t>
            </w:r>
            <w:r w:rsidR="00FA1A00">
              <w:rPr>
                <w:iCs/>
                <w:sz w:val="20"/>
                <w:szCs w:val="20"/>
              </w:rPr>
              <w:t>and identified physical and behavioral health service needs</w:t>
            </w:r>
            <w:r w:rsidR="00265F3B">
              <w:rPr>
                <w:iCs/>
                <w:sz w:val="20"/>
                <w:szCs w:val="20"/>
              </w:rPr>
              <w:t>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0E41BD64" w:rsidR="00D32EE4" w:rsidRPr="0068625E" w:rsidRDefault="00922206" w:rsidP="00A86518">
            <w:pPr>
              <w:rPr>
                <w:iCs/>
                <w:sz w:val="20"/>
                <w:szCs w:val="20"/>
              </w:rPr>
            </w:pPr>
            <w:r w:rsidRPr="0068625E">
              <w:rPr>
                <w:iCs/>
                <w:sz w:val="20"/>
                <w:szCs w:val="20"/>
              </w:rPr>
              <w:t xml:space="preserve">Currently </w:t>
            </w:r>
            <w:r w:rsidR="00B651AB" w:rsidRPr="0068625E">
              <w:rPr>
                <w:iCs/>
                <w:sz w:val="20"/>
                <w:szCs w:val="20"/>
              </w:rPr>
              <w:t>the referrals</w:t>
            </w:r>
            <w:r w:rsidR="00641501">
              <w:rPr>
                <w:iCs/>
                <w:sz w:val="20"/>
                <w:szCs w:val="20"/>
              </w:rPr>
              <w:t xml:space="preserve"> of justice-involved individuals</w:t>
            </w:r>
            <w:r w:rsidR="00870AA7">
              <w:rPr>
                <w:iCs/>
                <w:sz w:val="20"/>
                <w:szCs w:val="20"/>
              </w:rPr>
              <w:t xml:space="preserve"> are</w:t>
            </w:r>
            <w:r w:rsidR="00B651AB" w:rsidRPr="0068625E">
              <w:rPr>
                <w:iCs/>
                <w:sz w:val="20"/>
                <w:szCs w:val="20"/>
              </w:rPr>
              <w:t xml:space="preserve"> </w:t>
            </w:r>
            <w:r w:rsidR="00913B8E">
              <w:rPr>
                <w:iCs/>
                <w:sz w:val="20"/>
                <w:szCs w:val="20"/>
              </w:rPr>
              <w:t xml:space="preserve">received </w:t>
            </w:r>
            <w:r w:rsidR="00F0300F">
              <w:rPr>
                <w:iCs/>
                <w:sz w:val="20"/>
                <w:szCs w:val="20"/>
              </w:rPr>
              <w:t xml:space="preserve">by </w:t>
            </w:r>
            <w:r w:rsidR="00641501">
              <w:rPr>
                <w:iCs/>
                <w:sz w:val="20"/>
                <w:szCs w:val="20"/>
              </w:rPr>
              <w:t xml:space="preserve">our contracted </w:t>
            </w:r>
            <w:r w:rsidR="00F0300F">
              <w:rPr>
                <w:iCs/>
                <w:sz w:val="20"/>
                <w:szCs w:val="20"/>
              </w:rPr>
              <w:t xml:space="preserve">PROs </w:t>
            </w:r>
            <w:r w:rsidR="00870AA7">
              <w:rPr>
                <w:iCs/>
                <w:sz w:val="20"/>
                <w:szCs w:val="20"/>
              </w:rPr>
              <w:t>and entered manually into a</w:t>
            </w:r>
            <w:r w:rsidR="00F0300F">
              <w:rPr>
                <w:iCs/>
                <w:sz w:val="20"/>
                <w:szCs w:val="20"/>
              </w:rPr>
              <w:t xml:space="preserve"> securely shared Excel spreadsheet. </w:t>
            </w:r>
            <w:r w:rsidR="004E3066">
              <w:rPr>
                <w:iCs/>
                <w:sz w:val="20"/>
                <w:szCs w:val="20"/>
              </w:rPr>
              <w:t>For every report that is run from the current tracker, an individual needs to download from the secure drive</w:t>
            </w:r>
            <w:r w:rsidR="00E30F75">
              <w:rPr>
                <w:iCs/>
                <w:sz w:val="20"/>
                <w:szCs w:val="20"/>
              </w:rPr>
              <w:t xml:space="preserve"> and </w:t>
            </w:r>
            <w:r w:rsidR="004E3066">
              <w:rPr>
                <w:iCs/>
                <w:sz w:val="20"/>
                <w:szCs w:val="20"/>
              </w:rPr>
              <w:t xml:space="preserve">manually alter </w:t>
            </w:r>
            <w:r w:rsidR="00E30F75">
              <w:rPr>
                <w:iCs/>
                <w:sz w:val="20"/>
                <w:szCs w:val="20"/>
              </w:rPr>
              <w:t xml:space="preserve">fields to comply with reporting templates. </w:t>
            </w:r>
            <w:r w:rsidR="00791B8E">
              <w:rPr>
                <w:iCs/>
                <w:sz w:val="20"/>
                <w:szCs w:val="20"/>
              </w:rPr>
              <w:t>There is a high opportunity for data entry and reporting errors, and no connectivity into the VH E</w:t>
            </w:r>
            <w:r w:rsidR="0023532E">
              <w:rPr>
                <w:iCs/>
                <w:sz w:val="20"/>
                <w:szCs w:val="20"/>
              </w:rPr>
              <w:t>H</w:t>
            </w:r>
            <w:r w:rsidR="00791B8E">
              <w:rPr>
                <w:iCs/>
                <w:sz w:val="20"/>
                <w:szCs w:val="20"/>
              </w:rPr>
              <w:t>R for coordinated outreach and engagement.</w:t>
            </w:r>
          </w:p>
        </w:tc>
      </w:tr>
      <w:tr w:rsidR="00D32EE4" w:rsidRPr="00591B72" w14:paraId="46B4D906" w14:textId="77777777" w:rsidTr="006C7B9E">
        <w:trPr>
          <w:trHeight w:val="827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2217D024" w14:textId="2F8B2E7B" w:rsidR="0053331D" w:rsidRPr="0053331D" w:rsidRDefault="002C2922" w:rsidP="00A8651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Having all the referrals entered directly into the VH EHR will </w:t>
            </w:r>
            <w:r w:rsidR="00791B8E">
              <w:rPr>
                <w:iCs/>
                <w:sz w:val="20"/>
                <w:szCs w:val="20"/>
              </w:rPr>
              <w:t xml:space="preserve">improve efficiency, </w:t>
            </w:r>
            <w:r w:rsidR="00046768">
              <w:rPr>
                <w:iCs/>
                <w:sz w:val="20"/>
                <w:szCs w:val="20"/>
              </w:rPr>
              <w:t xml:space="preserve">decrease data entry </w:t>
            </w:r>
            <w:r w:rsidR="00791B8E">
              <w:rPr>
                <w:iCs/>
                <w:sz w:val="20"/>
                <w:szCs w:val="20"/>
              </w:rPr>
              <w:t xml:space="preserve">and reporting </w:t>
            </w:r>
            <w:r w:rsidR="00046768">
              <w:rPr>
                <w:iCs/>
                <w:sz w:val="20"/>
                <w:szCs w:val="20"/>
              </w:rPr>
              <w:t>errors, reduce duplication of effort</w:t>
            </w:r>
            <w:r w:rsidR="007B06F3">
              <w:rPr>
                <w:iCs/>
                <w:sz w:val="20"/>
                <w:szCs w:val="20"/>
              </w:rPr>
              <w:t>, and allow for better coordination, outreach and reporting.</w:t>
            </w:r>
          </w:p>
          <w:p w14:paraId="071834F9" w14:textId="4A4DC2FC" w:rsidR="00D32EE4" w:rsidRPr="00591B72" w:rsidRDefault="00D32EE4" w:rsidP="00A86518">
            <w:pPr>
              <w:rPr>
                <w:i/>
                <w:sz w:val="20"/>
                <w:szCs w:val="20"/>
              </w:rPr>
            </w:pPr>
          </w:p>
        </w:tc>
      </w:tr>
      <w:tr w:rsidR="00D32EE4" w:rsidRPr="00591B72" w14:paraId="59AF6763" w14:textId="77777777" w:rsidTr="006C7B9E">
        <w:trPr>
          <w:trHeight w:val="1277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EBFFAA0" w14:textId="77777777" w:rsidR="006F3F91" w:rsidRPr="0053331D" w:rsidRDefault="006F3F91" w:rsidP="006F3F91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Having all the referrals entered directly into the VH EHR will allow for better outreach, engagement and follow-up to meet the individuals physical, behavioral and health-related social needs, decrease opportunity for data entry errors, reduce duplication of effort.</w:t>
            </w:r>
          </w:p>
          <w:p w14:paraId="5A9322EB" w14:textId="77777777" w:rsidR="006F3F91" w:rsidRPr="00591B72" w:rsidRDefault="006F3F91" w:rsidP="00A86518">
            <w:pPr>
              <w:rPr>
                <w:sz w:val="20"/>
                <w:szCs w:val="20"/>
              </w:rPr>
            </w:pPr>
          </w:p>
        </w:tc>
      </w:tr>
    </w:tbl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6206424A" w:rsidR="00E32B44" w:rsidRPr="00FD7AEA" w:rsidRDefault="008D2E19" w:rsidP="00E32B44">
            <w:pPr>
              <w:rPr>
                <w:iCs/>
                <w:sz w:val="20"/>
                <w:szCs w:val="20"/>
              </w:rPr>
            </w:pPr>
            <w:r w:rsidRPr="00FD7AEA">
              <w:rPr>
                <w:iCs/>
                <w:sz w:val="20"/>
                <w:szCs w:val="20"/>
              </w:rPr>
              <w:t xml:space="preserve">Assess the </w:t>
            </w:r>
            <w:r w:rsidR="00905F7B" w:rsidRPr="00FD7AEA">
              <w:rPr>
                <w:iCs/>
                <w:sz w:val="20"/>
                <w:szCs w:val="20"/>
              </w:rPr>
              <w:t>opportunity to automate this process in electronic health record – 10/202</w:t>
            </w:r>
            <w:r w:rsidR="001C3AFC">
              <w:rPr>
                <w:iCs/>
                <w:sz w:val="20"/>
                <w:szCs w:val="20"/>
              </w:rPr>
              <w:t>3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7595518E" w:rsidR="00E32B44" w:rsidRPr="00FD7AEA" w:rsidRDefault="00905F7B" w:rsidP="00E32B44">
            <w:pPr>
              <w:rPr>
                <w:iCs/>
                <w:sz w:val="20"/>
                <w:szCs w:val="20"/>
              </w:rPr>
            </w:pPr>
            <w:r w:rsidRPr="00FD7AEA">
              <w:rPr>
                <w:iCs/>
                <w:sz w:val="20"/>
                <w:szCs w:val="20"/>
              </w:rPr>
              <w:t>Develop the process</w:t>
            </w:r>
            <w:r w:rsidR="00547A8B" w:rsidRPr="00FD7AEA">
              <w:rPr>
                <w:iCs/>
                <w:sz w:val="20"/>
                <w:szCs w:val="20"/>
              </w:rPr>
              <w:t xml:space="preserve"> for utilization</w:t>
            </w:r>
            <w:r w:rsidR="00E8759F">
              <w:rPr>
                <w:iCs/>
                <w:sz w:val="20"/>
                <w:szCs w:val="20"/>
              </w:rPr>
              <w:t xml:space="preserve"> -</w:t>
            </w:r>
            <w:r w:rsidR="00547A8B" w:rsidRPr="00FD7AEA">
              <w:rPr>
                <w:iCs/>
                <w:sz w:val="20"/>
                <w:szCs w:val="20"/>
              </w:rPr>
              <w:t xml:space="preserve"> 1/2024</w:t>
            </w:r>
          </w:p>
        </w:tc>
      </w:tr>
      <w:tr w:rsidR="00AE34C2" w:rsidRPr="00591B72" w14:paraId="3A70A15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B5E8014" w14:textId="41202377" w:rsidR="00AE34C2" w:rsidRDefault="00AE34C2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364507E" w14:textId="0CA9C881" w:rsidR="00AE34C2" w:rsidRPr="00FD7AEA" w:rsidRDefault="00AE34C2" w:rsidP="00E32B44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Program system changes </w:t>
            </w:r>
            <w:r w:rsidR="00E8759F">
              <w:rPr>
                <w:iCs/>
                <w:sz w:val="20"/>
                <w:szCs w:val="20"/>
              </w:rPr>
              <w:t>-</w:t>
            </w:r>
            <w:r w:rsidR="003443C6">
              <w:rPr>
                <w:iCs/>
                <w:sz w:val="20"/>
                <w:szCs w:val="20"/>
              </w:rPr>
              <w:t xml:space="preserve"> 8</w:t>
            </w:r>
            <w:r w:rsidR="00E8759F">
              <w:rPr>
                <w:iCs/>
                <w:sz w:val="20"/>
                <w:szCs w:val="20"/>
              </w:rPr>
              <w:t>/24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768E2BC3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Task </w:t>
            </w:r>
            <w:r w:rsidR="003443C6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687DBBCD" w:rsidR="00E32B44" w:rsidRPr="00FD7AEA" w:rsidRDefault="00547A8B" w:rsidP="00E32B44">
            <w:pPr>
              <w:rPr>
                <w:iCs/>
                <w:sz w:val="20"/>
                <w:szCs w:val="20"/>
              </w:rPr>
            </w:pPr>
            <w:r w:rsidRPr="00FD7AEA">
              <w:rPr>
                <w:iCs/>
                <w:sz w:val="20"/>
                <w:szCs w:val="20"/>
              </w:rPr>
              <w:t>Education to external/internal partners</w:t>
            </w:r>
            <w:r w:rsidR="003443C6">
              <w:rPr>
                <w:iCs/>
                <w:sz w:val="20"/>
                <w:szCs w:val="20"/>
              </w:rPr>
              <w:t>-</w:t>
            </w:r>
            <w:r w:rsidRPr="00FD7AEA">
              <w:rPr>
                <w:iCs/>
                <w:sz w:val="20"/>
                <w:szCs w:val="20"/>
              </w:rPr>
              <w:t xml:space="preserve"> </w:t>
            </w:r>
            <w:r w:rsidR="00E8759F">
              <w:rPr>
                <w:iCs/>
                <w:sz w:val="20"/>
                <w:szCs w:val="20"/>
              </w:rPr>
              <w:t>9</w:t>
            </w:r>
            <w:r w:rsidRPr="00FD7AEA">
              <w:rPr>
                <w:iCs/>
                <w:sz w:val="20"/>
                <w:szCs w:val="20"/>
              </w:rPr>
              <w:t>/2024</w:t>
            </w:r>
          </w:p>
        </w:tc>
      </w:tr>
      <w:tr w:rsidR="00547A8B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5CEC7EBE" w:rsidR="00547A8B" w:rsidRPr="00591B72" w:rsidRDefault="00547A8B" w:rsidP="00547A8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Task </w:t>
            </w:r>
            <w:r w:rsidR="003443C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3A9A977E" w:rsidR="00547A8B" w:rsidRPr="00FD7AEA" w:rsidRDefault="00547A8B" w:rsidP="00547A8B">
            <w:pPr>
              <w:rPr>
                <w:iCs/>
                <w:sz w:val="20"/>
                <w:szCs w:val="20"/>
              </w:rPr>
            </w:pPr>
            <w:r w:rsidRPr="00FD7AEA">
              <w:rPr>
                <w:iCs/>
                <w:sz w:val="20"/>
                <w:szCs w:val="20"/>
              </w:rPr>
              <w:t xml:space="preserve">Begin use of the tool within Electronic Health Record </w:t>
            </w:r>
            <w:r w:rsidR="003443C6">
              <w:rPr>
                <w:iCs/>
                <w:sz w:val="20"/>
                <w:szCs w:val="20"/>
              </w:rPr>
              <w:t>-</w:t>
            </w:r>
            <w:r w:rsidR="00E8759F">
              <w:rPr>
                <w:iCs/>
                <w:sz w:val="20"/>
                <w:szCs w:val="20"/>
              </w:rPr>
              <w:t>10</w:t>
            </w:r>
            <w:r w:rsidRPr="00FD7AEA">
              <w:rPr>
                <w:iCs/>
                <w:sz w:val="20"/>
                <w:szCs w:val="20"/>
              </w:rPr>
              <w:t>/2024</w:t>
            </w:r>
          </w:p>
        </w:tc>
      </w:tr>
    </w:tbl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1" w:name="_Toc267208390"/>
      <w:r w:rsidRPr="00552555">
        <w:rPr>
          <w:color w:val="auto"/>
          <w:sz w:val="24"/>
          <w:szCs w:val="20"/>
        </w:rPr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6C7B9E">
        <w:trPr>
          <w:trHeight w:val="611"/>
        </w:trPr>
        <w:tc>
          <w:tcPr>
            <w:tcW w:w="9918" w:type="dxa"/>
          </w:tcPr>
          <w:p w14:paraId="6C469279" w14:textId="77777777" w:rsidR="00D32EE4" w:rsidRDefault="00A51EA5" w:rsidP="00A51EA5">
            <w:pPr>
              <w:pStyle w:val="ListParagraph"/>
              <w:numPr>
                <w:ilvl w:val="0"/>
                <w:numId w:val="7"/>
              </w:numPr>
              <w:rPr>
                <w:iCs/>
                <w:sz w:val="20"/>
                <w:szCs w:val="20"/>
              </w:rPr>
            </w:pPr>
            <w:r w:rsidRPr="00A51EA5">
              <w:rPr>
                <w:iCs/>
                <w:sz w:val="20"/>
                <w:szCs w:val="20"/>
              </w:rPr>
              <w:t xml:space="preserve">Identified Justice sites of </w:t>
            </w:r>
            <w:r w:rsidR="003E7F75" w:rsidRPr="00A51EA5">
              <w:rPr>
                <w:iCs/>
                <w:sz w:val="20"/>
                <w:szCs w:val="20"/>
              </w:rPr>
              <w:t>Avondale, Mesa, North Phoenix, South Central, Mobile Health Unit</w:t>
            </w:r>
          </w:p>
          <w:p w14:paraId="5F616EA5" w14:textId="77777777" w:rsidR="00EC2824" w:rsidRDefault="00EC2824" w:rsidP="00A51EA5">
            <w:pPr>
              <w:pStyle w:val="ListParagraph"/>
              <w:numPr>
                <w:ilvl w:val="0"/>
                <w:numId w:val="7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Changes to VH EHR to allow for:</w:t>
            </w:r>
          </w:p>
          <w:p w14:paraId="01CD1BE7" w14:textId="6036C93A" w:rsidR="00A51EA5" w:rsidRDefault="00EC2824" w:rsidP="00EC2824">
            <w:pPr>
              <w:pStyle w:val="ListParagraph"/>
              <w:numPr>
                <w:ilvl w:val="1"/>
                <w:numId w:val="7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External access to enter referral information</w:t>
            </w:r>
          </w:p>
          <w:p w14:paraId="103F273E" w14:textId="77777777" w:rsidR="00EC2824" w:rsidRDefault="00EC2824" w:rsidP="00EC2824">
            <w:pPr>
              <w:pStyle w:val="ListParagraph"/>
              <w:numPr>
                <w:ilvl w:val="1"/>
                <w:numId w:val="7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Automated reporting in compliance with AHCCCS and ASU templates</w:t>
            </w:r>
          </w:p>
          <w:p w14:paraId="1D0827D6" w14:textId="79F5609F" w:rsidR="007B50AF" w:rsidRDefault="007B50AF" w:rsidP="007B50AF">
            <w:pPr>
              <w:pStyle w:val="ListParagraph"/>
              <w:numPr>
                <w:ilvl w:val="0"/>
                <w:numId w:val="7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Training, education, and monitoring of external users into the VH EHR</w:t>
            </w:r>
          </w:p>
          <w:p w14:paraId="751A8913" w14:textId="04584CF5" w:rsidR="007B50AF" w:rsidRPr="00A51EA5" w:rsidRDefault="007B50AF" w:rsidP="00E71FD1">
            <w:pPr>
              <w:pStyle w:val="ListParagraph"/>
              <w:rPr>
                <w:iCs/>
                <w:sz w:val="20"/>
                <w:szCs w:val="20"/>
              </w:rPr>
            </w:pP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6C7B9E">
        <w:trPr>
          <w:trHeight w:val="728"/>
        </w:trPr>
        <w:tc>
          <w:tcPr>
            <w:tcW w:w="9918" w:type="dxa"/>
          </w:tcPr>
          <w:p w14:paraId="53527BAA" w14:textId="77777777" w:rsidR="00D32EE4" w:rsidRDefault="00593A19" w:rsidP="00E71FD1">
            <w:pPr>
              <w:pStyle w:val="ListParagraph"/>
              <w:numPr>
                <w:ilvl w:val="0"/>
                <w:numId w:val="8"/>
              </w:numPr>
              <w:rPr>
                <w:iCs/>
                <w:sz w:val="20"/>
                <w:szCs w:val="20"/>
              </w:rPr>
            </w:pPr>
            <w:r w:rsidRPr="00E71FD1">
              <w:rPr>
                <w:iCs/>
                <w:sz w:val="20"/>
                <w:szCs w:val="20"/>
              </w:rPr>
              <w:t>Specialty Clinics</w:t>
            </w:r>
            <w:r w:rsidR="003E7F75" w:rsidRPr="00E71FD1">
              <w:rPr>
                <w:iCs/>
                <w:sz w:val="20"/>
                <w:szCs w:val="20"/>
              </w:rPr>
              <w:t xml:space="preserve"> and other FQHCs not listed above</w:t>
            </w:r>
          </w:p>
          <w:p w14:paraId="30328B10" w14:textId="462A18DD" w:rsidR="00E71FD1" w:rsidRPr="00E71FD1" w:rsidRDefault="00E71FD1" w:rsidP="00E71FD1">
            <w:pPr>
              <w:pStyle w:val="ListParagraph"/>
              <w:numPr>
                <w:ilvl w:val="0"/>
                <w:numId w:val="8"/>
              </w:num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Populations not identified as justice involved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26E41AB9" w:rsidR="00580A0F" w:rsidRPr="00591B72" w:rsidRDefault="00CD5CF5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Vicki Staples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2185C0F4" w:rsidR="00580A0F" w:rsidRPr="00591B72" w:rsidRDefault="00CD5CF5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Michael White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30C843F" w:rsidR="00580A0F" w:rsidRPr="00591B72" w:rsidRDefault="003E7F75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Luis Madera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69517522" w:rsidR="00580A0F" w:rsidRPr="00591B72" w:rsidRDefault="00AB4D91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Melissa Thomas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D14829">
        <w:trPr>
          <w:trHeight w:val="314"/>
        </w:trPr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C7CC6" w:rsidRPr="00591B72" w14:paraId="2709E7CE" w14:textId="77777777" w:rsidTr="0007737A">
        <w:tc>
          <w:tcPr>
            <w:tcW w:w="1250" w:type="pct"/>
            <w:vAlign w:val="center"/>
          </w:tcPr>
          <w:p w14:paraId="22CEE26D" w14:textId="05568253" w:rsidR="008C7CC6" w:rsidRDefault="00404DC4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Dr. Michael White</w:t>
            </w:r>
          </w:p>
        </w:tc>
        <w:tc>
          <w:tcPr>
            <w:tcW w:w="1250" w:type="pct"/>
            <w:vAlign w:val="center"/>
          </w:tcPr>
          <w:p w14:paraId="75D12ACA" w14:textId="666995E1" w:rsidR="008C7CC6" w:rsidRDefault="00404DC4" w:rsidP="00404DC4">
            <w:pPr>
              <w:shd w:val="clear" w:color="auto" w:fill="FFFFFF"/>
              <w:spacing w:line="285" w:lineRule="atLeast"/>
              <w:textAlignment w:val="baseline"/>
              <w:rPr>
                <w:iCs/>
                <w:sz w:val="20"/>
                <w:szCs w:val="20"/>
              </w:rPr>
            </w:pPr>
            <w:r w:rsidRPr="00404DC4">
              <w:rPr>
                <w:iCs/>
                <w:sz w:val="20"/>
                <w:szCs w:val="20"/>
              </w:rPr>
              <w:t>EVP and Chief Clinical Officer</w:t>
            </w:r>
          </w:p>
        </w:tc>
        <w:tc>
          <w:tcPr>
            <w:tcW w:w="1249" w:type="pct"/>
            <w:vAlign w:val="center"/>
          </w:tcPr>
          <w:p w14:paraId="2FACB462" w14:textId="77777777" w:rsidR="00404DC4" w:rsidRPr="00404DC4" w:rsidRDefault="00404DC4" w:rsidP="00404DC4">
            <w:pPr>
              <w:shd w:val="clear" w:color="auto" w:fill="FFFFFF"/>
              <w:spacing w:line="285" w:lineRule="atLeast"/>
              <w:textAlignment w:val="baseline"/>
              <w:rPr>
                <w:iCs/>
                <w:sz w:val="20"/>
                <w:szCs w:val="20"/>
              </w:rPr>
            </w:pPr>
            <w:r w:rsidRPr="00404DC4">
              <w:rPr>
                <w:iCs/>
                <w:sz w:val="20"/>
                <w:szCs w:val="20"/>
              </w:rPr>
              <w:t>Hospital Administration</w:t>
            </w:r>
          </w:p>
          <w:p w14:paraId="74637440" w14:textId="77777777" w:rsidR="008C7CC6" w:rsidRDefault="008C7CC6" w:rsidP="009661D8">
            <w:pPr>
              <w:rPr>
                <w:iCs/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266FB89B" w14:textId="5B46273E" w:rsidR="008C7CC6" w:rsidRDefault="00404DC4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Valleywise Health</w:t>
            </w:r>
          </w:p>
        </w:tc>
      </w:tr>
      <w:tr w:rsidR="00FB0CE8" w:rsidRPr="00591B72" w14:paraId="7BB474E6" w14:textId="77777777" w:rsidTr="0007737A">
        <w:tc>
          <w:tcPr>
            <w:tcW w:w="1250" w:type="pct"/>
            <w:vAlign w:val="center"/>
          </w:tcPr>
          <w:p w14:paraId="1DD6E906" w14:textId="263CC4B6" w:rsidR="00FB0CE8" w:rsidRPr="00FB0CE8" w:rsidRDefault="00AB4D91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VH TI 2.0 Steering Committee</w:t>
            </w:r>
          </w:p>
        </w:tc>
        <w:tc>
          <w:tcPr>
            <w:tcW w:w="1250" w:type="pct"/>
            <w:vAlign w:val="center"/>
          </w:tcPr>
          <w:p w14:paraId="58B64493" w14:textId="0DFE051C" w:rsidR="00FB0CE8" w:rsidRPr="00FB0CE8" w:rsidRDefault="008D0C5F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NA</w:t>
            </w:r>
          </w:p>
        </w:tc>
        <w:tc>
          <w:tcPr>
            <w:tcW w:w="1249" w:type="pct"/>
            <w:vAlign w:val="center"/>
          </w:tcPr>
          <w:p w14:paraId="63719A7C" w14:textId="4876905B" w:rsidR="00FB0CE8" w:rsidRPr="00FB0CE8" w:rsidRDefault="008D0C5F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Cross-functional representation, including ambulatory</w:t>
            </w:r>
            <w:r w:rsidR="00F544F5">
              <w:rPr>
                <w:iCs/>
                <w:sz w:val="20"/>
                <w:szCs w:val="20"/>
              </w:rPr>
              <w:t xml:space="preserve"> care</w:t>
            </w:r>
            <w:r>
              <w:rPr>
                <w:iCs/>
                <w:sz w:val="20"/>
                <w:szCs w:val="20"/>
              </w:rPr>
              <w:t>, care management, integrated behavioral health</w:t>
            </w:r>
            <w:r w:rsidR="00404DC4">
              <w:rPr>
                <w:iCs/>
                <w:sz w:val="20"/>
                <w:szCs w:val="20"/>
              </w:rPr>
              <w:t>, IT</w:t>
            </w:r>
            <w:r w:rsidR="00F544F5">
              <w:rPr>
                <w:iCs/>
                <w:sz w:val="20"/>
                <w:szCs w:val="20"/>
              </w:rPr>
              <w:t>, finance, quality</w:t>
            </w:r>
          </w:p>
        </w:tc>
        <w:tc>
          <w:tcPr>
            <w:tcW w:w="1251" w:type="pct"/>
            <w:vAlign w:val="center"/>
          </w:tcPr>
          <w:p w14:paraId="18407425" w14:textId="4600092B" w:rsidR="00FB0CE8" w:rsidRPr="00FB0CE8" w:rsidRDefault="008C7CC6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Valleywise Health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4A6695" w:rsidRPr="00591B72" w14:paraId="1420F899" w14:textId="77777777" w:rsidTr="009661D8">
        <w:tc>
          <w:tcPr>
            <w:tcW w:w="2500" w:type="pct"/>
            <w:vAlign w:val="center"/>
          </w:tcPr>
          <w:p w14:paraId="6654A1BF" w14:textId="1B0A9AE7" w:rsidR="004A669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Dr. Michael White</w:t>
            </w:r>
          </w:p>
        </w:tc>
        <w:tc>
          <w:tcPr>
            <w:tcW w:w="2500" w:type="pct"/>
            <w:vAlign w:val="center"/>
          </w:tcPr>
          <w:p w14:paraId="57CDFAF2" w14:textId="444EE992" w:rsidR="004A669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Project Champion</w:t>
            </w:r>
          </w:p>
        </w:tc>
      </w:tr>
      <w:tr w:rsidR="004A6695" w:rsidRPr="00591B72" w14:paraId="52D6845D" w14:textId="77777777" w:rsidTr="009661D8">
        <w:tc>
          <w:tcPr>
            <w:tcW w:w="2500" w:type="pct"/>
            <w:vAlign w:val="center"/>
          </w:tcPr>
          <w:p w14:paraId="4EA9D407" w14:textId="190A4331" w:rsidR="004A6695" w:rsidRPr="00F544F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Vicki Staples</w:t>
            </w:r>
          </w:p>
        </w:tc>
        <w:tc>
          <w:tcPr>
            <w:tcW w:w="2500" w:type="pct"/>
            <w:vAlign w:val="center"/>
          </w:tcPr>
          <w:p w14:paraId="6437FC4A" w14:textId="25A88830" w:rsidR="004A6695" w:rsidRPr="00F544F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Team Lead</w:t>
            </w:r>
          </w:p>
        </w:tc>
      </w:tr>
      <w:tr w:rsidR="004A6695" w:rsidRPr="00591B72" w14:paraId="4C575CEA" w14:textId="77777777" w:rsidTr="009661D8">
        <w:tc>
          <w:tcPr>
            <w:tcW w:w="2500" w:type="pct"/>
            <w:vAlign w:val="center"/>
          </w:tcPr>
          <w:p w14:paraId="45E8931F" w14:textId="6F75D2B1" w:rsidR="004A6695" w:rsidRPr="00F544F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Jose Luis Madera</w:t>
            </w:r>
          </w:p>
        </w:tc>
        <w:tc>
          <w:tcPr>
            <w:tcW w:w="2500" w:type="pct"/>
            <w:vAlign w:val="center"/>
          </w:tcPr>
          <w:p w14:paraId="0660D851" w14:textId="4DA05D9B" w:rsidR="004A6695" w:rsidRPr="00F544F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Process Owner</w:t>
            </w:r>
          </w:p>
        </w:tc>
      </w:tr>
      <w:tr w:rsidR="004A6695" w:rsidRPr="00591B72" w14:paraId="7F600338" w14:textId="77777777" w:rsidTr="009661D8">
        <w:tc>
          <w:tcPr>
            <w:tcW w:w="2500" w:type="pct"/>
            <w:vAlign w:val="center"/>
          </w:tcPr>
          <w:p w14:paraId="0C39CD84" w14:textId="3EECCD43" w:rsidR="004A6695" w:rsidRPr="00F544F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Melissa Thomas</w:t>
            </w:r>
          </w:p>
        </w:tc>
        <w:tc>
          <w:tcPr>
            <w:tcW w:w="2500" w:type="pct"/>
            <w:vAlign w:val="center"/>
          </w:tcPr>
          <w:p w14:paraId="208DEA3E" w14:textId="59BEF6F0" w:rsidR="004A6695" w:rsidRPr="00F544F5" w:rsidRDefault="004A6695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Process Manager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2A333B88" w:rsidR="00C4241F" w:rsidRPr="00F544F5" w:rsidRDefault="00A93ADD" w:rsidP="009661D8">
            <w:pPr>
              <w:rPr>
                <w:iCs/>
                <w:sz w:val="20"/>
                <w:szCs w:val="20"/>
              </w:rPr>
            </w:pPr>
            <w:r w:rsidRPr="00F544F5">
              <w:rPr>
                <w:iCs/>
                <w:sz w:val="20"/>
                <w:szCs w:val="20"/>
              </w:rPr>
              <w:t>Michael Parks</w:t>
            </w:r>
          </w:p>
        </w:tc>
        <w:tc>
          <w:tcPr>
            <w:tcW w:w="2500" w:type="pct"/>
            <w:vAlign w:val="center"/>
          </w:tcPr>
          <w:p w14:paraId="31734A6D" w14:textId="546ADAD7" w:rsidR="00C4241F" w:rsidRPr="00F544F5" w:rsidRDefault="00A93ADD" w:rsidP="009661D8">
            <w:pPr>
              <w:rPr>
                <w:iCs/>
                <w:sz w:val="20"/>
                <w:szCs w:val="20"/>
              </w:rPr>
            </w:pPr>
            <w:r w:rsidRPr="00F544F5">
              <w:rPr>
                <w:iCs/>
                <w:sz w:val="20"/>
                <w:szCs w:val="20"/>
              </w:rPr>
              <w:t>IT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20CD968A" w:rsidR="00C4241F" w:rsidRPr="00F544F5" w:rsidRDefault="00A93ADD" w:rsidP="009661D8">
            <w:pPr>
              <w:rPr>
                <w:iCs/>
                <w:sz w:val="20"/>
                <w:szCs w:val="20"/>
              </w:rPr>
            </w:pPr>
            <w:r w:rsidRPr="00F544F5">
              <w:rPr>
                <w:iCs/>
                <w:sz w:val="20"/>
                <w:szCs w:val="20"/>
              </w:rPr>
              <w:t>Crystal Garcia</w:t>
            </w:r>
          </w:p>
        </w:tc>
        <w:tc>
          <w:tcPr>
            <w:tcW w:w="2500" w:type="pct"/>
            <w:vAlign w:val="center"/>
          </w:tcPr>
          <w:p w14:paraId="650450BB" w14:textId="2A9ACCF2" w:rsidR="00C4241F" w:rsidRPr="00F544F5" w:rsidRDefault="00A93ADD" w:rsidP="009661D8">
            <w:pPr>
              <w:rPr>
                <w:iCs/>
                <w:sz w:val="20"/>
                <w:szCs w:val="20"/>
              </w:rPr>
            </w:pPr>
            <w:r w:rsidRPr="00F544F5">
              <w:rPr>
                <w:iCs/>
                <w:sz w:val="20"/>
                <w:szCs w:val="20"/>
              </w:rPr>
              <w:t>Quality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6DD82B39" w:rsidR="00C4241F" w:rsidRPr="00F544F5" w:rsidRDefault="001C3592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Peer Run Organization</w:t>
            </w:r>
            <w:r w:rsidR="00682296">
              <w:rPr>
                <w:iCs/>
                <w:sz w:val="20"/>
                <w:szCs w:val="20"/>
              </w:rPr>
              <w:t xml:space="preserve"> staff</w:t>
            </w:r>
            <w:r>
              <w:rPr>
                <w:iCs/>
                <w:sz w:val="20"/>
                <w:szCs w:val="20"/>
              </w:rPr>
              <w:t xml:space="preserve"> (CHR, Hope Inc., Hope Lives)</w:t>
            </w:r>
          </w:p>
        </w:tc>
        <w:tc>
          <w:tcPr>
            <w:tcW w:w="2500" w:type="pct"/>
            <w:vAlign w:val="center"/>
          </w:tcPr>
          <w:p w14:paraId="4CBF970D" w14:textId="3E749E72" w:rsidR="00C4241F" w:rsidRPr="00F544F5" w:rsidRDefault="005B3FE0" w:rsidP="009661D8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Receiving referrals, engaging </w:t>
            </w:r>
            <w:r w:rsidR="00C75226">
              <w:rPr>
                <w:iCs/>
                <w:sz w:val="20"/>
                <w:szCs w:val="20"/>
              </w:rPr>
              <w:t>individuals, scheduling appointments, entering information into tracker/EHR</w:t>
            </w: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6960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5483D38F" w14:textId="77777777" w:rsidR="002612D5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  <w:p w14:paraId="3FEB32DC" w14:textId="57FB0A5A" w:rsidR="00CD5CF5" w:rsidRPr="00CD5CF5" w:rsidRDefault="00CD5CF5" w:rsidP="002612D5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 w:rsidRPr="00CD5CF5">
              <w:rPr>
                <w:rFonts w:eastAsiaTheme="majorEastAsia"/>
                <w:b/>
                <w:i/>
                <w:iCs/>
                <w:sz w:val="20"/>
                <w:szCs w:val="20"/>
              </w:rPr>
              <w:t>Jose Luis Madera</w:t>
            </w:r>
          </w:p>
        </w:tc>
        <w:tc>
          <w:tcPr>
            <w:tcW w:w="7110" w:type="dxa"/>
            <w:vAlign w:val="center"/>
          </w:tcPr>
          <w:p w14:paraId="3D0AF52B" w14:textId="1C4AC3A1" w:rsidR="002612D5" w:rsidRPr="00591B72" w:rsidRDefault="005F7516" w:rsidP="002612D5">
            <w:pPr>
              <w:rPr>
                <w:rFonts w:eastAsiaTheme="majorEastAsia"/>
                <w:sz w:val="20"/>
                <w:szCs w:val="20"/>
              </w:rPr>
            </w:pPr>
            <w:r>
              <w:rPr>
                <w:rFonts w:eastAsiaTheme="majorEastAsia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7B3FB4B4" wp14:editId="393218E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25400</wp:posOffset>
                  </wp:positionV>
                  <wp:extent cx="1583690" cy="393065"/>
                  <wp:effectExtent l="0" t="0" r="0" b="6985"/>
                  <wp:wrapNone/>
                  <wp:docPr id="1313278472" name="Picture 1" descr="A close-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278472" name="Picture 1" descr="A close-up of a signatur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40492B08" w14:textId="77777777" w:rsidR="002612D5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  <w:p w14:paraId="1C9BC99A" w14:textId="1BE193B0" w:rsidR="00CD5CF5" w:rsidRPr="00CD5CF5" w:rsidRDefault="00CD5CF5" w:rsidP="002612D5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 w:rsidRPr="00CD5CF5">
              <w:rPr>
                <w:rFonts w:eastAsiaTheme="majorEastAsia"/>
                <w:b/>
                <w:i/>
                <w:iCs/>
                <w:sz w:val="20"/>
                <w:szCs w:val="20"/>
              </w:rPr>
              <w:t>Dr. Michael White</w:t>
            </w:r>
          </w:p>
        </w:tc>
        <w:tc>
          <w:tcPr>
            <w:tcW w:w="7110" w:type="dxa"/>
            <w:vAlign w:val="center"/>
          </w:tcPr>
          <w:p w14:paraId="1F91EC91" w14:textId="6E514F5E" w:rsidR="002612D5" w:rsidRPr="00591B72" w:rsidRDefault="00D54405" w:rsidP="002612D5">
            <w:pPr>
              <w:rPr>
                <w:rFonts w:eastAsiaTheme="majorEastAsia"/>
                <w:sz w:val="20"/>
                <w:szCs w:val="20"/>
              </w:rPr>
            </w:pPr>
            <w:r w:rsidRPr="00D54405">
              <w:rPr>
                <w:rFonts w:eastAsiaTheme="majorEastAsia"/>
                <w:sz w:val="20"/>
                <w:szCs w:val="20"/>
              </w:rPr>
              <w:drawing>
                <wp:inline distT="0" distB="0" distL="0" distR="0" wp14:anchorId="405EC920" wp14:editId="1C74180C">
                  <wp:extent cx="685800" cy="499654"/>
                  <wp:effectExtent l="0" t="0" r="0" b="0"/>
                  <wp:docPr id="2121285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28546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57" cy="50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6081BDA4" w14:textId="77777777" w:rsidR="002612D5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  <w:p w14:paraId="2FCD3CC4" w14:textId="62FF7AA3" w:rsidR="00CD5CF5" w:rsidRPr="00CD5CF5" w:rsidRDefault="00CD5CF5" w:rsidP="0049271E">
            <w:pPr>
              <w:rPr>
                <w:rFonts w:eastAsiaTheme="majorEastAsia"/>
                <w:b/>
                <w:i/>
                <w:iCs/>
                <w:sz w:val="20"/>
                <w:szCs w:val="20"/>
              </w:rPr>
            </w:pPr>
            <w:r w:rsidRPr="00CD5CF5">
              <w:rPr>
                <w:rFonts w:eastAsiaTheme="majorEastAsia"/>
                <w:b/>
                <w:i/>
                <w:iCs/>
                <w:sz w:val="20"/>
                <w:szCs w:val="20"/>
              </w:rPr>
              <w:t>Vicki Staples</w:t>
            </w:r>
          </w:p>
        </w:tc>
        <w:tc>
          <w:tcPr>
            <w:tcW w:w="7110" w:type="dxa"/>
            <w:vAlign w:val="center"/>
          </w:tcPr>
          <w:p w14:paraId="6FA100B2" w14:textId="3246E253" w:rsidR="002612D5" w:rsidRPr="00591B72" w:rsidRDefault="00FE3F00" w:rsidP="002612D5">
            <w:pPr>
              <w:rPr>
                <w:rFonts w:eastAsiaTheme="majorEastAsia"/>
                <w:sz w:val="20"/>
                <w:szCs w:val="20"/>
              </w:rPr>
            </w:pPr>
            <w:r w:rsidRPr="00FE3F00">
              <w:rPr>
                <w:rFonts w:eastAsiaTheme="majorEastAsia"/>
                <w:noProof/>
                <w:sz w:val="20"/>
                <w:szCs w:val="20"/>
              </w:rPr>
              <w:drawing>
                <wp:inline distT="0" distB="0" distL="0" distR="0" wp14:anchorId="646556F4" wp14:editId="659D77E4">
                  <wp:extent cx="1485900" cy="631934"/>
                  <wp:effectExtent l="0" t="0" r="0" b="0"/>
                  <wp:docPr id="1793712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71257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925" cy="64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15"/>
      <w:headerReference w:type="first" r:id="rId16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AC5E9" w14:textId="77777777" w:rsidR="00BF273F" w:rsidRDefault="00BF273F" w:rsidP="008D3226">
      <w:pPr>
        <w:spacing w:after="0" w:line="240" w:lineRule="auto"/>
      </w:pPr>
      <w:r>
        <w:separator/>
      </w:r>
    </w:p>
  </w:endnote>
  <w:endnote w:type="continuationSeparator" w:id="0">
    <w:p w14:paraId="1DB1F3CE" w14:textId="77777777" w:rsidR="00BF273F" w:rsidRDefault="00BF273F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3F70C" w14:textId="77777777" w:rsidR="00BF273F" w:rsidRDefault="00BF273F" w:rsidP="008D3226">
      <w:pPr>
        <w:spacing w:after="0" w:line="240" w:lineRule="auto"/>
      </w:pPr>
      <w:r>
        <w:separator/>
      </w:r>
    </w:p>
  </w:footnote>
  <w:footnote w:type="continuationSeparator" w:id="0">
    <w:p w14:paraId="793B8292" w14:textId="77777777" w:rsidR="00BF273F" w:rsidRDefault="00BF273F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89D94C7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 w:rsidRPr="00682296">
      <w:rPr>
        <w:b/>
        <w:sz w:val="36"/>
        <w:szCs w:val="36"/>
      </w:rPr>
      <w:tab/>
    </w:r>
    <w:r w:rsidR="00682296" w:rsidRPr="00682296">
      <w:rPr>
        <w:b/>
        <w:sz w:val="36"/>
        <w:szCs w:val="36"/>
      </w:rPr>
      <w:t>Valleywise Health</w:t>
    </w:r>
    <w:r w:rsidR="00682296">
      <w:t xml:space="preserve"> </w:t>
    </w:r>
    <w:r w:rsidR="00A147EC" w:rsidRPr="00A147EC">
      <w:rPr>
        <w:b/>
        <w:sz w:val="36"/>
        <w:szCs w:val="36"/>
      </w:rPr>
      <w:t>Justice</w:t>
    </w:r>
    <w:r w:rsidR="00A147EC">
      <w:t xml:space="preserve"> </w:t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764"/>
    <w:multiLevelType w:val="hybridMultilevel"/>
    <w:tmpl w:val="6C60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3616B"/>
    <w:multiLevelType w:val="hybridMultilevel"/>
    <w:tmpl w:val="1A70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5"/>
  </w:num>
  <w:num w:numId="2" w16cid:durableId="1536120365">
    <w:abstractNumId w:val="7"/>
  </w:num>
  <w:num w:numId="3" w16cid:durableId="304044124">
    <w:abstractNumId w:val="4"/>
  </w:num>
  <w:num w:numId="4" w16cid:durableId="421729953">
    <w:abstractNumId w:val="3"/>
  </w:num>
  <w:num w:numId="5" w16cid:durableId="56130086">
    <w:abstractNumId w:val="1"/>
  </w:num>
  <w:num w:numId="6" w16cid:durableId="2093353423">
    <w:abstractNumId w:val="2"/>
  </w:num>
  <w:num w:numId="7" w16cid:durableId="112947950">
    <w:abstractNumId w:val="6"/>
  </w:num>
  <w:num w:numId="8" w16cid:durableId="135530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272F3"/>
    <w:rsid w:val="00046768"/>
    <w:rsid w:val="0005023F"/>
    <w:rsid w:val="00054A55"/>
    <w:rsid w:val="000568C3"/>
    <w:rsid w:val="00067D64"/>
    <w:rsid w:val="00071209"/>
    <w:rsid w:val="0007737A"/>
    <w:rsid w:val="0009151E"/>
    <w:rsid w:val="000D0374"/>
    <w:rsid w:val="000F32CA"/>
    <w:rsid w:val="00127ACE"/>
    <w:rsid w:val="00137851"/>
    <w:rsid w:val="001472C1"/>
    <w:rsid w:val="001716FB"/>
    <w:rsid w:val="0017682C"/>
    <w:rsid w:val="001B3B34"/>
    <w:rsid w:val="001C3592"/>
    <w:rsid w:val="001C3AFC"/>
    <w:rsid w:val="001D1553"/>
    <w:rsid w:val="001D56A9"/>
    <w:rsid w:val="001E304D"/>
    <w:rsid w:val="001E7781"/>
    <w:rsid w:val="002264D3"/>
    <w:rsid w:val="0023532E"/>
    <w:rsid w:val="002612D5"/>
    <w:rsid w:val="00265F3B"/>
    <w:rsid w:val="00293DAA"/>
    <w:rsid w:val="002C2922"/>
    <w:rsid w:val="003443C6"/>
    <w:rsid w:val="003465E9"/>
    <w:rsid w:val="0036767F"/>
    <w:rsid w:val="00383DA2"/>
    <w:rsid w:val="0038703C"/>
    <w:rsid w:val="00396BB1"/>
    <w:rsid w:val="003A4D4F"/>
    <w:rsid w:val="003C18CF"/>
    <w:rsid w:val="003E2401"/>
    <w:rsid w:val="003E52B4"/>
    <w:rsid w:val="003E6050"/>
    <w:rsid w:val="003E7F75"/>
    <w:rsid w:val="003F27EB"/>
    <w:rsid w:val="00404DC4"/>
    <w:rsid w:val="00431C83"/>
    <w:rsid w:val="00474CD8"/>
    <w:rsid w:val="0049271E"/>
    <w:rsid w:val="00495439"/>
    <w:rsid w:val="004A27EB"/>
    <w:rsid w:val="004A6695"/>
    <w:rsid w:val="004B5565"/>
    <w:rsid w:val="004D36DF"/>
    <w:rsid w:val="004E3066"/>
    <w:rsid w:val="005015E9"/>
    <w:rsid w:val="00502B84"/>
    <w:rsid w:val="00504076"/>
    <w:rsid w:val="0053331D"/>
    <w:rsid w:val="00547A8B"/>
    <w:rsid w:val="00552555"/>
    <w:rsid w:val="005525AD"/>
    <w:rsid w:val="005552C8"/>
    <w:rsid w:val="00557433"/>
    <w:rsid w:val="00580A0F"/>
    <w:rsid w:val="00591B72"/>
    <w:rsid w:val="00593A19"/>
    <w:rsid w:val="005A253A"/>
    <w:rsid w:val="005A53A2"/>
    <w:rsid w:val="005B3FE0"/>
    <w:rsid w:val="005B5879"/>
    <w:rsid w:val="005C4F75"/>
    <w:rsid w:val="005D4830"/>
    <w:rsid w:val="005D4AB0"/>
    <w:rsid w:val="005E023B"/>
    <w:rsid w:val="005F7076"/>
    <w:rsid w:val="005F7516"/>
    <w:rsid w:val="00600BD1"/>
    <w:rsid w:val="00631C5D"/>
    <w:rsid w:val="00641501"/>
    <w:rsid w:val="0066281E"/>
    <w:rsid w:val="00676CD0"/>
    <w:rsid w:val="00682296"/>
    <w:rsid w:val="0068625E"/>
    <w:rsid w:val="0069430D"/>
    <w:rsid w:val="006C7B9E"/>
    <w:rsid w:val="006F3F91"/>
    <w:rsid w:val="0070116E"/>
    <w:rsid w:val="007625F4"/>
    <w:rsid w:val="007817EC"/>
    <w:rsid w:val="00786485"/>
    <w:rsid w:val="00791B8E"/>
    <w:rsid w:val="007A5208"/>
    <w:rsid w:val="007B06F3"/>
    <w:rsid w:val="007B50AF"/>
    <w:rsid w:val="007C5EC9"/>
    <w:rsid w:val="007E582D"/>
    <w:rsid w:val="00801178"/>
    <w:rsid w:val="008123C3"/>
    <w:rsid w:val="0081760F"/>
    <w:rsid w:val="008364C7"/>
    <w:rsid w:val="008375C2"/>
    <w:rsid w:val="008376AA"/>
    <w:rsid w:val="00841833"/>
    <w:rsid w:val="00841930"/>
    <w:rsid w:val="00846625"/>
    <w:rsid w:val="0085360D"/>
    <w:rsid w:val="00870AA7"/>
    <w:rsid w:val="00880712"/>
    <w:rsid w:val="008C7CC6"/>
    <w:rsid w:val="008D0C5F"/>
    <w:rsid w:val="008D2E19"/>
    <w:rsid w:val="008D3226"/>
    <w:rsid w:val="00905F7B"/>
    <w:rsid w:val="00913B8E"/>
    <w:rsid w:val="00922206"/>
    <w:rsid w:val="00946E7F"/>
    <w:rsid w:val="009661D8"/>
    <w:rsid w:val="009D1C0F"/>
    <w:rsid w:val="00A147EC"/>
    <w:rsid w:val="00A151B9"/>
    <w:rsid w:val="00A2249D"/>
    <w:rsid w:val="00A236A4"/>
    <w:rsid w:val="00A46BB7"/>
    <w:rsid w:val="00A51EA5"/>
    <w:rsid w:val="00A62EF3"/>
    <w:rsid w:val="00A65A01"/>
    <w:rsid w:val="00A8429D"/>
    <w:rsid w:val="00A93ADD"/>
    <w:rsid w:val="00AB4D91"/>
    <w:rsid w:val="00AD33C1"/>
    <w:rsid w:val="00AD3CAA"/>
    <w:rsid w:val="00AE34C2"/>
    <w:rsid w:val="00AE73B6"/>
    <w:rsid w:val="00AF280C"/>
    <w:rsid w:val="00AF7B40"/>
    <w:rsid w:val="00B115EF"/>
    <w:rsid w:val="00B12C6B"/>
    <w:rsid w:val="00B57331"/>
    <w:rsid w:val="00B651AB"/>
    <w:rsid w:val="00B75EFE"/>
    <w:rsid w:val="00BF273F"/>
    <w:rsid w:val="00C00D1F"/>
    <w:rsid w:val="00C2119C"/>
    <w:rsid w:val="00C242F0"/>
    <w:rsid w:val="00C4241F"/>
    <w:rsid w:val="00C534C1"/>
    <w:rsid w:val="00C75226"/>
    <w:rsid w:val="00C92967"/>
    <w:rsid w:val="00CC17EF"/>
    <w:rsid w:val="00CD47A3"/>
    <w:rsid w:val="00CD5CF5"/>
    <w:rsid w:val="00D14829"/>
    <w:rsid w:val="00D32EE4"/>
    <w:rsid w:val="00D442F7"/>
    <w:rsid w:val="00D44E10"/>
    <w:rsid w:val="00D54405"/>
    <w:rsid w:val="00D85EEF"/>
    <w:rsid w:val="00DA164A"/>
    <w:rsid w:val="00DA38B1"/>
    <w:rsid w:val="00DC0AEA"/>
    <w:rsid w:val="00E30F75"/>
    <w:rsid w:val="00E32B44"/>
    <w:rsid w:val="00E71FD1"/>
    <w:rsid w:val="00E71FF6"/>
    <w:rsid w:val="00E8759F"/>
    <w:rsid w:val="00EC2824"/>
    <w:rsid w:val="00ED063A"/>
    <w:rsid w:val="00F0300F"/>
    <w:rsid w:val="00F527F5"/>
    <w:rsid w:val="00F544F5"/>
    <w:rsid w:val="00F753E4"/>
    <w:rsid w:val="00F81C31"/>
    <w:rsid w:val="00F91B9A"/>
    <w:rsid w:val="00FA1A00"/>
    <w:rsid w:val="00FB0CE8"/>
    <w:rsid w:val="00FB7597"/>
    <w:rsid w:val="00FC6A19"/>
    <w:rsid w:val="00FD7AEA"/>
    <w:rsid w:val="00F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character" w:styleId="CommentReference">
    <w:name w:val="annotation reference"/>
    <w:basedOn w:val="DefaultParagraphFont"/>
    <w:uiPriority w:val="99"/>
    <w:semiHidden/>
    <w:unhideWhenUsed/>
    <w:rsid w:val="00913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B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b0398e-0868-4682-b93b-07e3a20d83a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AB1764EE3F44FAA34E98B35748298" ma:contentTypeVersion="17" ma:contentTypeDescription="Create a new document." ma:contentTypeScope="" ma:versionID="86c74b1e517d089f48ef0999c03d6a25">
  <xsd:schema xmlns:xsd="http://www.w3.org/2001/XMLSchema" xmlns:xs="http://www.w3.org/2001/XMLSchema" xmlns:p="http://schemas.microsoft.com/office/2006/metadata/properties" xmlns:ns3="c091b3d6-eb40-4ad9-937a-4dc83756975c" xmlns:ns4="94b0398e-0868-4682-b93b-07e3a20d83ab" targetNamespace="http://schemas.microsoft.com/office/2006/metadata/properties" ma:root="true" ma:fieldsID="c7366cabf9e00d03aa31bc9ee9395c9d" ns3:_="" ns4:_="">
    <xsd:import namespace="c091b3d6-eb40-4ad9-937a-4dc83756975c"/>
    <xsd:import namespace="94b0398e-0868-4682-b93b-07e3a20d83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1b3d6-eb40-4ad9-937a-4dc8375697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0398e-0868-4682-b93b-07e3a20d83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7280B-4091-4AB6-8BB5-399227A08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974A2-46C7-4B63-A84C-ED5F238132E0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c091b3d6-eb40-4ad9-937a-4dc83756975c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94b0398e-0868-4682-b93b-07e3a20d83a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4B721BC-C019-42B4-9DC1-2F9495812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1b3d6-eb40-4ad9-937a-4dc83756975c"/>
    <ds:schemaRef ds:uri="94b0398e-0868-4682-b93b-07e3a20d8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Melissa Thomas</cp:lastModifiedBy>
  <cp:revision>4</cp:revision>
  <cp:lastPrinted>2015-01-22T16:25:00Z</cp:lastPrinted>
  <dcterms:created xsi:type="dcterms:W3CDTF">2024-06-25T17:20:00Z</dcterms:created>
  <dcterms:modified xsi:type="dcterms:W3CDTF">2024-06-25T18:09:00Z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0x010100AE7AB1764EE3F44FAA34E98B35748298</vt:lpwstr>
  </property>
</Properties>
</file>