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serogroup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serogroup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The move toward shorter term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more ripe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Pr="00104A53" w:rsidRDefault="007E4045" w:rsidP="0007373F">
      <w:pPr>
        <w:rPr>
          <w:rFonts w:ascii="Verdana" w:hAnsi="Verdana"/>
          <w:sz w:val="20"/>
        </w:rPr>
      </w:pPr>
      <w:r w:rsidRPr="00104A53">
        <w:rPr>
          <w:rFonts w:ascii="Verdana" w:hAnsi="Verdana"/>
          <w:sz w:val="20"/>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2FDC67" w:rsidR="00E62FF4" w:rsidRDefault="00104A53" w:rsidP="00104A53">
      <w:pPr>
        <w:pStyle w:val="Heading2"/>
      </w:pPr>
      <w:r>
        <w:t>Subpoint C: Soft Power</w:t>
      </w:r>
    </w:p>
    <w:p w14:paraId="022754CE" w14:textId="77777777" w:rsidR="00104A53" w:rsidRDefault="00104A53" w:rsidP="00104A53"/>
    <w:p w14:paraId="39ED2034" w14:textId="77777777" w:rsidR="00104A53" w:rsidRPr="00104A53" w:rsidRDefault="00104A53" w:rsidP="00104A53">
      <w:pPr>
        <w:rPr>
          <w:sz w:val="14"/>
        </w:rPr>
      </w:pPr>
    </w:p>
    <w:p w14:paraId="1A737EC1" w14:textId="77777777" w:rsidR="00104A53" w:rsidRPr="00104A53" w:rsidRDefault="00104A53" w:rsidP="00104A53">
      <w:pPr>
        <w:shd w:val="clear" w:color="auto" w:fill="FEFEFE"/>
        <w:spacing w:after="225" w:line="240" w:lineRule="auto"/>
        <w:rPr>
          <w:rFonts w:ascii="Helvetica Neue" w:hAnsi="Helvetica Neue" w:cs="Times New Roman"/>
          <w:color w:val="262626"/>
          <w:sz w:val="16"/>
          <w:szCs w:val="23"/>
        </w:rPr>
      </w:pPr>
      <w:r w:rsidRPr="00104A53">
        <w:rPr>
          <w:rFonts w:ascii="Helvetica Neue" w:hAnsi="Helvetica Neue" w:cs="Times New Roman"/>
          <w:color w:val="262626"/>
          <w:sz w:val="16"/>
          <w:szCs w:val="23"/>
        </w:rPr>
        <w:t>The United States voted against a U.N. resolution criticizing the U.S. economic embargo against Cuba Tuesday, despite initial U.S. discussions about abstaining on the annual vote.</w:t>
      </w:r>
    </w:p>
    <w:p w14:paraId="5BD2727A"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Only Israel joined the U.S. in opposing the resolution, with 191 voting for it.</w:t>
      </w:r>
    </w:p>
    <w:p w14:paraId="18FEF0A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2"/>
          <w:szCs w:val="20"/>
        </w:rPr>
      </w:pPr>
      <w:r w:rsidRPr="00104A53">
        <w:rPr>
          <w:rFonts w:ascii="Helvetica Neue" w:eastAsia="Times New Roman" w:hAnsi="Helvetica Neue" w:cs="Times New Roman"/>
          <w:color w:val="262626"/>
          <w:sz w:val="12"/>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 that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The statement read out by Cuban Foreign Minister Bruno Rodriguez Parrilla concerning the vote also struck a harsh tone.</w:t>
      </w:r>
    </w:p>
    <w:p w14:paraId="3595F92E" w14:textId="77777777" w:rsidR="00104A53" w:rsidRP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"The blockade is a flagrant, massive and systematic violation of the human rights of all Cubans; it is contrary to International Law; it has been described as a crime of genocide," the statement declared.</w:t>
      </w:r>
    </w:p>
    <w:p w14:paraId="558517D3" w14:textId="77777777" w:rsidR="00104A53" w:rsidRDefault="00104A53" w:rsidP="00104A53">
      <w:pPr>
        <w:shd w:val="clear" w:color="auto" w:fill="FEFEFE"/>
        <w:spacing w:line="240" w:lineRule="auto"/>
        <w:rPr>
          <w:rFonts w:ascii="Helvetica Neue" w:eastAsia="Times New Roman" w:hAnsi="Helvetica Neue" w:cs="Times New Roman"/>
          <w:color w:val="262626"/>
          <w:sz w:val="14"/>
          <w:szCs w:val="23"/>
        </w:rPr>
      </w:pPr>
      <w:r w:rsidRPr="00104A53">
        <w:rPr>
          <w:rFonts w:ascii="Helvetica Neue" w:eastAsia="Times New Roman" w:hAnsi="Helvetica Neue" w:cs="Times New Roman"/>
          <w:color w:val="262626"/>
          <w:sz w:val="14"/>
          <w:szCs w:val="23"/>
        </w:rPr>
        <w:t>A large standing ovation followed the vote in the hall.</w:t>
      </w:r>
    </w:p>
    <w:p w14:paraId="27E7140A" w14:textId="41581E78"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By going against what the UN is telling the United States should do, this decreases the United States soft power. 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1F65898F" w14:textId="6EB2AB7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0B26784C"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By a decrease in soft power, terrorist regimes such as ISIS will be able to win against the war in 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have enough recognition to lead in</w:t>
      </w:r>
      <w:r w:rsidR="004530BB" w:rsidRPr="004530BB">
        <w:rPr>
          <w:rFonts w:ascii="Helvetica Neue" w:eastAsia="Times New Roman" w:hAnsi="Helvetica Neue" w:cs="Times New Roman"/>
          <w:color w:val="262626"/>
          <w:sz w:val="16"/>
          <w:szCs w:val="23"/>
        </w:rPr>
        <w:t>ternet 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 Without soft power countries will not be able to call the US Credible and in turn will negate unification under the cause of defeating ISIS.</w:t>
      </w:r>
    </w:p>
    <w:p w14:paraId="5DE1B587" w14:textId="77777777" w:rsidR="004530BB" w:rsidRDefault="004530BB" w:rsidP="0007373F">
      <w:pPr>
        <w:rPr>
          <w:rFonts w:ascii="Times" w:eastAsia="Times New Roman" w:hAnsi="Times" w:cs="Times New Roman"/>
          <w:sz w:val="20"/>
          <w:szCs w:val="20"/>
        </w:rPr>
      </w:pPr>
      <w:bookmarkStart w:id="0" w:name="_GoBack"/>
      <w:bookmarkEnd w:id="0"/>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“Advise the Cuban gover</w:t>
      </w: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Spetalnick, and Lesley Wroughton,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19 AI, “Political Dissident Must Be Released,” April 2, 2015; “El Régimen Excarcela al Opositor Ciro Alexis Casanova Pérez,” Diario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30377885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539249831">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1628893">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945380982">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197540776">
      <w:bodyDiv w:val="1"/>
      <w:marLeft w:val="0"/>
      <w:marRight w:val="0"/>
      <w:marTop w:val="0"/>
      <w:marBottom w:val="0"/>
      <w:divBdr>
        <w:top w:val="none" w:sz="0" w:space="0" w:color="auto"/>
        <w:left w:val="none" w:sz="0" w:space="0" w:color="auto"/>
        <w:bottom w:val="none" w:sz="0" w:space="0" w:color="auto"/>
        <w:right w:val="none" w:sz="0" w:space="0" w:color="auto"/>
      </w:divBdr>
    </w:div>
    <w:div w:id="1230267612">
      <w:bodyDiv w:val="1"/>
      <w:marLeft w:val="0"/>
      <w:marRight w:val="0"/>
      <w:marTop w:val="0"/>
      <w:marBottom w:val="0"/>
      <w:divBdr>
        <w:top w:val="none" w:sz="0" w:space="0" w:color="auto"/>
        <w:left w:val="none" w:sz="0" w:space="0" w:color="auto"/>
        <w:bottom w:val="none" w:sz="0" w:space="0" w:color="auto"/>
        <w:right w:val="none" w:sz="0" w:space="0" w:color="auto"/>
      </w:divBdr>
      <w:divsChild>
        <w:div w:id="1574774151">
          <w:marLeft w:val="0"/>
          <w:marRight w:val="0"/>
          <w:marTop w:val="0"/>
          <w:marBottom w:val="0"/>
          <w:divBdr>
            <w:top w:val="none" w:sz="0" w:space="0" w:color="auto"/>
            <w:left w:val="none" w:sz="0" w:space="0" w:color="auto"/>
            <w:bottom w:val="none" w:sz="0" w:space="0" w:color="auto"/>
            <w:right w:val="none" w:sz="0" w:space="0" w:color="auto"/>
          </w:divBdr>
        </w:div>
        <w:div w:id="1179126067">
          <w:marLeft w:val="0"/>
          <w:marRight w:val="0"/>
          <w:marTop w:val="0"/>
          <w:marBottom w:val="225"/>
          <w:divBdr>
            <w:top w:val="none" w:sz="0" w:space="0" w:color="auto"/>
            <w:left w:val="none" w:sz="0" w:space="0" w:color="auto"/>
            <w:bottom w:val="none" w:sz="0" w:space="0" w:color="auto"/>
            <w:right w:val="none" w:sz="0" w:space="0" w:color="auto"/>
          </w:divBdr>
        </w:div>
        <w:div w:id="119079814">
          <w:marLeft w:val="0"/>
          <w:marRight w:val="0"/>
          <w:marTop w:val="0"/>
          <w:marBottom w:val="225"/>
          <w:divBdr>
            <w:top w:val="none" w:sz="0" w:space="0" w:color="auto"/>
            <w:left w:val="none" w:sz="0" w:space="0" w:color="auto"/>
            <w:bottom w:val="none" w:sz="0" w:space="0" w:color="auto"/>
            <w:right w:val="none" w:sz="0" w:space="0" w:color="auto"/>
          </w:divBdr>
        </w:div>
        <w:div w:id="261885150">
          <w:marLeft w:val="0"/>
          <w:marRight w:val="0"/>
          <w:marTop w:val="0"/>
          <w:marBottom w:val="225"/>
          <w:divBdr>
            <w:top w:val="none" w:sz="0" w:space="0" w:color="auto"/>
            <w:left w:val="none" w:sz="0" w:space="0" w:color="auto"/>
            <w:bottom w:val="none" w:sz="0" w:space="0" w:color="auto"/>
            <w:right w:val="none" w:sz="0" w:space="0" w:color="auto"/>
          </w:divBdr>
        </w:div>
        <w:div w:id="787892353">
          <w:marLeft w:val="0"/>
          <w:marRight w:val="0"/>
          <w:marTop w:val="0"/>
          <w:marBottom w:val="225"/>
          <w:divBdr>
            <w:top w:val="none" w:sz="0" w:space="0" w:color="auto"/>
            <w:left w:val="none" w:sz="0" w:space="0" w:color="auto"/>
            <w:bottom w:val="none" w:sz="0" w:space="0" w:color="auto"/>
            <w:right w:val="none" w:sz="0" w:space="0" w:color="auto"/>
          </w:divBdr>
        </w:div>
        <w:div w:id="875120663">
          <w:marLeft w:val="0"/>
          <w:marRight w:val="0"/>
          <w:marTop w:val="0"/>
          <w:marBottom w:val="0"/>
          <w:divBdr>
            <w:top w:val="none" w:sz="0" w:space="0" w:color="auto"/>
            <w:left w:val="none" w:sz="0" w:space="0" w:color="auto"/>
            <w:bottom w:val="none" w:sz="0" w:space="0" w:color="auto"/>
            <w:right w:val="none" w:sz="0" w:space="0" w:color="auto"/>
          </w:divBdr>
          <w:divsChild>
            <w:div w:id="745423538">
              <w:marLeft w:val="0"/>
              <w:marRight w:val="0"/>
              <w:marTop w:val="0"/>
              <w:marBottom w:val="225"/>
              <w:divBdr>
                <w:top w:val="none" w:sz="0" w:space="0" w:color="auto"/>
                <w:left w:val="none" w:sz="0" w:space="0" w:color="auto"/>
                <w:bottom w:val="none" w:sz="0" w:space="0" w:color="auto"/>
                <w:right w:val="none" w:sz="0" w:space="0" w:color="auto"/>
              </w:divBdr>
            </w:div>
            <w:div w:id="1047875901">
              <w:marLeft w:val="0"/>
              <w:marRight w:val="0"/>
              <w:marTop w:val="0"/>
              <w:marBottom w:val="225"/>
              <w:divBdr>
                <w:top w:val="none" w:sz="0" w:space="0" w:color="auto"/>
                <w:left w:val="none" w:sz="0" w:space="0" w:color="auto"/>
                <w:bottom w:val="none" w:sz="0" w:space="0" w:color="auto"/>
                <w:right w:val="none" w:sz="0" w:space="0" w:color="auto"/>
              </w:divBdr>
            </w:div>
            <w:div w:id="1020083079">
              <w:marLeft w:val="0"/>
              <w:marRight w:val="0"/>
              <w:marTop w:val="0"/>
              <w:marBottom w:val="225"/>
              <w:divBdr>
                <w:top w:val="none" w:sz="0" w:space="0" w:color="auto"/>
                <w:left w:val="none" w:sz="0" w:space="0" w:color="auto"/>
                <w:bottom w:val="none" w:sz="0" w:space="0" w:color="auto"/>
                <w:right w:val="none" w:sz="0" w:space="0" w:color="auto"/>
              </w:divBdr>
            </w:div>
            <w:div w:id="1111437155">
              <w:marLeft w:val="0"/>
              <w:marRight w:val="0"/>
              <w:marTop w:val="0"/>
              <w:marBottom w:val="225"/>
              <w:divBdr>
                <w:top w:val="none" w:sz="0" w:space="0" w:color="auto"/>
                <w:left w:val="none" w:sz="0" w:space="0" w:color="auto"/>
                <w:bottom w:val="none" w:sz="0" w:space="0" w:color="auto"/>
                <w:right w:val="none" w:sz="0" w:space="0" w:color="auto"/>
              </w:divBdr>
            </w:div>
            <w:div w:id="1972591636">
              <w:marLeft w:val="0"/>
              <w:marRight w:val="0"/>
              <w:marTop w:val="0"/>
              <w:marBottom w:val="225"/>
              <w:divBdr>
                <w:top w:val="none" w:sz="0" w:space="0" w:color="auto"/>
                <w:left w:val="none" w:sz="0" w:space="0" w:color="auto"/>
                <w:bottom w:val="none" w:sz="0" w:space="0" w:color="auto"/>
                <w:right w:val="none" w:sz="0" w:space="0" w:color="auto"/>
              </w:divBdr>
            </w:div>
            <w:div w:id="392311250">
              <w:marLeft w:val="0"/>
              <w:marRight w:val="0"/>
              <w:marTop w:val="0"/>
              <w:marBottom w:val="225"/>
              <w:divBdr>
                <w:top w:val="none" w:sz="0" w:space="0" w:color="auto"/>
                <w:left w:val="none" w:sz="0" w:space="0" w:color="auto"/>
                <w:bottom w:val="none" w:sz="0" w:space="0" w:color="auto"/>
                <w:right w:val="none" w:sz="0" w:space="0" w:color="auto"/>
              </w:divBdr>
            </w:div>
            <w:div w:id="17397456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4310294">
      <w:bodyDiv w:val="1"/>
      <w:marLeft w:val="0"/>
      <w:marRight w:val="0"/>
      <w:marTop w:val="0"/>
      <w:marBottom w:val="0"/>
      <w:divBdr>
        <w:top w:val="none" w:sz="0" w:space="0" w:color="auto"/>
        <w:left w:val="none" w:sz="0" w:space="0" w:color="auto"/>
        <w:bottom w:val="none" w:sz="0" w:space="0" w:color="auto"/>
        <w:right w:val="none" w:sz="0" w:space="0" w:color="auto"/>
      </w:divBdr>
    </w:div>
    <w:div w:id="1339307622">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562325599">
      <w:bodyDiv w:val="1"/>
      <w:marLeft w:val="0"/>
      <w:marRight w:val="0"/>
      <w:marTop w:val="0"/>
      <w:marBottom w:val="0"/>
      <w:divBdr>
        <w:top w:val="none" w:sz="0" w:space="0" w:color="auto"/>
        <w:left w:val="none" w:sz="0" w:space="0" w:color="auto"/>
        <w:bottom w:val="none" w:sz="0" w:space="0" w:color="auto"/>
        <w:right w:val="none" w:sz="0" w:space="0" w:color="auto"/>
      </w:divBdr>
    </w:div>
    <w:div w:id="1643802140">
      <w:bodyDiv w:val="1"/>
      <w:marLeft w:val="0"/>
      <w:marRight w:val="0"/>
      <w:marTop w:val="0"/>
      <w:marBottom w:val="0"/>
      <w:divBdr>
        <w:top w:val="none" w:sz="0" w:space="0" w:color="auto"/>
        <w:left w:val="none" w:sz="0" w:space="0" w:color="auto"/>
        <w:bottom w:val="none" w:sz="0" w:space="0" w:color="auto"/>
        <w:right w:val="none" w:sz="0" w:space="0" w:color="auto"/>
      </w:divBdr>
    </w:div>
    <w:div w:id="1647857843">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05598036">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 w:id="1935939115">
      <w:bodyDiv w:val="1"/>
      <w:marLeft w:val="0"/>
      <w:marRight w:val="0"/>
      <w:marTop w:val="0"/>
      <w:marBottom w:val="0"/>
      <w:divBdr>
        <w:top w:val="none" w:sz="0" w:space="0" w:color="auto"/>
        <w:left w:val="none" w:sz="0" w:space="0" w:color="auto"/>
        <w:bottom w:val="none" w:sz="0" w:space="0" w:color="auto"/>
        <w:right w:val="none" w:sz="0" w:space="0" w:color="auto"/>
      </w:divBdr>
    </w:div>
    <w:div w:id="2041011682">
      <w:bodyDiv w:val="1"/>
      <w:marLeft w:val="0"/>
      <w:marRight w:val="0"/>
      <w:marTop w:val="0"/>
      <w:marBottom w:val="0"/>
      <w:divBdr>
        <w:top w:val="none" w:sz="0" w:space="0" w:color="auto"/>
        <w:left w:val="none" w:sz="0" w:space="0" w:color="auto"/>
        <w:bottom w:val="none" w:sz="0" w:space="0" w:color="auto"/>
        <w:right w:val="none" w:sz="0" w:space="0" w:color="auto"/>
      </w:divBdr>
    </w:div>
    <w:div w:id="2096826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E979FC-AFE6-C443-B6A8-A2CBEE0C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120</TotalTime>
  <Pages>2</Pages>
  <Words>2287</Words>
  <Characters>13038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15295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6</cp:revision>
  <dcterms:created xsi:type="dcterms:W3CDTF">2017-02-10T09:26:00Z</dcterms:created>
  <dcterms:modified xsi:type="dcterms:W3CDTF">2017-02-11T02:39:00Z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